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É possível produzir eletricidade de dia e de noite?</w:t>
      </w:r>
    </w:p>
    <w:p>
      <w:pPr>
        <w:pStyle w:val="Subtitle"/>
      </w:pPr>
      <w:r>
        <w:t>A realidade dos sistemas híbridos termoelétricos com PCM</w:t>
      </w:r>
    </w:p>
    <w:p>
      <w:r>
        <w:t>Sim, um gerador termoelétrico pode produzir eletricidade sem depender diretamente da luz naquele instante. Para isso, precisa manter suas duas faces em temperaturas diferentes. O desafio é sustentar essa diferença e entregar energia suficiente ao equipamento conectado, inclusive durante as transições entre dia e noite.</w:t>
      </w:r>
    </w:p>
    <w:p>
      <w:r>
        <w:t>Combinar aquecimento solar, armazenamento térmico e resfriamento pode ampliar o período de geração. Os estudos discutidos aqui são demonstrações experimentais, não uma promessa de abastecimento contínuo de casas. Um uso potencial está em sensores de baixo consumo, desde que o balanço de energia e as condições do local sejam favoráveis. [1–3]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4011288"/>
            <wp:docPr id="1" name="Picture 1" descr="Pessoa acompanha equipamentos sobre um telhado ao anoitecer, junto a um painel inclinado e trocadores de calor, em uma paisagem arborizada." title="Imagem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-027-imagem-2-hero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1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Imagem 2 — Representação conceitual gerada por IA de um sistema de captação de energia em um telhado ao anoitecer. A cena não documenta um protótipo dos estudos nem comprova alimentação elétrica da residência.</w:t>
      </w:r>
    </w:p>
    <w:p>
      <w:pPr>
        <w:pStyle w:val="Caption"/>
      </w:pPr>
      <w:r>
        <w:t>Fonte: SGES (2026).</w:t>
      </w:r>
    </w:p>
    <w:p>
      <w:pPr>
        <w:pStyle w:val="Heading1"/>
      </w:pPr>
      <w:r>
        <w:t>A diferença de temperatura é o que permite gerar eletricidade</w:t>
      </w:r>
    </w:p>
    <w:p>
      <w:r>
        <w:t>Um gerador termoelétrico, ou TEG, converte parte do calor que o atravessa em eletricidade. Ele precisa de uma fonte que forneça calor e de um meio que o receba. Aquecer todo o módulo à mesma temperatura não basta: sem diferença entre as faces, sua tensão termoelétrica tende a zero. [4]</w:t>
      </w:r>
    </w:p>
    <w:p>
      <w:r>
        <w:t>Durante o dia, uma superfície absorvedora pode aquecer uma das faces. A outra troca calor com o ambiente ou com um reservatório térmico. À noite, uma superfície voltada para o céu pode perder mais energia por radiação do que recebe, ficando mais fria que o ar. Essa diferença também pode ser aproveitada. O módulo não fica à temperatura do espaço: sua temperatura resulta das trocas com o céu, o ar e os componentes próximos. [3, 6]</w:t>
      </w:r>
    </w:p>
    <w:p>
      <w:pPr>
        <w:pStyle w:val="Heading1"/>
      </w:pPr>
      <w:r>
        <w:t>Como funciona o efeito Seebeck</w:t>
      </w:r>
    </w:p>
    <w:p>
      <w:r>
        <w:t>O efeito Seebeck produz uma tensão quando materiais termoelétricos estão submetidos a uma diferença de temperatura. Em módulos usuais, elementos semicondutores dos tipos p e n são interligados em série elétrica, para somar tensões, e em paralelo térmico, pois todos se estendem entre as faces quente e fria. As placas externas conduzem calor, mas isolam eletricamente os contatos. [4, 5]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3195331"/>
            <wp:docPr id="2" name="Picture 2" descr="Quatro elementos p, n, p e n entre face quente superior e fria inferior. Pontes metálicas alternadas formam um único caminho elétrico até a carga; uma seta indica calor para baixo." title="Imagem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-027-imagem-1-corrigida-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9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Imagem 1 — Esquema simplificado de um TEG: elementos p e n ligados em série elétrica e em paralelo térmico, entre placas eletricamente isolantes. Os fios saem das interconexões metálicas.</w:t>
      </w:r>
    </w:p>
    <w:p>
      <w:pPr>
        <w:pStyle w:val="Caption"/>
      </w:pPr>
      <w:r>
        <w:t>Fonte: SGES (2026).</w:t>
      </w:r>
    </w:p>
    <w:p>
      <w:r>
        <w:t>Para uma aproximação em que o coeficiente do módulo varia pouco com a temperatura:</w:t>
      </w:r>
    </w:p>
    <w:p>
      <w:pPr>
        <w:jc w:val="center"/>
      </w:pPr>
      <m:oMath>
        <m:sSub>
          <m:e>
            <m:r>
              <m:t>V</m:t>
            </m:r>
          </m:e>
          <m:sub>
            <m:r>
              <m:t>oc</m:t>
            </m:r>
          </m:sub>
        </m:sSub>
        <m:r>
          <m:t> ≈ </m:t>
        </m:r>
        <m:sSub>
          <m:e>
            <m:r>
              <m:t>α</m:t>
            </m:r>
          </m:e>
          <m:sub>
            <m:r>
              <m:t>módulo</m:t>
            </m:r>
          </m:sub>
        </m:sSub>
        <m:r>
          <m:t> ΔT</m:t>
        </m:r>
      </m:oMath>
    </w:p>
    <w:p>
      <w:r>
        <w:t>V_oc é a tensão em circuito aberto, em volts; α_módulo é o coeficiente Seebeck efetivo do módulo, em volts por kelvin; ΔT é a diferença de temperatura medida entre suas faces. Um valor do coeficiente de um único material não pode ser aplicado diretamente a um módulo com muitos pares. Diferenças de temperatura têm o mesmo valor numérico em K e °C; temperaturas absolutas em kelvin são escritas sem o símbolo de grau. [4]</w:t>
      </w:r>
    </w:p>
    <w:p>
      <w:r>
        <w:t>O indicador adimensional ZT ajuda a comparar materiais, mas não corresponde à eficiência elétrica de um equipamento completo:</w:t>
      </w:r>
    </w:p>
    <w:p>
      <w:pPr>
        <w:jc w:val="center"/>
      </w:pPr>
      <m:oMath>
        <m:r>
          <m:t>ZT = </m:t>
        </m:r>
        <m:f>
          <m:num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 σ T</m:t>
            </m:r>
          </m:num>
          <m:den>
            <m:r>
              <m:t>κ</m:t>
            </m:r>
          </m:den>
        </m:f>
      </m:oMath>
    </w:p>
    <w:p>
      <w:r>
        <w:t>Nessa expressão, α é o coeficiente Seebeck do material, σ sua condutividade elétrica, κ sua condutividade térmica e T a temperatura absoluta em kelvin. Contatos, perdas térmicas e condições de operação também afetam o resultado do dispositivo. [5]</w:t>
      </w:r>
    </w:p>
    <w:p>
      <w:pPr>
        <w:pStyle w:val="Heading1"/>
      </w:pPr>
      <w:r>
        <w:t>O PCM armazena calor e tem capacidade finita</w:t>
      </w:r>
    </w:p>
    <w:p>
      <w:r>
        <w:t>PCM é a sigla em inglês para material de mudança de fase. Ao fundir, ele pode absorver energia térmica sem um grande aumento de temperatura; ao solidificar, pode liberar parte dessa energia. Ele não armazena eletricidade e não cria energia. Sua capacidade depende da quantidade de material, das propriedades térmicas e da fração que efetivamente muda de fase. [1]</w:t>
      </w:r>
    </w:p>
    <w:p>
      <w:r>
        <w:t>No sistema solar estudado, o reservatório recebe calor durante o aquecimento. Depois, pode funcionar como a região mais quente enquanto a superfície externa esfria. Esse processo prolonga uma diferença de temperatura, mas o estoque térmico se esgota. Em ciclos sucessivos, é necessário recarregá-lo e restabelecer as condições térmicas apropriadas.</w:t>
      </w:r>
    </w:p>
    <w:p>
      <w:r>
        <w:t>Mais PCM não significa automaticamente mais eletricidade. O tamanho do reservatório altera o tempo de carga, a transferência de calor, a massa e as perdas. A melhor combinação depende do ensaio e da aplicação; não existe um tamanho universalmente ótimo. [1, 2]</w:t>
      </w:r>
    </w:p>
    <w:p>
      <w:pPr>
        <w:pStyle w:val="Heading1"/>
      </w:pPr>
      <w:r>
        <w:t>O que muda quando anoitece</w:t>
      </w:r>
    </w:p>
    <w:p>
      <w:r>
        <w:t>O resfriamento radiativo aproveita a emissão infravermelha da superfície. A atmosfera é relativamente transparente em parte da faixa de 8 a 13 μm, mas vapor de água, nuvens, obstruções e trocas com o ar influenciam o saldo térmico. Um céu limpo favorece muitas configurações, sem garantir por si só uma determinada potência. [6]</w:t>
      </w:r>
    </w:p>
    <w:p>
      <w:r>
        <w:t>O PCM não é obrigatório para toda geração noturna. Raman, Li e Fan demonstraram um dispositivo sem esse reservatório, com a face fria ligada a um radiador voltado para o céu e a face quente recebendo calor do ar. O experimento de 2019 atingiu 25 mW/m² e alimentou um LED. Isso não equivale a iluminação residencial. O valor de 0,5 W/m² divulgado para melhorias era uma projeção, não a medição daquele protótipo. [3]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3414857"/>
            <wp:docPr id="3" name="Picture 3" descr="Comparação dia e noite sem PCM. De dia, face superior quente e inferior fria, com calor para baixo. À noite, face inferior quente e superior fria, com calor para cima. Dois fios ligam cada TEG ao circuito e ao sensor." title="Imagem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-027-imagem-3-corrigida-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1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Imagem 3 — Configuração conceitual sem PCM. De dia, o calor atravessa o TEG do absorvedor para o ambiente; à noite, pode fluir do ambiente para a superfície resfriada por radiação. O circuito deve lidar com a inversão de polaridade. As duas superfícies ilustram funções térmicas, não um material que muda de cor automaticamente.</w:t>
      </w:r>
    </w:p>
    <w:p>
      <w:pPr>
        <w:pStyle w:val="Caption"/>
      </w:pPr>
      <w:r>
        <w:t>Fonte: SGES (2026).</w:t>
      </w:r>
    </w:p>
    <w:p>
      <w:r>
        <w:t>Quando a diferença de temperatura muda de sentido, a polaridade nos terminais também pode mudar. Isso não transforma o módulo em uma fonte de corrente alternada equivalente à rede elétrica. Perto da igualdade de temperaturas, a potência pode ficar muito baixa. O circuito de alimentação precisa lidar com essas transições. [4, 7]</w:t>
      </w:r>
    </w:p>
    <w:p>
      <w:pPr>
        <w:pStyle w:val="Heading1"/>
      </w:pPr>
      <w:r>
        <w:t>O que os dois estudos centrais de 2025 mostram</w:t>
      </w:r>
    </w:p>
    <w:p>
      <w:r>
        <w:t>Wang, Lu, Jiao e Han publicaram um estudo experimental sob irradiação solar simulada [1] e uma análise de energia, exergia, economia e ambiente, chamada 4E [2]. Os resultados abaixo pertencem a condições distintas. “80-AB” é a identificação da unidade usada pelos autores, não uma recomendação de montagem.</w:t>
      </w:r>
    </w:p>
    <w:p>
      <w:pPr>
        <w:pStyle w:val="Caption"/>
        <w:keepNext/>
      </w:pPr>
      <w:r>
        <w:t>Tabela 1 — Resultados selecionados sem combinar ensaios diferentes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1701"/>
        <w:gridCol w:w="1361"/>
        <w:gridCol w:w="1587"/>
        <w:gridCol w:w="1587"/>
        <w:gridCol w:w="2551"/>
      </w:tblGrid>
      <w:tr>
        <w:trPr>
          <w:cantSplit/>
          <w:tblHeader/>
        </w:trPr>
        <w:tc>
          <w:tcPr>
            <w:tcW w:type="dxa" w:w="624"/>
            <w:vAlign w:val="center"/>
            <w:shd w:fill="DCE8E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Estudo</w:t>
            </w:r>
          </w:p>
        </w:tc>
        <w:tc>
          <w:tcPr>
            <w:tcW w:type="dxa" w:w="1701"/>
            <w:vAlign w:val="center"/>
            <w:shd w:fill="DCE8E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Condição</w:t>
            </w:r>
          </w:p>
        </w:tc>
        <w:tc>
          <w:tcPr>
            <w:tcW w:type="dxa" w:w="1361"/>
            <w:vAlign w:val="center"/>
            <w:shd w:fill="DCE8E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Fase ou período</w:t>
            </w:r>
          </w:p>
        </w:tc>
        <w:tc>
          <w:tcPr>
            <w:tcW w:type="dxa" w:w="1587"/>
            <w:vAlign w:val="center"/>
            <w:shd w:fill="DCE8E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Grandeza</w:t>
            </w:r>
          </w:p>
        </w:tc>
        <w:tc>
          <w:tcPr>
            <w:tcW w:type="dxa" w:w="1587"/>
            <w:vAlign w:val="center"/>
            <w:shd w:fill="DCE8E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2551"/>
            <w:vAlign w:val="center"/>
            <w:shd w:fill="DCE8E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Interpretação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[1]</w:t>
            </w:r>
          </w:p>
        </w:tc>
        <w:tc>
          <w:tcPr>
            <w:tcW w:type="dxa" w:w="1701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8 simuladores; 5 h de exposição</w:t>
            </w:r>
          </w:p>
        </w:tc>
        <w:tc>
          <w:tcPr>
            <w:tcW w:type="dxa" w:w="1361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Iluminação / transição posterior</w:t>
            </w:r>
          </w:p>
        </w:tc>
        <w:tc>
          <w:tcPr>
            <w:tcW w:type="dxa" w:w="1587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Energia elétrica por área</w:t>
            </w:r>
          </w:p>
        </w:tc>
        <w:tc>
          <w:tcPr>
            <w:tcW w:type="dxa" w:w="1587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4,4 / 0,19 Wh/m²</w:t>
            </w:r>
          </w:p>
        </w:tc>
        <w:tc>
          <w:tcPr>
            <w:tcW w:type="dxa" w:w="2551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Valores de fases diferentes; não são potências.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[1]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10 h de exposição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Transição posterior</w:t>
            </w:r>
          </w:p>
        </w:tc>
        <w:tc>
          <w:tcPr>
            <w:tcW w:type="dxa" w:w="158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Duração e energia por área</w:t>
            </w:r>
          </w:p>
        </w:tc>
        <w:tc>
          <w:tcPr>
            <w:tcW w:type="dxa" w:w="158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8,18 h; 414 mWh/m²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Não associar essa duração aos 0,19 Wh/m² da linha anterior.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[1]</w:t>
            </w:r>
          </w:p>
        </w:tc>
        <w:tc>
          <w:tcPr>
            <w:tcW w:type="dxa" w:w="1701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Quase 10 h; unidade isolada com filme</w:t>
            </w:r>
          </w:p>
        </w:tc>
        <w:tc>
          <w:tcPr>
            <w:tcW w:type="dxa" w:w="1361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Total do ensaio</w:t>
            </w:r>
          </w:p>
        </w:tc>
        <w:tc>
          <w:tcPr>
            <w:tcW w:type="dxa" w:w="1587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Energia elétrica por área</w:t>
            </w:r>
          </w:p>
        </w:tc>
        <w:tc>
          <w:tcPr>
            <w:tcW w:type="dxa" w:w="1587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8,78 Wh/m²</w:t>
            </w:r>
          </w:p>
        </w:tc>
        <w:tc>
          <w:tcPr>
            <w:tcW w:type="dxa" w:w="2551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Resultado dessa configuração, não produção diária garantida.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[2]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80-AB; 8 simuladores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Condição analisada</w:t>
            </w:r>
          </w:p>
        </w:tc>
        <w:tc>
          <w:tcPr>
            <w:tcW w:type="dxa" w:w="158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Média da potência máxima por área</w:t>
            </w:r>
          </w:p>
        </w:tc>
        <w:tc>
          <w:tcPr>
            <w:tcW w:type="dxa" w:w="158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0,84 W/m²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Métrica reportada, não potência constante durante 24 h.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[2]</w:t>
            </w:r>
          </w:p>
        </w:tc>
        <w:tc>
          <w:tcPr>
            <w:tcW w:type="dxa" w:w="1701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80-AB; cerca de 968 W/m²</w:t>
            </w:r>
          </w:p>
        </w:tc>
        <w:tc>
          <w:tcPr>
            <w:tcW w:type="dxa" w:w="1361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Condição analisada</w:t>
            </w:r>
          </w:p>
        </w:tc>
        <w:tc>
          <w:tcPr>
            <w:tcW w:type="dxa" w:w="1587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Eficiência exergética máxima</w:t>
            </w:r>
          </w:p>
        </w:tc>
        <w:tc>
          <w:tcPr>
            <w:tcW w:type="dxa" w:w="1587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Cerca de 0,124%</w:t>
            </w:r>
          </w:p>
        </w:tc>
        <w:tc>
          <w:tcPr>
            <w:tcW w:type="dxa" w:w="2551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Não é eficiência fotovoltaica nem rendimento universal do TEG.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[2]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10 h de exposição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Projeção anual</w:t>
            </w:r>
          </w:p>
        </w:tc>
        <w:tc>
          <w:tcPr>
            <w:tcW w:type="dxa" w:w="158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Emissões evitadas estimadas</w:t>
            </w:r>
          </w:p>
        </w:tc>
        <w:tc>
          <w:tcPr>
            <w:tcW w:type="dxa" w:w="158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Até cerca de 1,11 kg de CO₂/ano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Estimativa dependente de hipóteses; não medição anual em campo.</w:t>
            </w:r>
          </w:p>
        </w:tc>
      </w:tr>
    </w:tbl>
    <w:p>
      <w:r>
        <w:t>Fontes da Tabela 1: resumo e destaques dos estudos [1] e [2]. As áreas usadas para normalizar W/m² e Wh/m² não puderam ser confirmadas no material primário acessível. Os valores são mantidos como publicados, sem conversão para potência por telhado, número de módulos ou comparação direta com painéis fotovoltaicos.</w:t>
      </w:r>
    </w:p>
    <w:p>
      <w:r>
        <w:t>O primeiro estudo também informa cerca de 110 mV em circuito aberto e 0,34 W/m² com carga de 5 Ω. [1] Essa medição não deve ser confundida com os 0,84 W/m² da análise 4E. [2]</w:t>
      </w:r>
    </w:p>
    <w:p>
      <w:r>
        <w:t>A análise 4E apresenta um indicador econômico DPW, mas sua normalização não permite tratá-lo aqui como preço comercial em dólares por watt-pico. [2] Sem confirmar a definição completa, a área, os custos incluídos e a vida útil, não cabe afirmar vantagem econômica sobre a energia solar fotovoltaica. Também não cabe converter a estimativa de CO₂ evitado em kWh sem o fator de emissão correspondente.</w:t>
      </w:r>
    </w:p>
    <w:p>
      <w:pPr>
        <w:pStyle w:val="Heading1"/>
      </w:pPr>
      <w:r>
        <w:t>Tensão potência e energia não são a mesma coisa</w:t>
      </w:r>
    </w:p>
    <w:p>
      <w:r>
        <w:t>Tensão em circuito aberto é uma informação útil, mas não mostra sozinha o que o gerador consegue alimentar. Para avaliar uma aplicação, é preciso medir tensão e corrente com uma carga conectada. A potência elétrica é P = V × I; a energia é a potência acumulada ao longo do tempo. Assim, W e mW indicam potência, enquanto Wh e mWh indicam energia.</w:t>
      </w:r>
    </w:p>
    <w:p>
      <w:r>
        <w:t>No modelo elétrico simplificado de uma fonte com resistência interna, mantendo a diferença de temperatura fixa, a potência máxima em uma carga resistiva ocorre quando sua resistência iguala a resistência interna:</w:t>
      </w:r>
    </w:p>
    <w:p>
      <w:pPr>
        <w:jc w:val="center"/>
      </w:pPr>
      <m:oMath>
        <m:sSub>
          <m:e>
            <m:r>
              <m:t>P</m:t>
            </m:r>
          </m:e>
          <m:sub>
            <m:r>
              <m:t>máx</m:t>
            </m:r>
          </m:sub>
        </m:sSub>
        <m:r>
          <m:t> = </m:t>
        </m:r>
        <m:f>
          <m:num>
            <m:sSup>
              <m:e>
                <m:sSub>
                  <m:e>
                    <m:r>
                      <m:t>V</m:t>
                    </m:r>
                  </m:e>
                  <m:sub>
                    <m:r>
                      <m:t>oc</m:t>
                    </m:r>
                  </m:sub>
                </m:sSub>
              </m:e>
              <m:sup>
                <m:r>
                  <m:t>2</m:t>
                </m:r>
              </m:sup>
            </m:sSup>
          </m:num>
          <m:den>
            <m:r>
              <m:t>4 </m:t>
            </m:r>
            <m:sSub>
              <m:e>
                <m:r>
                  <m:t>R</m:t>
                </m:r>
              </m:e>
              <m:sub>
                <m:r>
                  <m:t>int</m:t>
                </m:r>
              </m:sub>
            </m:sSub>
          </m:den>
        </m:f>
      </m:oMath>
    </w:p>
    <w:p>
      <w:r>
        <w:t>A relação é uma aproximação de casamento de carga, não uma promessa de potência em qualquer condição. Durante um ciclo térmico real, a temperatura, a resistência e as perdas podem variar. O circuito eletrônico também consome energia; o que importa para o sensor é a energia líquida entregue depois dessas perdas. [4, 7]</w:t>
      </w:r>
    </w:p>
    <w:p>
      <w:r>
        <w:t>Há conversores projetados para entradas muito baixas e de qualquer polaridade. A documentação do LTC3109, por exemplo, descreve essa função com componentes externos e armazenamento elétrico. [7] Um conversor não é um “elevador passivo” de potência: aumentar a tensão não cria energia nem dispensa verificar partida, corrente disponível e eficiência.</w:t>
      </w:r>
    </w:p>
    <w:p>
      <w:pPr>
        <w:pStyle w:val="Heading1"/>
      </w:pPr>
      <w:r>
        <w:t>Clima autonomia e limites práticos</w:t>
      </w:r>
    </w:p>
    <w:p>
      <w:r>
        <w:t>Umidade e nuvens podem reduzir a capacidade de resfriamento radiativo, mas não há um limite único de umidade ou de temperatura que determine o funcionamento de todos os sistemas. Vento, céu visível, emissividade, isolamento e geometria também importam. Em clima quente e úmido, o resultado precisa ser medido no local; não se deve declarar impossibilidade universal nem independência climática. [6]</w:t>
      </w:r>
    </w:p>
    <w:p>
      <w:r>
        <w:t>Um sensor pode funcionar por pulsos: mede, transmite e volta ao modo de baixo consumo. Ainda assim, a energia captada deve cobrir todo o ciclo. Uma bateria ou capacitor pode ser necessário para picos de transmissão e intervalos de geração insuficiente. PCM e armazenamento elétrico desempenham funções diferentes. [7]</w:t>
      </w:r>
    </w:p>
    <w:p>
      <w:pPr>
        <w:pStyle w:val="Caption"/>
        <w:keepNext/>
      </w:pPr>
      <w:r>
        <w:t>Tabela 2 — Potenciais benefícios e limites do conjunto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175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shd w:fill="DCE8E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Aspecto</w:t>
            </w:r>
          </w:p>
        </w:tc>
        <w:tc>
          <w:tcPr>
            <w:tcW w:type="dxa" w:w="3175"/>
            <w:vAlign w:val="center"/>
            <w:shd w:fill="DCE8E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Potencial</w:t>
            </w:r>
          </w:p>
        </w:tc>
        <w:tc>
          <w:tcPr>
            <w:tcW w:type="dxa" w:w="4535"/>
            <w:vAlign w:val="center"/>
            <w:shd w:fill="DCE8E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Limitação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Operação</w:t>
            </w:r>
          </w:p>
        </w:tc>
        <w:tc>
          <w:tcPr>
            <w:tcW w:type="dxa" w:w="3175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O PCM pode prolongar diferenças de temperatura.</w:t>
            </w:r>
          </w:p>
        </w:tc>
        <w:tc>
          <w:tcPr>
            <w:tcW w:type="dxa" w:w="4535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Capacidade térmica finita; transições e clima podem interromper a alimentação útil.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Projeto térmico e elétrico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O TEG converte calor sem peças móveis no módulo.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Contatos, vedação, circuito, isolamento e durabilidade precisam de validação.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Economia</w:t>
            </w:r>
          </w:p>
        </w:tc>
        <w:tc>
          <w:tcPr>
            <w:tcW w:type="dxa" w:w="3175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Pode ser interessante para sensores de difícil acesso.</w:t>
            </w:r>
          </w:p>
        </w:tc>
        <w:tc>
          <w:tcPr>
            <w:tcW w:type="dxa" w:w="4535"/>
            <w:vAlign w:val="center"/>
            <w:shd w:fill="F3F6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Custo total, manutenção e autonomia devem ser comparados para a mesma função; não há vantagem universal demonstrada.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Ambiente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Pode aproveitar calor disponível e reduzir trocas de baterias em aplicações adequadas.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Benefício depende da energia efetivamente substituída, fabricação, materiais, vida útil e descarte.</w:t>
            </w:r>
          </w:p>
        </w:tc>
      </w:tr>
    </w:tbl>
    <w:p>
      <w:r>
        <w:t>Síntese das condições de operação discutidas em [1–7]. Os benefícios são condicionais, não garantias de desempenho ou de impacto ambiental.</w:t>
      </w:r>
    </w:p>
    <w:p>
      <w:pPr>
        <w:pStyle w:val="Heading1"/>
      </w:pPr>
      <w:r>
        <w:t>Aplicações potenciais e usos já existentes</w:t>
      </w:r>
    </w:p>
    <w:p>
      <w:r>
        <w:t>Os sistemas solares híbridos com PCM estudados aqui devem ser apresentados como pesquisa experimental. Sensores ambientais e monitoramento remoto são aplicações potenciais, não prova de que esses protótipos já operem por décadas sem manutenção. Transmissores de rádio, comunicação celular e outros equipamentos têm demandas que precisam ser verificadas individualmente.</w:t>
      </w:r>
    </w:p>
    <w:p>
      <w:r>
        <w:t>A termoeletricidade já é utilizada em outros contextos. Geradores termoelétricos de radioisótopos, os RTGs de algumas missões espaciais, convertem calor do decaimento radioativo em eletricidade. Eles não dependem do ciclo solar e não demonstram a autonomia de um dispositivo solar com PCM. [8]</w:t>
      </w:r>
    </w:p>
    <w:p>
      <w:r>
        <w:t>Aproveitar calor industrial também exige uma fonte térmica disponível e um caminho para rejeitar calor. Uma possibilidade de recuperação não equivale a uma instalação comercial comprovada. Para comparar com painéis fotovoltaicos e baterias, seria necessário usar a mesma área de referência, energia útil, serviço prestado e período de operação. Não é adequado comparar eficiência exergética com eficiência fotovoltaica nem extrapolar os ensaios para abastecimento doméstico.</w:t>
      </w:r>
    </w:p>
    <w:p>
      <w:pPr>
        <w:pStyle w:val="Heading1"/>
      </w:pPr>
      <w:r>
        <w:t>Fazendo um gerador termoelétrico</w:t>
      </w:r>
    </w:p>
    <w:p>
      <w:r>
        <w:t>Antes de iniciar a montagem, consulte o estudo original e as fichas técnicas dos componentes citados nas referências. A massa e a fração de enchimento do PCM, as dimensões internas do reservatório, a expansão do PEG utilizado, a pressão de montagem do TEG, as propriedades ópticas do filme e os parâmetros do conversor precisam ser definidos para os componentes escolhidos. Parte dessas especificações não foi confirmada nas fontes consultadas; quando não estiver disponível, solicite orientação ao fabricante ou aos autores. O roteiro não garante alimentação contínua da carga.</w:t>
      </w:r>
    </w:p>
    <w:p>
      <w:r>
        <w:t>Este tutorial mantém a arquitetura do protótipo TEG + PCM descrito no estudo experimental: reservatório de alumínio com PEG-4000, módulo termoelétrico, folha de grafite, isolamento, barreira ao vento e circuito de medição. Trata-se de uma montagem proposta para reprodução didática. Ela não foi montada nem validada pelos autores deste artigo e não garante geração contínua, potência útil ou funcionamento de uma carga específica. [1]</w:t>
      </w:r>
    </w:p>
    <w:p>
      <w:pPr>
        <w:pStyle w:val="Heading2"/>
      </w:pPr>
      <w:r>
        <w:t>Materiais e componentes necessários</w:t>
      </w:r>
    </w:p>
    <w:p>
      <w:pPr>
        <w:pStyle w:val="ListBullet"/>
      </w:pPr>
      <w:r>
        <w:t>Gerador termoelétrico: 1 módulo TEG1-12709, com 127 pares e dimensões nominais de 40 × 40 × 3,9 mm, conforme a montagem descrita no estudo. Antes da compra, confirme na ficha do fornecedor os limites de temperatura, a identificação das faces e a pressão de montagem do lote utilizado. [1]</w:t>
      </w:r>
    </w:p>
    <w:p>
      <w:pPr>
        <w:pStyle w:val="ListBullet"/>
      </w:pPr>
      <w:r>
        <w:t>Absorvedor solar e emissor radiativo: 1 folha de grafite comercial, como no protótipo estudado. Absorção solar, emissividade infravermelha, espessura e resistência ao tempo devem constar na ficha do produto escolhido; a cor preta, sozinha, não comprova essas propriedades. [1, 6]</w:t>
      </w:r>
    </w:p>
    <w:p>
      <w:pPr>
        <w:pStyle w:val="ListBullet"/>
      </w:pPr>
      <w:r>
        <w:t>Reservatório térmico: 1 caixa de alumínio com tampa e 80 mm de altura, correspondente à configuração 80-AB do estudo. Comprimento interno, largura, espessura de parede e volume útil não foram confirmados nas fontes acessíveis; sem esses dados, não é possível determinar uma massa exata de PCM para uma réplica dimensional. [1, 2]</w:t>
      </w:r>
    </w:p>
    <w:p>
      <w:pPr>
        <w:pStyle w:val="ListBullet"/>
      </w:pPr>
      <w:r>
        <w:t>Material de mudança de fase: PEG-4000. Produtos comerciais dessa classe apresentam propriedades que variam com grau e fabricante; uma ficha técnica informa ponto de endurecimento de 55–56 °C e calor de fusão de cerca de 180 kJ/kg para PEG-4000N/S. Use a ficha e a FISPQ do produto efetivamente adquirido. A massa e a fração de enchimento da unidade 80-AB não foram confirmadas. [9]</w:t>
      </w:r>
    </w:p>
    <w:p>
      <w:pPr>
        <w:pStyle w:val="ListBullet"/>
      </w:pPr>
      <w:r>
        <w:t>Interface térmica e vedação: pasta ou composto térmico HY510 nas interfaces citadas pelo estudo, além de selante compatível com alumínio, PEG-4000 e ciclos de fusão e solidificação. A pasta reduz a resistência de contato, mas não substitui automaticamente a fixação mecânica nem a vedação do reservatório. [1, 10, 11]</w:t>
      </w:r>
    </w:p>
    <w:p>
      <w:pPr>
        <w:pStyle w:val="ListBullet"/>
      </w:pPr>
      <w:r>
        <w:t>Isolamento térmico: placas de EPS com 50 mm de espessura para o fundo e as laterais da caixa. O EPS reduz trocas laterais; não força todo o calor a atravessar o TEG nem elimina perdas. Confirme a temperatura máxima de serviço do produto usado. [1]</w:t>
      </w:r>
    </w:p>
    <w:p>
      <w:pPr>
        <w:pStyle w:val="ListBullet"/>
      </w:pPr>
      <w:r>
        <w:t>Barreira convectiva: filme fino transparente de polietileno de baixa densidade, instalado suspenso. Espessura e transmissão nas faixas solar e infravermelha de 8–13 μm não foram confirmadas; escolha o filme somente com dados ópticos do fabricante, pois nem todo PE transparente é equivalente. [1, 6]</w:t>
      </w:r>
    </w:p>
    <w:p>
      <w:pPr>
        <w:pStyle w:val="ListBullet"/>
      </w:pPr>
      <w:r>
        <w:t>Componentes elétricos e de medição: fios de cobre isolados 20 AWG, resistor de carga conhecido, multímetro ou datalogger e dois sensores de temperatura de contato. Retificação e conversão CC–CC são opcionais e só podem ser selecionadas depois de medir polaridade, tensão de partida, tensão sob carga e potência disponível. [4, 7]</w:t>
      </w:r>
    </w:p>
    <w:p>
      <w:pPr>
        <w:pStyle w:val="Heading2"/>
      </w:pPr>
      <w:r>
        <w:t>Modo de fazer</w:t>
      </w:r>
    </w:p>
    <w:p>
      <w:pPr>
        <w:pStyle w:val="Heading2"/>
      </w:pPr>
      <w:r>
        <w:t>Etapa 1 Preparação do reservatório de PCM</w:t>
      </w:r>
    </w:p>
    <w:p>
      <w:r>
        <w:t>Aqueça o PEG-4000 em banho-maria controlado, seguindo a ficha técnica e a FISPQ do produto, até obter fluidez suficiente para o enchimento. Não use chama direta. Coloque o material na caixa de alumínio e deixe espaço livre para sua expansão nos ciclos térmicos. A expansão volumétrica e a fração de enchimento do PEG-4000 específico não foram confirmadas nas fontes usadas; portanto, não encha o reservatório até a borda nem adote um percentual sem a ficha do fornecedor. Feche a tampa e aplique uma vedação compatível com alumínio, PEG e repetidos ciclos de aquecimento. Faça um ensaio de estanqueidade antes de acoplar o módulo.</w:t>
      </w:r>
    </w:p>
    <w:p>
      <w:pPr>
        <w:pStyle w:val="Heading2"/>
      </w:pPr>
      <w:r>
        <w:t>Etapa 2 Acoplamento do TEG e da folha de grafite</w:t>
      </w:r>
    </w:p>
    <w:p>
      <w:r>
        <w:t>Com o reservatório fechado, limpo e frio, monte as camadas nesta ordem: tampa de alumínio, filme fino e contínuo de interface térmica, módulo TEG, novo filme fino de interface térmica e folha de grafite. Aplique compressão uniforme com placas, parafusos e arruelas adequados, sem flexionar o módulo. A pasta térmica preenche microirregularidades; ela não é, por si só, um adesivo ou um elemento estrutural. A pressão ou o torque específico do TEG1-12709 não foi confirmado e deve vir da documentação do fornecedor. Orientações gerais recomendam superfícies planas, pasta em camada fina e aperto gradual e simétrico. [10, 11]</w:t>
      </w:r>
    </w:p>
    <w:p>
      <w:pPr>
        <w:pStyle w:val="Heading2"/>
      </w:pPr>
      <w:r>
        <w:t>Etapa 3 Isolamento do reservatório</w:t>
      </w:r>
    </w:p>
    <w:p>
      <w:r>
        <w:t>Envolva o fundo e as quatro laterais da caixa com EPS de 50 mm, mantendo livres a folha de grafite, os terminais elétricos e os pontos de medição. O isolamento reduz perdas térmicas laterais, mas não as elimina e não garante que todo o fluxo de calor passe pelo TEG. Evite contato do EPS com superfícies acima de sua temperatura máxima de serviço.</w:t>
      </w:r>
    </w:p>
    <w:p>
      <w:pPr>
        <w:pStyle w:val="Heading2"/>
      </w:pPr>
      <w:r>
        <w:t>Etapa 4 Proteção contra o vento</w:t>
      </w:r>
    </w:p>
    <w:p>
      <w:r>
        <w:t>Monte uma moldura que mantenha o filme de PE suspenso acima da folha de grafite, com um vão de ar e sem contato direto. A barreira pode reduzir a convecção causada pelo vento, mas também pode alterar a entrada de radiação solar e a saída de radiação infravermelha. Só use o filme se sua espessura e sua transmissão nas faixas relevantes estiverem documentadas. Registre distância, tensionamento e material para que o ensaio possa ser repetido. [6]</w:t>
      </w:r>
    </w:p>
    <w:p>
      <w:pPr>
        <w:pStyle w:val="Heading2"/>
      </w:pPr>
      <w:r>
        <w:t>Etapa 5 Circuito elétrico e medições</w:t>
      </w:r>
    </w:p>
    <w:p>
      <w:r>
        <w:t>Ligue os terminais do TEG a um resistor de carga conhecido, formando um circuito fechado, e conecte o multímetro em paralelo ao resistor. Instale um sensor de temperatura junto à face superior e outro junto à face inferior do TEG. Registre as duas temperaturas, a polaridade e a tensão em circuito aberto; em seguida, reconecte a carga e meça a tensão V sobre o resistor R. Calcule a potência naquele instante por P = V²/R. Para estimar energia, integre a potência ao longo do tempo. A polaridade se inverte se o gradiente térmico se inverter, mas isso não garante partida de uma ponte, de um conversor ou da carga. Quedas nos diodos, tensão mínima de partida, corrente disponível e consumo do condicionamento precisam ser comparados com as medições. Um conversor não é passivo e não cria energia; não prometa operação contínua. [4, 7]</w:t>
      </w:r>
    </w:p>
    <w:p>
      <w:r>
        <w:t>Especificações ainda indispensáveis para uma reprodução literal: massa e fração de enchimento do PEG-4000; dimensões internas e espessura da caixa 80-AB; expansão volumétrica do produto adquirido; pressão ou torque de montagem e limites térmicos do TEG1-12709; espessura e transmitância solar e infravermelha do filme; e tensão mínima de partida e eficiência do circuito de condicionamento escolhido. Esses dados devem ser obtidos nas fichas dos componentes antes da montagem.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9809239"/>
            <wp:docPr id="4" name="Picture 4" descr="Guia vertical do protótipo TEG com PCM. Oito grupos de materiais aparecem à esquerda. À direita, cinco etapas mostram reservatório fechado com espaço para expansão, tampa entre PCM e TEG, interfaces térmicas com fixação mecânica, EPS lateral, filme de PE suspenso e circuito fechado por resistor com voltímetro em paralelo e sensores nas duas faces." title="Imagem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-027-imagem-4-tutorial-corrigida-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80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Imagem 4 — Guia de montagem proposto para o protótipo TEG + PCM. A figura explicita a tampa do reservatório, a fixação mecânica, o filme suspenso e o circuito de medição. Não representa desempenho garantido nem substitui as fichas técnicas dos componentes.</w:t>
      </w:r>
    </w:p>
    <w:p>
      <w:pPr>
        <w:pStyle w:val="Caption"/>
      </w:pPr>
      <w:r>
        <w:t>Fonte: SGES (2026).</w:t>
      </w:r>
    </w:p>
    <w:p>
      <w:pPr>
        <w:pStyle w:val="Heading1"/>
      </w:pPr>
      <w:r>
        <w:t>O que isso significa para o leitor</w:t>
      </w:r>
    </w:p>
    <w:p>
      <w:r>
        <w:t>Gerar eletricidade de dia e de noite é fisicamente possível, mas “gerar” não significa fornecer potência constante ou alimentar qualquer aparelho. O PCM pode deslocar parte do uso do calor no tempo; não garante energia elétrica contínua. Os resultados experimentais justificam investigar aplicações de baixo consumo, com medições sob carga, condições climáticas conhecidas e uma avaliação realista de autonomia, custo e manutenção.</w:t>
      </w:r>
    </w:p>
    <w:p>
      <w:pPr>
        <w:pStyle w:val="Heading1"/>
      </w:pPr>
      <w:r>
        <w:t>Fontes e referências</w:t>
      </w:r>
    </w:p>
    <w:p>
      <w:r>
        <w:t>[1] Wang, J., Lu, L., Jiao, K., &amp; Han, M. (2025). Experimental investigation of an Auto-Switching SH TEG/PCM unit for consistent All-Day electric power generation. Energy Conversion and Management, 327, 119556. https://doi.org/10.1016/j.enconman.2025.119556</w:t>
      </w:r>
    </w:p>
    <w:p>
      <w:r>
        <w:t>[2] Wang, J., Lu, L., Jiao, K., &amp; Han, M. (2025). Transient real-time 4E analysis for an auto-switching solar-heating TEG/PCM unit. Energy, 333, 137275. https://doi.org/10.1016/j.energy.2025.137275</w:t>
      </w:r>
    </w:p>
    <w:p>
      <w:r>
        <w:t>[3] Raman, A. P., Li, W., &amp; Fan, S. (2019). Generating Light from Darkness. Joule, 3(11), 2679–2686. https://doi.org/10.1016/j.joule.2019.08.009. Divulgação institucional do mesmo experimento: UCLA, Low-cost device generates electricity using natural cooling phenomenon (2019). https://newsroom.ucla.edu/releases/generating-light-from-darkness</w:t>
      </w:r>
    </w:p>
    <w:p>
      <w:r>
        <w:t>[4] Goldsmid, H. J. (2016). Introduction to Thermoelectricity (2ª ed.). Springer Series in Materials Science, 121. Springer. https://doi.org/10.1007/978-3-662-49256-7</w:t>
      </w:r>
    </w:p>
    <w:p>
      <w:r>
        <w:t>[5] Snyder, G. J., &amp; Toberer, E. S. (2008). Complex thermoelectric materials. Nature Materials, 7, 105–114. https://doi.org/10.1038/nmat2090</w:t>
      </w:r>
    </w:p>
    <w:p>
      <w:r>
        <w:t>[6] Sun, X., Sun, Y., Zhou, Z., Alam, M. A., &amp; Bermel, P. (2017). Radiative sky cooling: fundamental physics, materials, structures, and applications. Nanophotonics, 6(5), 997–1015. https://doi.org/10.1515/nanoph-2017-0020</w:t>
      </w:r>
    </w:p>
    <w:p>
      <w:r>
        <w:t>[7] Analog Devices. (2013). LTC3109 — Auto-Polarity, Ultralow Voltage Step-Up Converter and Power Manager. Datasheet, Rev. B. https://www.analog.com/media/en/technical-documentation/data-sheets/3109fb.pdf</w:t>
      </w:r>
    </w:p>
    <w:p>
      <w:r>
        <w:t>[8] NASA Science. Power: Radioisotope Thermoelectric Generators. https://science.nasa.gov/planetary-science/programs/radioisotope-power-systems/power-radioisotope-thermoelectric-generators/</w:t>
      </w:r>
    </w:p>
    <w:p>
      <w:r>
        <w:t>[9] Sanyo Chemical America. High molecular weight Polyethylene Glycol (PEG) — typical properties of PEG-4000N and PEG-4000S. https://sanyochemicalamerica.com/product/high-molecular-weight-polyethylene-glycol-peg/</w:t>
      </w:r>
    </w:p>
    <w:p>
      <w:r>
        <w:t>[10] Ferrotec. Thermoelectric Module Reliability — mounting and compression guidance. https://thermal.ferrotec.com/technology/thermoelectric-reference-guide/thermalref10/</w:t>
      </w:r>
    </w:p>
    <w:p>
      <w:r>
        <w:t>[11] TE Technology. Procedure for Installing Peltier Module into an Assembly. https://cdn.tetech.com/wp-content/uploads/2013/10/tem_(thermoelectric_module)_mounting_procedure.pdf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 possível produzir eletricidade de dia e de noite?</dc:title>
  <dc:subject>ART-027 — Sistemas híbridos termoelétricos com PCM</dc:subject>
  <dc:creator>SGES</dc:creator>
  <cp:keywords>ART-027, termoeletricidade, PCM, armazenamento térmico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