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</w:t>
      </w:r>
      <w:r>
        <w:rPr/>
        <w:t>eb</w:t>
      </w:r>
      <w:r>
        <w:rPr/>
        <w:t>site</w:t>
      </w:r>
      <w:r>
        <w:rPr/>
        <w:t xml:space="preserve"> Availability Monitoring </w:t>
      </w:r>
      <w:r>
        <w:rPr/>
        <w:t>Documentation</w:t>
      </w:r>
    </w:p>
    <w:p>
      <w:pPr>
        <w:pStyle w:val="TextBody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ab/>
        <w:t xml:space="preserve">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>Website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 xml:space="preserve"> Availability Monitoring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>app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 xml:space="preserve"> lets you create availability monitoring tests for one or more web URLs and run these monitoring tests from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>anywhere the server is hosted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 xml:space="preserve">. In addition to state views, you can display the status of these tests in a provided dashboard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>at the homepage route of the application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1717"/>
          <w:spacing w:val="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website availability monitoring app is built in node.js with the express framework.</w:t>
      </w:r>
    </w:p>
    <w:p>
      <w:pPr>
        <w:pStyle w:val="Heading4"/>
        <w:bidi w:val="0"/>
        <w:jc w:val="left"/>
        <w:rPr/>
      </w:pPr>
      <w:r>
        <w:rPr/>
        <w:t>Monitoring Performed by the Web</w:t>
      </w:r>
      <w:r>
        <w:rPr/>
        <w:t>site</w:t>
      </w:r>
      <w:r>
        <w:rPr/>
        <w:t xml:space="preserve"> Availability Monitoring </w:t>
      </w:r>
      <w:r>
        <w:rPr/>
        <w:t>App</w:t>
      </w:r>
    </w:p>
    <w:p>
      <w:pPr>
        <w:pStyle w:val="TextBody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By default, the  Web</w:t>
      </w:r>
      <w:r>
        <w:rPr>
          <w:rFonts w:ascii="Times New Roman" w:hAnsi="Times New Roman"/>
        </w:rPr>
        <w:t>site</w:t>
      </w:r>
      <w:r>
        <w:rPr>
          <w:rFonts w:ascii="Times New Roman" w:hAnsi="Times New Roman"/>
        </w:rPr>
        <w:t xml:space="preserve"> Availability Monitoring </w:t>
      </w:r>
      <w:r>
        <w:rPr>
          <w:rFonts w:ascii="Times New Roman" w:hAnsi="Times New Roman"/>
        </w:rPr>
        <w:t xml:space="preserve">App </w:t>
      </w:r>
      <w:r>
        <w:rPr>
          <w:rFonts w:ascii="Times New Roman" w:hAnsi="Times New Roman"/>
        </w:rPr>
        <w:t xml:space="preserve">configures the following monitoring by default. You can modify the monitor in </w:t>
      </w:r>
      <w:r>
        <w:rPr>
          <w:rFonts w:ascii="Times New Roman" w:hAnsi="Times New Roman"/>
        </w:rPr>
        <w:t>the source code file</w:t>
      </w:r>
      <w:r>
        <w:rPr>
          <w:rFonts w:ascii="Times New Roman" w:hAnsi="Times New Roman"/>
        </w:rPr>
        <w:t>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533"/>
        <w:gridCol w:w="7439"/>
      </w:tblGrid>
      <w:tr>
        <w:trPr>
          <w:tblHeader w:val="true"/>
        </w:trPr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360"/>
              <w:jc w:val="left"/>
              <w:rPr/>
            </w:pPr>
            <w:r>
              <w:rPr/>
              <w:t>Monitor description</w:t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360"/>
              <w:jc w:val="left"/>
              <w:rPr/>
            </w:pPr>
            <w:r>
              <w:rPr/>
              <w:t>Default values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Web</w:t>
            </w:r>
            <w:r>
              <w:rPr/>
              <w:t>site</w:t>
            </w:r>
            <w:r>
              <w:rPr/>
              <w:t xml:space="preserve"> Monitor </w:t>
            </w:r>
            <w:r>
              <w:rPr/>
              <w:t>App</w:t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- The monitor is enabled by default </w:t>
            </w:r>
            <w:r>
              <w:rPr/>
              <w:t>once the node.js server has started</w:t>
            </w:r>
            <w:r>
              <w:rPr/>
              <w:t>.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- Test Frequency: </w:t>
            </w:r>
            <w:r>
              <w:rPr/>
              <w:t>5</w:t>
            </w:r>
            <w:r>
              <w:rPr/>
              <w:t xml:space="preserve"> minutes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- Number of consecutive times a criteria should fail before an alert is generated: 1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- HTTP version: HTTP/1.1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- HTTP method: GET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- HTTP headers: accept "/"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Performance Data Collection</w:t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-  response time: enabled</w:t>
            </w:r>
          </w:p>
        </w:tc>
      </w:tr>
      <w:tr>
        <w:trPr/>
        <w:tc>
          <w:tcPr>
            <w:tcW w:w="2533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39" w:type="dxa"/>
            <w:tcBorders>
              <w:top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- </w:t>
            </w:r>
            <w:r>
              <w:rPr/>
              <w:t>Status boolean</w:t>
            </w:r>
            <w:r>
              <w:rPr/>
              <w:t>: enabled</w:t>
            </w:r>
          </w:p>
        </w:tc>
      </w:tr>
    </w:tbl>
    <w:p>
      <w:pPr>
        <w:pStyle w:val="TextBody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Viewing monitoring data</w:t>
      </w:r>
    </w:p>
    <w:p>
      <w:pPr>
        <w:pStyle w:val="TextBody"/>
        <w:bidi w:val="0"/>
        <w:spacing w:lineRule="auto" w:line="480"/>
        <w:jc w:val="left"/>
        <w:rPr/>
      </w:pPr>
      <w:r>
        <w:rPr>
          <w:rFonts w:ascii="Times New Roman" w:hAnsi="Times New Roman"/>
        </w:rPr>
        <w:tab/>
        <w:t xml:space="preserve">All data collected by the Website Availability Monitoring appears in the </w:t>
      </w:r>
      <w:r>
        <w:rPr>
          <w:rFonts w:ascii="Times New Roman" w:hAnsi="Times New Roman"/>
        </w:rPr>
        <w:t>home route of the express.js app</w:t>
      </w:r>
      <w:r>
        <w:rPr>
          <w:rFonts w:ascii="Times New Roman" w:hAnsi="Times New Roman"/>
        </w:rPr>
        <w:t xml:space="preserve">, you can see the test state of the individual tests. </w:t>
      </w:r>
      <w:r>
        <w:rPr>
          <w:rFonts w:ascii="Times New Roman" w:hAnsi="Times New Roman"/>
        </w:rPr>
        <w:t>The data is saved after each test to a supabase remote database.</w:t>
      </w:r>
    </w:p>
    <w:p>
      <w:pPr>
        <w:pStyle w:val="TextBody"/>
        <w:bidi w:val="0"/>
        <w:spacing w:lineRule="auto" w:line="48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163195</wp:posOffset>
            </wp:positionV>
            <wp:extent cx="6332220" cy="1005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76" r="0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DATABASE STRUCTURE FOR SAVED TESTS</w:t>
      </w:r>
    </w:p>
    <w:p>
      <w:pPr>
        <w:pStyle w:val="TextBody"/>
        <w:bidi w:val="0"/>
        <w:spacing w:lineRule="auto" w:line="480" w:before="0" w:after="14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-218440</wp:posOffset>
            </wp:positionH>
            <wp:positionV relativeFrom="paragraph">
              <wp:posOffset>778510</wp:posOffset>
            </wp:positionV>
            <wp:extent cx="6332220" cy="2266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399" r="0" b="31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  <w:t xml:space="preserve">The tests responses are saved to a remote database as a service platform </w:t>
      </w:r>
      <w:r>
        <w:rPr>
          <w:rFonts w:ascii="Times New Roman" w:hAnsi="Times New Roman"/>
        </w:rPr>
        <w:t>(Supabase)</w:t>
      </w:r>
      <w:r>
        <w:rPr>
          <w:rFonts w:ascii="Times New Roman" w:hAnsi="Times New Roman"/>
        </w:rPr>
        <w:t xml:space="preserve">. Only failed tests are sent to the users email using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ailgun’s email </w:t>
      </w:r>
      <w:r>
        <w:rPr>
          <w:rFonts w:ascii="Times New Roman" w:hAnsi="Times New Roman"/>
        </w:rPr>
        <w:t>service.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2</Pages>
  <Words>238</Words>
  <Characters>1262</Characters>
  <CharactersWithSpaces>1486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2022-05-28T15:00:09Z</dcterms:modified>
  <cp:revision>1</cp:revision>
  <dc:subject/>
  <dc:title/>
</cp:coreProperties>
</file>