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1DEE6" w14:textId="28D5C0D5"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E80DB5" w:rsidRPr="00E80DB5">
        <w:rPr>
          <w:rFonts w:asciiTheme="majorHAnsi" w:eastAsia="Times New Roman" w:hAnsiTheme="majorHAnsi" w:cs="Times New Roman"/>
          <w:b/>
          <w:sz w:val="20"/>
          <w:szCs w:val="20"/>
          <w:highlight w:val="yellow"/>
        </w:rPr>
        <w:t>Child name</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6A2FD4EB"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r w:rsidR="0047118D" w:rsidRPr="00A817B5">
        <w:rPr>
          <w:rFonts w:asciiTheme="majorHAnsi" w:eastAsia="Times New Roman" w:hAnsiTheme="majorHAnsi" w:cs="Times New Roman"/>
          <w:sz w:val="20"/>
          <w:szCs w:val="20"/>
          <w:highlight w:val="yellow"/>
        </w:rPr>
        <w:t>four</w:t>
      </w:r>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77777777"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5D348C" w:rsidRPr="00A817B5">
        <w:rPr>
          <w:rFonts w:asciiTheme="majorHAnsi" w:hAnsiTheme="majorHAnsi"/>
          <w:b/>
          <w:sz w:val="20"/>
          <w:szCs w:val="20"/>
          <w:highlight w:val="yellow"/>
        </w:rPr>
        <w:t>781</w:t>
      </w:r>
      <w:r w:rsidR="00C3379A">
        <w:rPr>
          <w:rFonts w:asciiTheme="majorHAnsi" w:hAnsiTheme="majorHAnsi"/>
          <w:b/>
          <w:sz w:val="20"/>
          <w:szCs w:val="20"/>
        </w:rPr>
        <w:t xml:space="preserve">, </w:t>
      </w:r>
      <w:r w:rsidR="00233912">
        <w:rPr>
          <w:rFonts w:asciiTheme="majorHAnsi" w:hAnsiTheme="majorHAnsi"/>
          <w:b/>
          <w:sz w:val="20"/>
          <w:szCs w:val="20"/>
        </w:rPr>
        <w:t>Emergent Reader</w:t>
      </w:r>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bookmarkStart w:id="0" w:name="_GoBack"/>
      <w:bookmarkEnd w:id="0"/>
    </w:p>
    <w:p w14:paraId="3993BCD4" w14:textId="77777777" w:rsidR="00982955" w:rsidRPr="00F802E1" w:rsidRDefault="00982955">
      <w:pPr>
        <w:rPr>
          <w:rFonts w:asciiTheme="majorHAnsi" w:hAnsiTheme="majorHAnsi"/>
          <w:sz w:val="10"/>
          <w:szCs w:val="10"/>
        </w:rPr>
      </w:pPr>
    </w:p>
    <w:p w14:paraId="73BFE741" w14:textId="0BA06383" w:rsidR="00982955" w:rsidRDefault="00E80DB5">
      <w:pPr>
        <w:rPr>
          <w:rFonts w:asciiTheme="majorHAnsi" w:hAnsiTheme="majorHAnsi"/>
          <w:sz w:val="20"/>
          <w:szCs w:val="20"/>
        </w:rPr>
      </w:pP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r w:rsidR="00982955" w:rsidRPr="00A817B5">
        <w:rPr>
          <w:rFonts w:asciiTheme="majorHAnsi" w:hAnsiTheme="majorHAnsi"/>
          <w:sz w:val="20"/>
          <w:szCs w:val="20"/>
          <w:highlight w:val="yellow"/>
        </w:rPr>
        <w:t>781</w:t>
      </w:r>
      <w:r w:rsidR="00982955" w:rsidRPr="00F802E1">
        <w:rPr>
          <w:rFonts w:asciiTheme="majorHAnsi" w:hAnsiTheme="majorHAnsi"/>
          <w:sz w:val="20"/>
          <w:szCs w:val="20"/>
        </w:rPr>
        <w:t xml:space="preserve">. This is a </w:t>
      </w:r>
      <w:r w:rsidR="00982955" w:rsidRPr="00A817B5">
        <w:rPr>
          <w:rFonts w:asciiTheme="majorHAnsi" w:hAnsiTheme="majorHAnsi"/>
          <w:sz w:val="20"/>
          <w:szCs w:val="20"/>
          <w:highlight w:val="yellow"/>
        </w:rPr>
        <w:t>decrease</w:t>
      </w:r>
      <w:r w:rsidR="00982955" w:rsidRPr="00F802E1">
        <w:rPr>
          <w:rFonts w:asciiTheme="majorHAnsi" w:hAnsiTheme="majorHAnsi"/>
          <w:sz w:val="20"/>
          <w:szCs w:val="20"/>
        </w:rPr>
        <w:t xml:space="preserve"> of </w:t>
      </w:r>
      <w:r w:rsidR="00982955" w:rsidRPr="00A817B5">
        <w:rPr>
          <w:rFonts w:asciiTheme="majorHAnsi" w:hAnsiTheme="majorHAnsi"/>
          <w:sz w:val="20"/>
          <w:szCs w:val="20"/>
          <w:highlight w:val="yellow"/>
        </w:rPr>
        <w:t>2</w:t>
      </w:r>
      <w:r w:rsidR="00982955" w:rsidRPr="00F802E1">
        <w:rPr>
          <w:rFonts w:asciiTheme="majorHAnsi" w:hAnsiTheme="majorHAnsi"/>
          <w:sz w:val="20"/>
          <w:szCs w:val="20"/>
        </w:rPr>
        <w:t xml:space="preserve"> from the Scale Score of </w:t>
      </w:r>
      <w:r w:rsidR="00982955" w:rsidRPr="00A817B5">
        <w:rPr>
          <w:rFonts w:asciiTheme="majorHAnsi" w:hAnsiTheme="majorHAnsi"/>
          <w:sz w:val="20"/>
          <w:szCs w:val="20"/>
          <w:highlight w:val="yellow"/>
        </w:rPr>
        <w:t>783</w:t>
      </w:r>
      <w:r w:rsidR="00982955" w:rsidRPr="00F802E1">
        <w:rPr>
          <w:rFonts w:asciiTheme="majorHAnsi" w:hAnsiTheme="majorHAnsi"/>
          <w:sz w:val="20"/>
          <w:szCs w:val="20"/>
        </w:rPr>
        <w:t xml:space="preserve"> that </w:t>
      </w: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on his initial assessment. Scaled Scores relate to three developmental stages: Emergent Reader (300-674), 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r w:rsidR="00982955" w:rsidRPr="00A817B5">
        <w:rPr>
          <w:rFonts w:asciiTheme="majorHAnsi" w:hAnsiTheme="majorHAnsi"/>
          <w:b/>
          <w:sz w:val="20"/>
          <w:szCs w:val="20"/>
          <w:highlight w:val="yellow"/>
        </w:rPr>
        <w:t>781</w:t>
      </w:r>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r w:rsidRPr="00E80DB5">
        <w:rPr>
          <w:rFonts w:asciiTheme="majorHAnsi" w:eastAsia="Times New Roman" w:hAnsiTheme="majorHAnsi" w:cs="Times New Roman"/>
          <w:b/>
          <w:sz w:val="20"/>
          <w:szCs w:val="20"/>
          <w:highlight w:val="yellow"/>
        </w:rPr>
        <w:t>Child name</w:t>
      </w:r>
      <w:r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 xml:space="preserve">is at the </w:t>
      </w:r>
      <w:r w:rsidR="00233912">
        <w:rPr>
          <w:rFonts w:asciiTheme="majorHAnsi" w:eastAsia="Times New Roman" w:hAnsiTheme="majorHAnsi" w:cs="Times New Roman"/>
          <w:b/>
          <w:sz w:val="20"/>
          <w:szCs w:val="20"/>
        </w:rPr>
        <w:t>Emergent Reader</w:t>
      </w:r>
      <w:r w:rsidR="00276926">
        <w:rPr>
          <w:rFonts w:asciiTheme="majorHAnsi" w:eastAsia="Times New Roman" w:hAnsiTheme="majorHAnsi" w:cs="Times New Roman"/>
          <w:b/>
          <w:sz w:val="20"/>
          <w:szCs w:val="20"/>
        </w:rPr>
        <w:t xml:space="preserve"> stage.</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rPr>
        <w:drawing>
          <wp:inline distT="0" distB="0" distL="0" distR="0" wp14:anchorId="6F7B3593" wp14:editId="1F6CABE1">
            <wp:extent cx="6858000" cy="191681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7A832FB5" w14:textId="77777777" w:rsidR="005D348C" w:rsidRPr="00F802E1" w:rsidRDefault="005D348C">
      <w:pPr>
        <w:rPr>
          <w:rFonts w:asciiTheme="majorHAnsi" w:hAnsiTheme="majorHAnsi"/>
          <w:sz w:val="10"/>
          <w:szCs w:val="10"/>
        </w:rPr>
      </w:pPr>
    </w:p>
    <w:p w14:paraId="15CA2552" w14:textId="77777777"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late </w:t>
      </w:r>
      <w:r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
    <w:p w14:paraId="07068A4B" w14:textId="77777777" w:rsidR="00233912" w:rsidRDefault="00233912" w:rsidP="00233912">
      <w:pPr>
        <w:rPr>
          <w:rFonts w:asciiTheme="majorHAnsi" w:eastAsia="Times New Roman" w:hAnsiTheme="majorHAnsi" w:cs="Times New Roman"/>
          <w:sz w:val="20"/>
          <w:szCs w:val="20"/>
        </w:rPr>
      </w:pPr>
    </w:p>
    <w:p w14:paraId="20F40802" w14:textId="7C285474" w:rsidR="00233912" w:rsidRDefault="00E80DB5" w:rsidP="00233912">
      <w:pPr>
        <w:rPr>
          <w:rFonts w:asciiTheme="majorHAnsi" w:eastAsia="Times New Roman" w:hAnsiTheme="majorHAnsi" w:cs="Times New Roman"/>
          <w:sz w:val="20"/>
          <w:szCs w:val="20"/>
        </w:rPr>
      </w:pPr>
      <w:r w:rsidRPr="00E80DB5">
        <w:rPr>
          <w:rFonts w:asciiTheme="majorHAnsi" w:eastAsia="Times New Roman" w:hAnsiTheme="majorHAnsi" w:cs="Times New Roman"/>
          <w:sz w:val="20"/>
          <w:szCs w:val="20"/>
          <w:highlight w:val="yellow"/>
        </w:rPr>
        <w:t>Child name</w:t>
      </w:r>
      <w:r w:rsidR="00233912" w:rsidRPr="00233912">
        <w:rPr>
          <w:rFonts w:asciiTheme="majorHAnsi" w:eastAsia="Times New Roman" w:hAnsiTheme="majorHAnsi" w:cs="Times New Roman"/>
          <w:sz w:val="20"/>
          <w:szCs w:val="20"/>
        </w:rPr>
        <w:t xml:space="preserve"> recognizes some printed words and can write his name. He is likely learning to separate spoken words into smaller parts, such as m - and - at for “mat” and then to blend the sounds together to say the words. </w:t>
      </w: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probably also beginning to sound out simple printed words. With his growing knowledge of letter sounds and word structure, </w:t>
      </w: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
    <w:p w14:paraId="4CE4075F" w14:textId="77777777" w:rsidR="00233912" w:rsidRDefault="00233912" w:rsidP="00233912">
      <w:pPr>
        <w:rPr>
          <w:rFonts w:asciiTheme="majorHAnsi" w:eastAsia="Times New Roman" w:hAnsiTheme="majorHAnsi" w:cs="Times New Roman"/>
          <w:sz w:val="20"/>
          <w:szCs w:val="20"/>
        </w:rPr>
      </w:pPr>
    </w:p>
    <w:p w14:paraId="62FBAEC3" w14:textId="144959D9" w:rsidR="00233912" w:rsidRP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r w:rsidR="00E80DB5" w:rsidRPr="00E80DB5">
        <w:rPr>
          <w:rFonts w:asciiTheme="majorHAnsi" w:eastAsia="Times New Roman" w:hAnsiTheme="majorHAnsi" w:cs="Times New Roman"/>
          <w:sz w:val="20"/>
          <w:szCs w:val="20"/>
          <w:highlight w:val="yellow"/>
        </w:rPr>
        <w:t>Child 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to voice his own ideas, talk with </w:t>
      </w:r>
      <w:r w:rsidR="00E80DB5" w:rsidRPr="00E80DB5">
        <w:rPr>
          <w:rFonts w:asciiTheme="majorHAnsi" w:eastAsia="Times New Roman" w:hAnsiTheme="majorHAnsi" w:cs="Times New Roman"/>
          <w:sz w:val="20"/>
          <w:szCs w:val="20"/>
          <w:highlight w:val="yellow"/>
        </w:rPr>
        <w:t>Child 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r w:rsidR="00E80DB5" w:rsidRPr="00E80DB5">
        <w:rPr>
          <w:rFonts w:asciiTheme="majorHAnsi" w:eastAsia="Times New Roman" w:hAnsiTheme="majorHAnsi" w:cs="Times New Roman"/>
          <w:sz w:val="20"/>
          <w:szCs w:val="20"/>
          <w:highlight w:val="yellow"/>
        </w:rPr>
        <w:t>Child 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DCF26" w14:textId="77777777" w:rsidR="00A1585C" w:rsidRDefault="00A1585C" w:rsidP="00C76A2A">
      <w:r>
        <w:separator/>
      </w:r>
    </w:p>
  </w:endnote>
  <w:endnote w:type="continuationSeparator" w:id="0">
    <w:p w14:paraId="12799F1F" w14:textId="77777777" w:rsidR="00A1585C" w:rsidRDefault="00A1585C"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w:altName w:val="Bookman Old Style"/>
    <w:charset w:val="00"/>
    <w:family w:val="auto"/>
    <w:pitch w:val="variable"/>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51906" w14:textId="77777777" w:rsidR="00A1585C" w:rsidRDefault="00A1585C" w:rsidP="00C76A2A">
      <w:r>
        <w:separator/>
      </w:r>
    </w:p>
  </w:footnote>
  <w:footnote w:type="continuationSeparator" w:id="0">
    <w:p w14:paraId="79D786B7" w14:textId="77777777" w:rsidR="00A1585C" w:rsidRDefault="00A1585C" w:rsidP="00C76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1A9D1" w14:textId="77777777" w:rsidR="00C76A2A" w:rsidRDefault="00C76A2A">
    <w:pPr>
      <w:pStyle w:val="Header"/>
    </w:pPr>
  </w:p>
  <w:p w14:paraId="7EDCA42B" w14:textId="77777777" w:rsidR="00C76A2A" w:rsidRDefault="00C76A2A">
    <w:pPr>
      <w:pStyle w:val="Header"/>
    </w:pPr>
    <w:r>
      <w:rPr>
        <w:noProof/>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C76A2A" w:rsidRDefault="00C76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A0681"/>
    <w:rsid w:val="0017018E"/>
    <w:rsid w:val="00233912"/>
    <w:rsid w:val="00266989"/>
    <w:rsid w:val="00276926"/>
    <w:rsid w:val="003D633D"/>
    <w:rsid w:val="0047118D"/>
    <w:rsid w:val="005449B3"/>
    <w:rsid w:val="00560A90"/>
    <w:rsid w:val="005D348C"/>
    <w:rsid w:val="008E48C4"/>
    <w:rsid w:val="008F4F80"/>
    <w:rsid w:val="00982955"/>
    <w:rsid w:val="00A03654"/>
    <w:rsid w:val="00A1585C"/>
    <w:rsid w:val="00A817B5"/>
    <w:rsid w:val="00B723B2"/>
    <w:rsid w:val="00BE1143"/>
    <w:rsid w:val="00C3379A"/>
    <w:rsid w:val="00C76A2A"/>
    <w:rsid w:val="00CA1430"/>
    <w:rsid w:val="00DC26CA"/>
    <w:rsid w:val="00E17271"/>
    <w:rsid w:val="00E80DB5"/>
    <w:rsid w:val="00F802E1"/>
    <w:rsid w:val="00F91E2E"/>
    <w:rsid w:val="00FC4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FBA320C"/>
  <w14:defaultImageDpi w14:val="300"/>
  <w15:docId w15:val="{08BD12A9-1EBC-4F26-A80C-8D1EF992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991926079adde62/Documents/OLB/STAR%20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Child name </a:t>
            </a:r>
            <a:endParaRPr lang="en-US" sz="1400"/>
          </a:p>
        </c:rich>
      </c:tx>
      <c:layout>
        <c:manualLayout>
          <c:xMode val="edge"/>
          <c:yMode val="edge"/>
          <c:x val="0.19443102945465099"/>
          <c:y val="1.2230376984461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11/20/2015</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93</c:v>
                </c:pt>
                <c:pt idx="1">
                  <c:v>94</c:v>
                </c:pt>
                <c:pt idx="2">
                  <c:v>96</c:v>
                </c:pt>
                <c:pt idx="3">
                  <c:v>81</c:v>
                </c:pt>
                <c:pt idx="4">
                  <c:v>81</c:v>
                </c:pt>
                <c:pt idx="5">
                  <c:v>76</c:v>
                </c:pt>
                <c:pt idx="6">
                  <c:v>81</c:v>
                </c:pt>
                <c:pt idx="7">
                  <c:v>79</c:v>
                </c:pt>
                <c:pt idx="8">
                  <c:v>74</c:v>
                </c:pt>
                <c:pt idx="9">
                  <c:v>30</c:v>
                </c:pt>
              </c:numCache>
            </c:numRef>
          </c:val>
          <c:extLst>
            <c:ext xmlns:c16="http://schemas.microsoft.com/office/drawing/2014/chart" uri="{C3380CC4-5D6E-409C-BE32-E72D297353CC}">
              <c16:uniqueId val="{00000000-926E-47F1-A335-1CE685068949}"/>
            </c:ext>
          </c:extLst>
        </c:ser>
        <c:ser>
          <c:idx val="2"/>
          <c:order val="1"/>
          <c:tx>
            <c:strRef>
              <c:f>'[STAR graphs.xlsx]Sheet2'!$A$4</c:f>
              <c:strCache>
                <c:ptCount val="1"/>
                <c:pt idx="0">
                  <c:v>01/14/2016</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c:v>
                </c:pt>
                <c:pt idx="1">
                  <c:v>82</c:v>
                </c:pt>
                <c:pt idx="2">
                  <c:v>88</c:v>
                </c:pt>
                <c:pt idx="3">
                  <c:v>60</c:v>
                </c:pt>
                <c:pt idx="4">
                  <c:v>58</c:v>
                </c:pt>
                <c:pt idx="5">
                  <c:v>50</c:v>
                </c:pt>
                <c:pt idx="6">
                  <c:v>60</c:v>
                </c:pt>
                <c:pt idx="7">
                  <c:v>53</c:v>
                </c:pt>
                <c:pt idx="8">
                  <c:v>49</c:v>
                </c:pt>
                <c:pt idx="9">
                  <c:v>40</c:v>
                </c:pt>
              </c:numCache>
            </c:numRef>
          </c:val>
          <c:extLst>
            <c:ext xmlns:c16="http://schemas.microsoft.com/office/drawing/2014/chart" uri="{C3380CC4-5D6E-409C-BE32-E72D297353CC}">
              <c16:uniqueId val="{00000001-926E-47F1-A335-1CE685068949}"/>
            </c:ext>
          </c:extLst>
        </c:ser>
        <c:dLbls>
          <c:dLblPos val="outEnd"/>
          <c:showLegendKey val="0"/>
          <c:showVal val="1"/>
          <c:showCatName val="0"/>
          <c:showSerName val="0"/>
          <c:showPercent val="0"/>
          <c:showBubbleSize val="0"/>
        </c:dLbls>
        <c:gapWidth val="444"/>
        <c:overlap val="-90"/>
        <c:axId val="2115001960"/>
        <c:axId val="2129843896"/>
        <c:extLst>
          <c:ext xmlns:c15="http://schemas.microsoft.com/office/drawing/2012/chart" uri="{02D57815-91ED-43cb-92C2-25804820EDAC}">
            <c15:filteredBarSeries>
              <c15:ser>
                <c:idx val="6"/>
                <c:order val="3"/>
                <c:tx>
                  <c:strRef>
                    <c:extLs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c:ext uri="{02D57815-91ED-43cb-92C2-25804820EDAC}">
                        <c15:formulaRef>
                          <c15:sqref>'[STAR graphs.xlsx]Sheet2'!$C$6:$L$6</c15:sqref>
                        </c15:formulaRef>
                      </c:ext>
                    </c:extLst>
                    <c:numCache>
                      <c:formatCode>General</c:formatCode>
                      <c:ptCount val="10"/>
                      <c:pt idx="0">
                        <c:v>93</c:v>
                      </c:pt>
                      <c:pt idx="1">
                        <c:v>94</c:v>
                      </c:pt>
                      <c:pt idx="2">
                        <c:v>96</c:v>
                      </c:pt>
                      <c:pt idx="3">
                        <c:v>81</c:v>
                      </c:pt>
                      <c:pt idx="4">
                        <c:v>81</c:v>
                      </c:pt>
                      <c:pt idx="5">
                        <c:v>75</c:v>
                      </c:pt>
                      <c:pt idx="6">
                        <c:v>81</c:v>
                      </c:pt>
                      <c:pt idx="7">
                        <c:v>78</c:v>
                      </c:pt>
                      <c:pt idx="8">
                        <c:v>73</c:v>
                      </c:pt>
                      <c:pt idx="9">
                        <c:v>92</c:v>
                      </c:pt>
                    </c:numCache>
                  </c:numRef>
                </c:val>
                <c:extLst>
                  <c:ext xmlns:c16="http://schemas.microsoft.com/office/drawing/2014/chart" uri="{C3380CC4-5D6E-409C-BE32-E72D297353CC}">
                    <c16:uniqueId val="{00000004-926E-47F1-A335-1CE685068949}"/>
                  </c:ext>
                </c:extLst>
              </c15:ser>
            </c15:filteredBarSeries>
          </c:ext>
        </c:extLst>
      </c:barChart>
      <c:catAx>
        <c:axId val="2115001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2129843896"/>
        <c:crosses val="autoZero"/>
        <c:auto val="1"/>
        <c:lblAlgn val="ctr"/>
        <c:lblOffset val="100"/>
        <c:noMultiLvlLbl val="0"/>
      </c:catAx>
      <c:valAx>
        <c:axId val="2129843896"/>
        <c:scaling>
          <c:orientation val="minMax"/>
          <c:max val="100"/>
          <c:min val="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001960"/>
        <c:crosses val="autoZero"/>
        <c:crossBetween val="between"/>
        <c:majorUnit val="20"/>
      </c:valAx>
      <c:spPr>
        <a:noFill/>
        <a:ln>
          <a:noFill/>
        </a:ln>
        <a:effectLst/>
      </c:spPr>
    </c:plotArea>
    <c:legend>
      <c:legendPos val="t"/>
      <c:layout>
        <c:manualLayout>
          <c:xMode val="edge"/>
          <c:yMode val="edge"/>
          <c:x val="0.25731948089822099"/>
          <c:y val="0.22201111370714599"/>
          <c:w val="0.47716243802857999"/>
          <c:h val="4.736991132923370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Lauren Harrington</cp:lastModifiedBy>
  <cp:revision>4</cp:revision>
  <cp:lastPrinted>2016-05-12T19:24:00Z</cp:lastPrinted>
  <dcterms:created xsi:type="dcterms:W3CDTF">2016-05-26T18:55:00Z</dcterms:created>
  <dcterms:modified xsi:type="dcterms:W3CDTF">2016-09-09T19:30:00Z</dcterms:modified>
</cp:coreProperties>
</file>