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4F81BD" w:val="clear"/>
        <w:spacing w:after="0" w:before="20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Görev 5 — Öğretmen Teşvik ve Ödül Sistemi</w:t>
      </w:r>
    </w:p>
    <w:p>
      <w:pPr>
        <w:shd w:fill="17375E" w:val="clear"/>
        <w:spacing w:after="200" w:before="0"/>
        <w:ind w:left="200" w:right="200"/>
        <w:jc w:val="center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Zorluk: Yüksek  |  AI Tipi: Similar (Benzer)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shd w:fill="1F5C8B" w:val="clear"/>
        <w:spacing w:after="1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ÖN-TEST (Görev başlamadan önce) — 5 Soru</w:t>
      </w:r>
    </w:p>
    <w:p>
      <w:pPr>
        <w:shd w:fill="D6E4F0" w:val="clear"/>
        <w:spacing w:after="120" w:before="0"/>
        <w:ind w:left="200" w:righ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Katılımcı No: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| Tarih: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Eğitimde tokenomics nasıl motive edici olabilir?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Finansal teşvik sağlar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Şeffaf değerlendirme sağlar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Quadratic voting eğitimde nasıl kullanılır?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Adil oylama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Whale dominansını önlemek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Öğretmen performansının on-chain ölçümünün avantajı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Şeffaf ve manipülasyona kapalı değerlendirme sağlar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Değerlendirmeyi daha hızlı yapar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zaman daha ucuzdur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Staking mekanizması ne sağlar?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Token kilitleyerek sisteme bağlılık ve oy ağırlığı kazandırır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Token çoğaltır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ücretini azaltır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Solidity'de `event` yapısı ne işe yarar?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Zincir dışı sistemlere bildirim gönderir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Başka bir fonksiyon çağırır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Gas tasarrufu sağlar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4F81BD" w:sz="8" w:space="5"/>
        </w:pBdr>
        <w:shd w:fill="DCE6F1" w:val="clear"/>
        <w:spacing w:after="60" w:before="12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Ön-Test Skoru: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/ 5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shd w:fill="2E6B3E" w:val="clear"/>
        <w:spacing w:after="10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SON-TEST (Görev tamamlandıktan sonra) — 5 Soru</w:t>
      </w:r>
    </w:p>
    <w:p>
      <w:pPr>
        <w:shd w:fill="D5E8D4" w:val="clear"/>
        <w:spacing w:after="120" w:before="0"/>
        <w:ind w:left="200" w:right="200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Katılımcı No: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 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| Tarih: </w:t>
      </w:r>
      <w:r>
        <w:rPr>
          <w:rFonts w:ascii="Calibri" w:cs="Calibri" w:eastAsia="Calibri" w:hAnsi="Calibri"/>
          <w:color w:val="888888"/>
          <w:sz w:val="20"/>
          <w:szCs w:val="20"/>
        </w:rPr>
        <w:t xml:space="preserve">__________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Eğitimde tokenomics nasıl motive edici olabilir?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Finansal teşvik sağlar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Şeffaf değerlendirme sağlar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Quadratic voting eğitimde nasıl kullanılır?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Adil oylama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Whale dominansını önlemek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Öğretmen performansının on-chain ölçümünün avantajı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Şeffaf ve manipülasyona kapalı değerlendirme sağlar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Değerlendirmeyi daha hızlı yapar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zaman daha ucuzdur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Sybil-resistant oylama neden önemlidir?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Sahte hesapları önlemek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Adil değerlendirme için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ikisi de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700"/>
      </w:tblGrid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B8CCE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S5.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3864"/>
                <w:sz w:val="22"/>
                <w:szCs w:val="22"/>
              </w:rPr>
              <w:t xml:space="preserve">Eğitimde outcome-based rewards'ın activity-based'e göre avantajı nedir?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Gerçek öğrenme çıktısını ödüllendirir, manipülasyona daha kapalıdır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B)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Hesaplaması daha kolaydır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Her öğretmene eşit ödül verir</w:t>
            </w:r>
          </w:p>
        </w:tc>
      </w:tr>
      <w:tr>
        <w:tc>
          <w:tcPr>
            <w:tcW w:type="dxa" w:w="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8FBFF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4F81BD"/>
                <w:sz w:val="22"/>
                <w:szCs w:val="22"/>
              </w:rPr>
              <w:t xml:space="preserve">☐</w:t>
            </w:r>
          </w:p>
        </w:tc>
        <w:tc>
          <w:tcPr>
            <w:tcW w:type="dxa" w:w="87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6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D) </w:t>
            </w:r>
            <w:r>
              <w:rPr>
                <w:rFonts w:ascii="Calibri" w:cs="Calibri" w:eastAsia="Calibri" w:hAnsi="Calibri"/>
                <w:color w:val="333333"/>
                <w:sz w:val="22"/>
                <w:szCs w:val="22"/>
              </w:rPr>
              <w:t xml:space="preserve">Bilmiyorum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Bdr>
          <w:left w:val="single" w:color="4F81BD" w:sz="8" w:space="5"/>
        </w:pBdr>
        <w:shd w:fill="DCE6F1" w:val="clear"/>
        <w:spacing w:after="60" w:before="12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Son-Test Skoru: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/ 5</w:t>
      </w:r>
    </w:p>
    <w:p>
      <w:pPr>
        <w:pBdr>
          <w:left w:val="single" w:color="2E6B3E" w:sz="8" w:space="5"/>
        </w:pBdr>
        <w:shd w:fill="D5E8D4" w:val="clear"/>
        <w:spacing w:after="120" w:before="60"/>
        <w:ind w:left="200" w:right="200"/>
      </w:pPr>
      <w:r>
        <w:rPr>
          <w:rFonts w:ascii="Calibri" w:cs="Calibri" w:eastAsia="Calibri" w:hAnsi="Calibri"/>
          <w:b/>
          <w:bCs/>
          <w:color w:val="17375E"/>
          <w:sz w:val="22"/>
          <w:szCs w:val="22"/>
        </w:rPr>
        <w:t xml:space="preserve">Öğrenme Kazanımı (Son − Ön): </w:t>
      </w:r>
      <w:r>
        <w:rPr>
          <w:rFonts w:ascii="Calibri" w:cs="Calibri" w:eastAsia="Calibri" w:hAnsi="Calibri"/>
          <w:color w:val="555555"/>
          <w:sz w:val="22"/>
          <w:szCs w:val="22"/>
        </w:rPr>
        <w:t xml:space="preserve">_____ puan</w:t>
      </w:r>
    </w:p>
    <w:p>
      <w:pPr>
        <w:pBdr>
          <w:bottom w:val="single" w:color="4F81BD" w:sz="6" w:space="1"/>
        </w:pBdr>
        <w:spacing w:after="100" w:before="100"/>
      </w:pPr>
      <w:r>
        <w:t xml:space="preserve"/>
      </w:r>
    </w:p>
    <w:p>
      <w:pPr>
        <w:pBdr>
          <w:left w:val="single" w:color="4F81BD" w:sz="12" w:space="5"/>
        </w:pBdr>
        <w:shd w:fill="EEF3FA" w:val="clear"/>
        <w:spacing w:after="80" w:before="200"/>
        <w:ind w:left="120" w:right="120"/>
      </w:pPr>
      <w:r>
        <w:rPr>
          <w:rFonts w:ascii="Calibri" w:cs="Calibri" w:eastAsia="Calibri" w:hAnsi="Calibri"/>
          <w:b/>
          <w:bCs/>
          <w:color w:val="17375E"/>
          <w:sz w:val="24"/>
          <w:szCs w:val="24"/>
        </w:rPr>
        <w:t xml:space="preserve">Cevap Anahtarı</w:t>
      </w:r>
    </w:p>
    <w:p>
      <w:pPr>
        <w:spacing w:after="80" w:before="80"/>
      </w:pPr>
      <w: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900"/>
        <w:gridCol w:w="3900"/>
      </w:tblGrid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 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Ön-Test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17375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Son-Test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S1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S2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S3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EEF3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S4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2F7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C</w:t>
            </w:r>
          </w:p>
        </w:tc>
      </w:tr>
      <w:tr>
        <w:tc>
          <w:tcPr>
            <w:tcW w:type="dxa" w:w="15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DCE6F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7375E"/>
                <w:sz w:val="22"/>
                <w:szCs w:val="22"/>
              </w:rPr>
              <w:t xml:space="preserve">S5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  <w:tc>
          <w:tcPr>
            <w:tcW w:type="dxa" w:w="3900"/>
            <w:tcBorders>
              <w:top w:val="single" w:color="B8CCE4" w:sz="1"/>
              <w:left w:val="single" w:color="B8CCE4" w:sz="1"/>
              <w:bottom w:val="single" w:color="B8CCE4" w:sz="1"/>
              <w:right w:val="single" w:color="B8CCE4" w:sz="1"/>
            </w:tcBorders>
            <w:shd w:fill="FAFC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4F81BD"/>
                <w:sz w:val="22"/>
                <w:szCs w:val="22"/>
              </w:rPr>
              <w:t xml:space="preserve">A</w:t>
            </w:r>
          </w:p>
        </w:tc>
      </w:tr>
    </w:tbl>
    <w:p>
      <w:pPr>
        <w:spacing w:after="80" w:before="80"/>
      </w:pPr>
      <w:r>
        <w:t xml:space="preserve"/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2026-05-19T15:15:49.817Z</dcterms:created>
  <dcterms:modified xsi:type="dcterms:W3CDTF">2026-05-19T15:15:49.817Z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