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drawingml.chart+xml" PartName="/word/charts/chart1.xml"/>
  <Override ContentType="application/vnd.openxmlformats-officedocument.drawingml.chart+xml" PartName="/word/charts/chart2.xml"/>
  <Override ContentType="application/vnd.openxmlformats-officedocument.drawingml.chart+xml" PartName="/word/charts/chart3.xml"/>
  <Override ContentType="application/vnd.openxmlformats-officedocument.drawingml.chart+xml" PartName="/word/charts/chart4.xml"/>
  <Override ContentType="application/vnd.openxmlformats-officedocument.drawingml.chart+xml" PartName="/word/charts/chart5.xml"/>
  <Override ContentType="application/vnd.openxmlformats-officedocument.drawingml.chart+xml" PartName="/word/charts/chart6.xml"/>
  <Override ContentType="application/vnd.openxmlformats-officedocument.drawingml.chart+xml" PartName="/word/charts/chart7.xml"/>
  <Override ContentType="application/vnd.openxmlformats-officedocument.drawingml.chart+xml" PartName="/word/charts/chart8.xml"/>
  <Override ContentType="application/vnd.openxmlformats-officedocument.drawingml.chart+xml" PartName="/word/charts/chart9.xml"/>
  <Override ContentType="application/vnd.openxmlformats-officedocument.drawingml.chart+xml" PartName="/word/charts/chart10.xml"/>
  <Override ContentType="application/vnd.openxmlformats-officedocument.drawingml.chart+xml" PartName="/word/charts/chart11.xml"/>
  <Override ContentType="application/vnd.openxmlformats-officedocument.drawingml.chart+xml" PartName="/word/charts/chart12.xml"/>
  <Override ContentType="application/vnd.openxmlformats-officedocument.drawingml.chart+xml" PartName="/word/charts/chart13.xml"/>
  <Override ContentType="application/vnd.openxmlformats-officedocument.drawingml.chart+xml" PartName="/word/charts/chart14.xml"/>
  <Override ContentType="application/vnd.openxmlformats-officedocument.drawingml.chart+xml" PartName="/word/charts/chart15.xml"/>
  <Override ContentType="application/vnd.openxmlformats-officedocument.drawingml.chart+xml" PartName="/word/charts/chart16.xml"/>
  <Override ContentType="application/vnd.openxmlformats-officedocument.drawingml.chart+xml" PartName="/word/charts/chart17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2400"/>
        <w:jc w:val="center"/>
      </w:pPr>
      <w:r>
        <w:rPr>
          <w:b w:val="on"/>
          <w:rFonts w:ascii="Source Sans 3" w:hAnsi="Source Sans 3" w:cs="Source Sans 3" w:eastAsia="Source Sans 3"/>
          <w:color w:val="1F2937"/>
          <w:sz w:val="60"/>
        </w:rPr>
        <w:t>网络与经营月度运营报告</w:t>
      </w:r>
    </w:p>
    <w:p>
      <w:pPr>
        <w:jc w:val="center"/>
      </w:pPr>
      <w:r>
        <w:rPr>
          <w:rFonts w:ascii="Source Sans 3" w:hAnsi="Source Sans 3" w:cs="Source Sans 3" w:eastAsia="Source Sans 3"/>
          <w:color w:val="6B7280"/>
          <w:sz w:val="28"/>
        </w:rPr>
        <w:t>Monthly Operations &amp; Business Review</w:t>
      </w:r>
    </w:p>
    <w:p>
      <w:pPr>
        <w:spacing w:before="480"/>
        <w:jc w:val="center"/>
      </w:pPr>
      <w:r>
        <w:rPr>
          <w:rFonts w:ascii="Source Sans 3" w:hAnsi="Source Sans 3" w:cs="Source Sans 3" w:eastAsia="Source Sans 3"/>
          <w:color w:val="6B7280"/>
          <w:sz w:val="22"/>
        </w:rPr>
        <w:t>数据截止：2026-02-28  |  适用场景：经营例会/周会复盘</w:t>
      </w:r>
    </w:p>
    <w:p>
      <w:pPr>
        <w:pageBreakBefore w:val="on"/>
      </w:pPr>
    </w:p>
    <w:p>
      <w:pPr>
        <w:spacing w:before="100" w:after="120"/>
        <w:jc w:val="left"/>
      </w:pPr>
      <w:r>
        <w:rPr>
          <w:b w:val="on"/>
          <w:rFonts w:ascii="Source Sans 3" w:hAnsi="Source Sans 3" w:cs="Source Sans 3" w:eastAsia="Source Sans 3"/>
          <w:color w:val="1F2937"/>
          <w:sz w:val="36"/>
        </w:rPr>
        <w:t>目录</w:t>
      </w:r>
    </w:p>
    <w:p>
      <w:r>
        <w:rPr>
          <w:rFonts w:ascii="Source Sans 3" w:hAnsi="Source Sans 3" w:cs="Source Sans 3" w:eastAsia="Source Sans 3"/>
          <w:sz w:val="22"/>
          <w:color w:val="1F2937"/>
        </w:rPr>
        <w:t>1. 管理层摘要</w:t>
      </w:r>
    </w:p>
    <w:p>
      <w:r>
        <w:rPr>
          <w:rFonts w:ascii="Source Sans 3" w:hAnsi="Source Sans 3" w:cs="Source Sans 3" w:eastAsia="Source Sans 3"/>
          <w:sz w:val="22"/>
          <w:color w:val="1F2937"/>
        </w:rPr>
        <w:t>2. 网络质量与SLA</w:t>
      </w:r>
    </w:p>
    <w:p>
      <w:r>
        <w:rPr>
          <w:rFonts w:ascii="Source Sans 3" w:hAnsi="Source Sans 3" w:cs="Source Sans 3" w:eastAsia="Source Sans 3"/>
          <w:sz w:val="22"/>
          <w:color w:val="1F2937"/>
        </w:rPr>
        <w:t>3. 告警与故障处置效率</w:t>
      </w:r>
    </w:p>
    <w:p>
      <w:r>
        <w:rPr>
          <w:rFonts w:ascii="Source Sans 3" w:hAnsi="Source Sans 3" w:cs="Source Sans 3" w:eastAsia="Source Sans 3"/>
          <w:sz w:val="22"/>
          <w:color w:val="1F2937"/>
        </w:rPr>
        <w:t>4. 客户体验与业务影响</w:t>
      </w:r>
    </w:p>
    <w:p>
      <w:r>
        <w:rPr>
          <w:rFonts w:ascii="Source Sans 3" w:hAnsi="Source Sans 3" w:cs="Source Sans 3" w:eastAsia="Source Sans 3"/>
          <w:sz w:val="22"/>
          <w:color w:val="1F2937"/>
        </w:rPr>
        <w:t>5. 风险与下月计划</w:t>
      </w:r>
    </w:p>
    <w:p>
      <w:r>
        <w:rPr>
          <w:rFonts w:ascii="Source Sans 3" w:hAnsi="Source Sans 3" w:cs="Source Sans 3" w:eastAsia="Source Sans 3"/>
          <w:sz w:val="22"/>
          <w:color w:val="1F2937"/>
        </w:rPr>
        <w:t>6. 附录：多图表类型视角</w:t>
      </w:r>
    </w:p>
    <w:p>
      <w:pPr>
        <w:pageBreakBefore w:val="on"/>
      </w:pPr>
    </w:p>
    <w:p>
      <w:pPr>
        <w:spacing w:before="100" w:after="120"/>
        <w:jc w:val="left"/>
      </w:pPr>
      <w:r>
        <w:rPr>
          <w:b w:val="on"/>
          <w:rFonts w:ascii="Source Sans 3" w:hAnsi="Source Sans 3" w:cs="Source Sans 3" w:eastAsia="Source Sans 3"/>
          <w:color w:val="1F2937"/>
          <w:sz w:val="36"/>
        </w:rPr>
        <w:t>1. 管理层摘要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BFF"/>
          </w:tcPr>
          <w:p>
            <w:pPr>
              <w:spacing w:after="0"/>
            </w:pPr>
            <w:r>
              <w:rPr>
                <w:rFonts w:ascii="Source Sans 3" w:hAnsi="Source Sans 3" w:cs="Source Sans 3" w:eastAsia="Source Sans 3"/>
                <w:color w:val="1F2937"/>
                <w:sz w:val="22"/>
              </w:rPr>
              <w:t>经营侧：收入连续四周环比增长，W4 达到 2012 万；毛利率提升至 33.1%。
运行侧：核心网络可用性维持高位，错误QPS与丢包率持续下降。
决策建议：把资源向高增长区域倾斜，同时压缩低效告警并强化发布前校验。</w:t>
            </w:r>
          </w:p>
        </w:tc>
      </w:tr>
    </w:tbl>
    <w:p>
      <w:pPr>
        <w:spacing w:before="120" w:after="120"/>
      </w:pPr>
      <w:r>
        <w:drawing>
          <wp:inline distT="0" distR="0" distB="0" distL="0">
            <wp:extent cx="6400000" cy="3300000"/>
            <wp:docPr id="0" name="chart 0"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4"/>
              </a:graphicData>
            </a:graphic>
          </wp:inline>
        </w:drawing>
      </w:r>
    </w:p>
    <w:p>
      <w:pPr>
        <w:spacing w:after="80"/>
      </w:pPr>
    </w:p>
    <w:p>
      <w:pPr>
        <w:spacing w:before="120" w:after="120"/>
      </w:pPr>
      <w:r>
        <w:drawing>
          <wp:inline distT="0" distR="0" distB="0" distL="0">
            <wp:extent cx="6400000" cy="3300000"/>
            <wp:docPr id="1" name="chart 1"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5"/>
              </a:graphicData>
            </a:graphic>
          </wp:inline>
        </w:drawing>
      </w:r>
    </w:p>
    <w:p>
      <w:pPr>
        <w:spacing w:after="80"/>
      </w:pPr>
    </w:p>
    <w:p>
      <w:pPr>
        <w:pageBreakBefore w:val="on"/>
      </w:pPr>
    </w:p>
    <w:p>
      <w:pPr>
        <w:spacing w:before="100" w:after="120"/>
        <w:jc w:val="left"/>
      </w:pPr>
      <w:r>
        <w:rPr>
          <w:b w:val="on"/>
          <w:rFonts w:ascii="Source Sans 3" w:hAnsi="Source Sans 3" w:cs="Source Sans 3" w:eastAsia="Source Sans 3"/>
          <w:color w:val="1F2937"/>
          <w:sz w:val="36"/>
        </w:rPr>
        <w:t>2. 网络质量与SLA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BFF"/>
          </w:tcPr>
          <w:p>
            <w:pPr>
              <w:spacing w:after="0"/>
            </w:pPr>
            <w:r>
              <w:rPr>
                <w:rFonts w:ascii="Source Sans 3" w:hAnsi="Source Sans 3" w:cs="Source Sans 3" w:eastAsia="Source Sans 3"/>
                <w:color w:val="1F2937"/>
                <w:sz w:val="22"/>
              </w:rPr>
              <w:t>本月核心网络可用性均值 99.96%，SLA 达标率 100%。02-04 出现短时时延波动，主要由跨区流量突增触发，已通过路由调优恢复。</w:t>
            </w:r>
          </w:p>
        </w:tc>
      </w:tr>
    </w:tbl>
    <w:p>
      <w:pPr>
        <w:spacing w:before="120" w:after="120"/>
      </w:pPr>
      <w:r>
        <w:drawing>
          <wp:inline distT="0" distR="0" distB="0" distL="0">
            <wp:extent cx="6400000" cy="3300000"/>
            <wp:docPr id="2" name="chart 2"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6"/>
              </a:graphicData>
            </a:graphic>
          </wp:inline>
        </w:drawing>
      </w:r>
    </w:p>
    <w:p>
      <w:pPr>
        <w:spacing w:after="80"/>
      </w:pPr>
    </w:p>
    <w:p>
      <w:pPr>
        <w:spacing w:before="120" w:after="120"/>
      </w:pPr>
      <w:r>
        <w:drawing>
          <wp:inline distT="0" distR="0" distB="0" distL="0">
            <wp:extent cx="6400000" cy="3300000"/>
            <wp:docPr id="3" name="chart 3"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7"/>
              </a:graphicData>
            </a:graphic>
          </wp:inline>
        </w:drawing>
      </w:r>
    </w:p>
    <w:p>
      <w:pPr>
        <w:spacing w:after="80"/>
      </w:pPr>
    </w:p>
    <w:p>
      <w:pPr>
        <w:spacing w:before="120" w:after="120"/>
      </w:pPr>
      <w:r>
        <w:drawing>
          <wp:inline distT="0" distR="0" distB="0" distL="0">
            <wp:extent cx="6400000" cy="3300000"/>
            <wp:docPr id="4" name="chart 4"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8"/>
              </a:graphicData>
            </a:graphic>
          </wp:inline>
        </w:drawing>
      </w:r>
    </w:p>
    <w:p>
      <w:pPr>
        <w:spacing w:after="80"/>
      </w:pPr>
    </w:p>
    <w:p>
      <w:pPr>
        <w:pageBreakBefore w:val="on"/>
      </w:pPr>
    </w:p>
    <w:p>
      <w:pPr>
        <w:spacing w:before="100" w:after="120"/>
        <w:jc w:val="left"/>
      </w:pPr>
      <w:r>
        <w:rPr>
          <w:b w:val="on"/>
          <w:rFonts w:ascii="Source Sans 3" w:hAnsi="Source Sans 3" w:cs="Source Sans 3" w:eastAsia="Source Sans 3"/>
          <w:color w:val="1F2937"/>
          <w:sz w:val="36"/>
        </w:rPr>
        <w:t>3. 告警与故障处置效率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BFF"/>
          </w:tcPr>
          <w:p>
            <w:pPr>
              <w:spacing w:after="0"/>
            </w:pPr>
            <w:r>
              <w:rPr>
                <w:rFonts w:ascii="Source Sans 3" w:hAnsi="Source Sans 3" w:cs="Source Sans 3" w:eastAsia="Source Sans 3"/>
                <w:color w:val="1F2937"/>
                <w:sz w:val="22"/>
              </w:rPr>
              <w:t>P1 故障由 W1 的 2 起下降到 W4 的 0 起；P2 故障连续下降。平均修复时长（MTTR）随周次稳定缩短，说明应急流程与自动化处置策略有效。</w:t>
            </w:r>
          </w:p>
        </w:tc>
      </w:tr>
    </w:tbl>
    <w:p>
      <w:pPr>
        <w:spacing w:before="120" w:after="120"/>
      </w:pPr>
      <w:r>
        <w:drawing>
          <wp:inline distT="0" distR="0" distB="0" distL="0">
            <wp:extent cx="6400000" cy="3300000"/>
            <wp:docPr id="5" name="chart 5"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9"/>
              </a:graphicData>
            </a:graphic>
          </wp:inline>
        </w:drawing>
      </w:r>
    </w:p>
    <w:p>
      <w:pPr>
        <w:spacing w:after="80"/>
      </w:pPr>
    </w:p>
    <w:p>
      <w:pPr>
        <w:spacing w:before="120" w:after="120"/>
      </w:pPr>
      <w:r>
        <w:drawing>
          <wp:inline distT="0" distR="0" distB="0" distL="0">
            <wp:extent cx="6400000" cy="3300000"/>
            <wp:docPr id="6" name="chart 6"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10"/>
              </a:graphicData>
            </a:graphic>
          </wp:inline>
        </w:drawing>
      </w:r>
    </w:p>
    <w:p>
      <w:pPr>
        <w:spacing w:after="80"/>
      </w:pPr>
    </w:p>
    <w:p>
      <w:pPr>
        <w:pageBreakBefore w:val="on"/>
      </w:pPr>
    </w:p>
    <w:p>
      <w:pPr>
        <w:spacing w:before="100" w:after="120"/>
        <w:jc w:val="left"/>
      </w:pPr>
      <w:r>
        <w:rPr>
          <w:b w:val="on"/>
          <w:rFonts w:ascii="Source Sans 3" w:hAnsi="Source Sans 3" w:cs="Source Sans 3" w:eastAsia="Source Sans 3"/>
          <w:color w:val="1F2937"/>
          <w:sz w:val="36"/>
        </w:rPr>
        <w:t>4. 客户体验与业务影响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BFF"/>
          </w:tcPr>
          <w:p>
            <w:pPr>
              <w:spacing w:after="0"/>
            </w:pPr>
            <w:r>
              <w:rPr>
                <w:rFonts w:ascii="Source Sans 3" w:hAnsi="Source Sans 3" w:cs="Source Sans 3" w:eastAsia="Source Sans 3"/>
                <w:color w:val="1F2937"/>
                <w:sz w:val="22"/>
              </w:rPr>
              <w:t>NPS 在华东/华北维持较高水平，华南与西南仍有改善空间。客户反馈中“时延抖动”和“偶发丢包”占比最高，应作为下月专项优化重点。</w:t>
            </w:r>
          </w:p>
        </w:tc>
      </w:tr>
    </w:tbl>
    <w:p>
      <w:pPr>
        <w:spacing w:before="120" w:after="120"/>
      </w:pPr>
      <w:r>
        <w:drawing>
          <wp:inline distT="0" distR="0" distB="0" distL="0">
            <wp:extent cx="6400000" cy="3300000"/>
            <wp:docPr id="7" name="chart 7"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11"/>
              </a:graphicData>
            </a:graphic>
          </wp:inline>
        </w:drawing>
      </w:r>
    </w:p>
    <w:p>
      <w:pPr>
        <w:spacing w:after="80"/>
      </w:pPr>
    </w:p>
    <w:p>
      <w:pPr>
        <w:spacing w:before="120" w:after="120"/>
      </w:pPr>
      <w:r>
        <w:drawing>
          <wp:inline distT="0" distR="0" distB="0" distL="0">
            <wp:extent cx="6400000" cy="3300000"/>
            <wp:docPr id="8" name="chart 8"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12"/>
              </a:graphicData>
            </a:graphic>
          </wp:inline>
        </w:drawing>
      </w:r>
    </w:p>
    <w:p>
      <w:pPr>
        <w:spacing w:after="80"/>
      </w:pPr>
    </w:p>
    <w:p>
      <w:pPr>
        <w:spacing w:before="120" w:after="120"/>
      </w:pPr>
      <w:r>
        <w:drawing>
          <wp:inline distT="0" distR="0" distB="0" distL="0">
            <wp:extent cx="6400000" cy="3300000"/>
            <wp:docPr id="9" name="chart 9"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13"/>
              </a:graphicData>
            </a:graphic>
          </wp:inline>
        </w:drawing>
      </w:r>
    </w:p>
    <w:p>
      <w:pPr>
        <w:spacing w:after="80"/>
      </w:pPr>
    </w:p>
    <w:p>
      <w:pPr>
        <w:pageBreakBefore w:val="on"/>
      </w:pPr>
    </w:p>
    <w:p>
      <w:pPr>
        <w:spacing w:before="100" w:after="120"/>
        <w:jc w:val="left"/>
      </w:pPr>
      <w:r>
        <w:rPr>
          <w:b w:val="on"/>
          <w:rFonts w:ascii="Source Sans 3" w:hAnsi="Source Sans 3" w:cs="Source Sans 3" w:eastAsia="Source Sans 3"/>
          <w:color w:val="1F2937"/>
          <w:sz w:val="36"/>
        </w:rPr>
        <w:t>5. 风险与下月计划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BFF"/>
          </w:tcPr>
          <w:p>
            <w:pPr>
              <w:spacing w:after="0"/>
            </w:pPr>
            <w:r>
              <w:rPr>
                <w:rFonts w:ascii="Source Sans 3" w:hAnsi="Source Sans 3" w:cs="Source Sans 3" w:eastAsia="Source Sans 3"/>
                <w:color w:val="1F2937"/>
                <w:sz w:val="22"/>
              </w:rPr>
              <w:t>主要风险：
1) 高峰时段跨区流量回灌仍存在不确定性；
2) 低优先级告警冗余导致值班负荷偏高；
3) 发布窗口叠加业务活动，变更风险上升。</w:t>
            </w:r>
          </w:p>
        </w:tc>
      </w:tr>
    </w:tbl>
    <w:p>
      <w:pPr>
        <w:spacing w:before="120" w:after="120"/>
      </w:pPr>
      <w:r>
        <w:drawing>
          <wp:inline distT="0" distR="0" distB="0" distL="0">
            <wp:extent cx="6400000" cy="3300000"/>
            <wp:docPr id="10" name="chart 10"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14"/>
              </a:graphicData>
            </a:graphic>
          </wp:inline>
        </w:drawing>
      </w:r>
    </w:p>
    <w:p>
      <w:pPr>
        <w:spacing w:after="80"/>
      </w:pPr>
    </w:p>
    <w:p>
      <w:pPr>
        <w:spacing w:before="120" w:after="120"/>
      </w:pPr>
      <w:r>
        <w:drawing>
          <wp:inline distT="0" distR="0" distB="0" distL="0">
            <wp:extent cx="6400000" cy="3300000"/>
            <wp:docPr id="11" name="chart 11"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15"/>
              </a:graphicData>
            </a:graphic>
          </wp:inline>
        </w:drawing>
      </w:r>
    </w:p>
    <w:p>
      <w:pPr>
        <w:spacing w:after="80"/>
      </w:pPr>
    </w:p>
    <w:p>
      <w:pPr>
        <w:spacing w:before="120" w:after="120"/>
      </w:pPr>
      <w:r>
        <w:drawing>
          <wp:inline distT="0" distR="0" distB="0" distL="0">
            <wp:extent cx="6400000" cy="3300000"/>
            <wp:docPr id="12" name="chart 12"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16"/>
              </a:graphicData>
            </a:graphic>
          </wp:inline>
        </w:drawing>
      </w:r>
    </w:p>
    <w:p>
      <w:pPr>
        <w:spacing w:after="80"/>
      </w:pP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BFF"/>
          </w:tcPr>
          <w:p>
            <w:pPr>
              <w:spacing w:after="0"/>
            </w:pPr>
            <w:r>
              <w:rPr>
                <w:rFonts w:ascii="Source Sans 3" w:hAnsi="Source Sans 3" w:cs="Source Sans 3" w:eastAsia="Source Sans 3"/>
                <w:color w:val="1F2937"/>
                <w:sz w:val="22"/>
              </w:rPr>
              <w:t>下月动作清单：
- 完成华南与西南链路策略重算并灰度验证；
- 将噪声告警压缩 30%，同步改造值班SOP；
- 建立“发布前一致性检查 + 回滚演练”双保险机制。</w:t>
            </w:r>
          </w:p>
        </w:tc>
      </w:tr>
    </w:tbl>
    <w:p>
      <w:pPr>
        <w:pageBreakBefore w:val="on"/>
      </w:pPr>
    </w:p>
    <w:p>
      <w:pPr>
        <w:spacing w:before="100" w:after="120"/>
        <w:jc w:val="left"/>
      </w:pPr>
      <w:r>
        <w:rPr>
          <w:b w:val="on"/>
          <w:rFonts w:ascii="Source Sans 3" w:hAnsi="Source Sans 3" w:cs="Source Sans 3" w:eastAsia="Source Sans 3"/>
          <w:color w:val="1F2937"/>
          <w:sz w:val="36"/>
        </w:rPr>
        <w:t>6. 附录：多图表类型视角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BFF"/>
          </w:tcPr>
          <w:p>
            <w:pPr>
              <w:spacing w:after="0"/>
            </w:pPr>
            <w:r>
              <w:rPr>
                <w:rFonts w:ascii="Source Sans 3" w:hAnsi="Source Sans 3" w:cs="Source Sans 3" w:eastAsia="Source Sans 3"/>
                <w:color w:val="1F2937"/>
                <w:sz w:val="22"/>
              </w:rPr>
              <w:t>附录用于展示多图表类型在业务语境下的表达方式，便于方案评审与客户演示。</w:t>
            </w:r>
          </w:p>
        </w:tc>
      </w:tr>
    </w:tbl>
    <w:p>
      <w:pPr>
        <w:spacing w:before="120" w:after="120"/>
      </w:pPr>
      <w:r>
        <w:drawing>
          <wp:inline distT="0" distR="0" distB="0" distL="0">
            <wp:extent cx="6400000" cy="3300000"/>
            <wp:docPr id="13" name="chart 13"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17"/>
              </a:graphicData>
            </a:graphic>
          </wp:inline>
        </w:drawing>
      </w:r>
    </w:p>
    <w:p>
      <w:pPr>
        <w:spacing w:after="80"/>
      </w:pPr>
    </w:p>
    <w:p>
      <w:pPr>
        <w:spacing w:before="120" w:after="120"/>
      </w:pPr>
      <w:r>
        <w:drawing>
          <wp:inline distT="0" distR="0" distB="0" distL="0">
            <wp:extent cx="6400000" cy="3300000"/>
            <wp:docPr id="14" name="chart 14"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18"/>
              </a:graphicData>
            </a:graphic>
          </wp:inline>
        </w:drawing>
      </w:r>
    </w:p>
    <w:p>
      <w:pPr>
        <w:spacing w:after="80"/>
      </w:pPr>
    </w:p>
    <w:p>
      <w:pPr>
        <w:spacing w:before="120" w:after="120"/>
      </w:pPr>
      <w:r>
        <w:drawing>
          <wp:inline distT="0" distR="0" distB="0" distL="0">
            <wp:extent cx="6400000" cy="3300000"/>
            <wp:docPr id="15" name="chart 15"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19"/>
              </a:graphicData>
            </a:graphic>
          </wp:inline>
        </w:drawing>
      </w:r>
    </w:p>
    <w:p>
      <w:pPr>
        <w:spacing w:after="80"/>
      </w:pPr>
    </w:p>
    <w:p>
      <w:pPr>
        <w:spacing w:before="120" w:after="120"/>
      </w:pPr>
      <w:r>
        <w:drawing>
          <wp:inline distT="0" distR="0" distB="0" distL="0">
            <wp:extent cx="6400000" cy="3300000"/>
            <wp:docPr id="16" name="chart 16"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20"/>
              </a:graphicData>
            </a:graphic>
          </wp:inline>
        </w:drawing>
      </w:r>
    </w:p>
    <w:p>
      <w:pPr>
        <w:spacing w:after="80"/>
      </w:pPr>
    </w:p>
    <w:p>
      <w:pPr>
        <w:pageBreakBefore w:val="on"/>
      </w:pPr>
    </w:p>
    <w:p>
      <w:pPr>
        <w:spacing w:before="100" w:after="120"/>
        <w:jc w:val="left"/>
      </w:pPr>
      <w:r>
        <w:rPr>
          <w:b w:val="on"/>
          <w:rFonts w:ascii="Source Sans 3" w:hAnsi="Source Sans 3" w:cs="Source Sans 3" w:eastAsia="Source Sans 3"/>
          <w:color w:val="1F2937"/>
          <w:sz w:val="36"/>
        </w:rPr>
        <w:t>执行摘要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BFF"/>
          </w:tcPr>
          <w:p>
            <w:pPr>
              <w:spacing w:after="0"/>
            </w:pPr>
            <w:r>
              <w:rPr>
                <w:rFonts w:ascii="Source Sans 3" w:hAnsi="Source Sans 3" w:cs="Source Sans 3" w:eastAsia="Source Sans 3"/>
                <w:color w:val="1F2937"/>
                <w:sz w:val="22"/>
              </w:rPr>
              <w:t>本月收入与毛利率同步提升，网络可用性稳定在 99.95% 以上，P1 故障显著下降。下一阶段需优先推进告警收敛与跨区域容量均衡。</w:t>
            </w:r>
          </w:p>
        </w:tc>
      </w:tr>
    </w:tbl>
    <w:sectPr>
      <w:headerReference w:type="default" r:id="rId2"/>
      <w:footerReference w:type="default" r:id="rId3"/>
      <w:pgSz w:w="11906" w:h="16838"/>
      <w:pgMar w:top="1080" w:bottom="1080" w:left="1080" w:right="1080"/>
    </w:sectPr>
  </w:body>
</w:document>
</file>

<file path=word/footer1.xml><?xml version="1.0" encoding="utf-8"?>
<w:ftr xmlns:w="http://schemas.openxmlformats.org/wordprocessingml/2006/main">
  <w:p>
    <w:pPr>
      <w:jc w:val="left"/>
    </w:pPr>
    <w:r>
      <w:rPr>
        <w:rFonts w:ascii="Source Sans 3" w:hAnsi="Source Sans 3" w:cs="Source Sans 3" w:eastAsia="Source Sans 3"/>
        <w:sz w:val="20"/>
        <w:color w:val="6B7280"/>
      </w:rPr>
      <w:t>Visual Document OS · Internal</w:t>
    </w:r>
    <w:r>
      <w:rPr>
        <w:rFonts w:ascii="Source Sans 3" w:hAnsi="Source Sans 3" w:cs="Source Sans 3" w:eastAsia="Source Sans 3"/>
        <w:sz w:val="20"/>
        <w:color w:val="6B7280"/>
      </w:rPr>
      <w:t xml:space="preserve"> | Page </w:t>
    </w:r>
    <w:fldSimple w:instr="PAGE"/>
  </w:p>
</w:ftr>
</file>

<file path=word/header1.xml><?xml version="1.0" encoding="utf-8"?>
<w:hdr xmlns:w="http://schemas.openxmlformats.org/wordprocessingml/2006/main">
  <w:p>
    <w:pPr>
      <w:jc w:val="left"/>
    </w:pPr>
    <w:r>
      <w:rPr>
        <w:rFonts w:ascii="Source Sans 3" w:hAnsi="Source Sans 3" w:cs="Source Sans 3" w:eastAsia="Source Sans 3"/>
        <w:sz w:val="20"/>
        <w:color w:val="6B7280"/>
      </w:rPr>
      <w:t>月度运营报告 · 管理版</w:t>
    </w:r>
  </w:p>
</w:hd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charts/chart7.xml" Type="http://schemas.openxmlformats.org/officeDocument/2006/relationships/chart"/><Relationship Id="rId11" Target="charts/chart8.xml" Type="http://schemas.openxmlformats.org/officeDocument/2006/relationships/chart"/><Relationship Id="rId12" Target="charts/chart9.xml" Type="http://schemas.openxmlformats.org/officeDocument/2006/relationships/chart"/><Relationship Id="rId13" Target="charts/chart10.xml" Type="http://schemas.openxmlformats.org/officeDocument/2006/relationships/chart"/><Relationship Id="rId14" Target="charts/chart11.xml" Type="http://schemas.openxmlformats.org/officeDocument/2006/relationships/chart"/><Relationship Id="rId15" Target="charts/chart12.xml" Type="http://schemas.openxmlformats.org/officeDocument/2006/relationships/chart"/><Relationship Id="rId16" Target="charts/chart13.xml" Type="http://schemas.openxmlformats.org/officeDocument/2006/relationships/chart"/><Relationship Id="rId17" Target="charts/chart14.xml" Type="http://schemas.openxmlformats.org/officeDocument/2006/relationships/chart"/><Relationship Id="rId18" Target="charts/chart15.xml" Type="http://schemas.openxmlformats.org/officeDocument/2006/relationships/chart"/><Relationship Id="rId19" Target="charts/chart16.xml" Type="http://schemas.openxmlformats.org/officeDocument/2006/relationships/chart"/><Relationship Id="rId2" Target="header1.xml" Type="http://schemas.openxmlformats.org/officeDocument/2006/relationships/header"/><Relationship Id="rId20" Target="charts/chart17.xml" Type="http://schemas.openxmlformats.org/officeDocument/2006/relationships/chart"/><Relationship Id="rId3" Target="footer1.xml" Type="http://schemas.openxmlformats.org/officeDocument/2006/relationships/footer"/><Relationship Id="rId4" Target="charts/chart1.xml" Type="http://schemas.openxmlformats.org/officeDocument/2006/relationships/chart"/><Relationship Id="rId5" Target="charts/chart2.xml" Type="http://schemas.openxmlformats.org/officeDocument/2006/relationships/chart"/><Relationship Id="rId6" Target="charts/chart3.xml" Type="http://schemas.openxmlformats.org/officeDocument/2006/relationships/chart"/><Relationship Id="rId7" Target="charts/chart4.xml" Type="http://schemas.openxmlformats.org/officeDocument/2006/relationships/chart"/><Relationship Id="rId8" Target="charts/chart5.xml" Type="http://schemas.openxmlformats.org/officeDocument/2006/relationships/chart"/><Relationship Id="rId9" Target="charts/chart6.xml" Type="http://schemas.openxmlformats.org/officeDocument/2006/relationships/chart"/></Relationships>
</file>

<file path=word/charts/_rels/chart1.xml.rels><?xml version="1.0" encoding="UTF-8" standalone="yes"?><Relationships xmlns="http://schemas.openxmlformats.org/package/2006/relationships"><Relationship Id="rId1" Target="../embeddings/Microsoft_Excel_Worksheet1.xlsx" Type="http://schemas.openxmlformats.org/officeDocument/2006/relationships/package"/></Relationships>
</file>

<file path=word/charts/_rels/chart2.xml.rels><?xml version="1.0" encoding="UTF-8" standalone="yes"?><Relationships xmlns="http://schemas.openxmlformats.org/package/2006/relationships"><Relationship Id="rId1" Target="../embeddings/Microsoft_Excel_Worksheet2.xlsx" Type="http://schemas.openxmlformats.org/officeDocument/2006/relationships/package"/></Relationships>
</file>

<file path=word/charts/_rels/chart3.xml.rels><?xml version="1.0" encoding="UTF-8" standalone="yes"?><Relationships xmlns="http://schemas.openxmlformats.org/package/2006/relationships"><Relationship Id="rId1" Target="../embeddings/Microsoft_Excel_Worksheet3.xlsx" Type="http://schemas.openxmlformats.org/officeDocument/2006/relationships/package"/></Relationships>
</file>

<file path=word/charts/_rels/chart4.xml.rels><?xml version="1.0" encoding="UTF-8" standalone="yes"?><Relationships xmlns="http://schemas.openxmlformats.org/package/2006/relationships"><Relationship Id="rId1" Target="../embeddings/Microsoft_Excel_Worksheet4.xlsx" Type="http://schemas.openxmlformats.org/officeDocument/2006/relationships/package"/></Relationships>
</file>

<file path=word/charts/_rels/chart5.xml.rels><?xml version="1.0" encoding="UTF-8" standalone="yes"?><Relationships xmlns="http://schemas.openxmlformats.org/package/2006/relationships"><Relationship Id="rId1" Target="../embeddings/Microsoft_Excel_Worksheet5.xlsx" Type="http://schemas.openxmlformats.org/officeDocument/2006/relationships/package"/></Relationships>
</file>

<file path=word/charts/_rels/chart6.xml.rels><?xml version="1.0" encoding="UTF-8" standalone="yes"?><Relationships xmlns="http://schemas.openxmlformats.org/package/2006/relationships"><Relationship Id="rId1" Target="../embeddings/Microsoft_Excel_Worksheet6.xlsx" Type="http://schemas.openxmlformats.org/officeDocument/2006/relationships/package"/></Relationships>
</file>

<file path=word/charts/_rels/chart7.xml.rels><?xml version="1.0" encoding="UTF-8" standalone="yes"?><Relationships xmlns="http://schemas.openxmlformats.org/package/2006/relationships"><Relationship Id="rId1" Target="../embeddings/Microsoft_Excel_Worksheet7.xlsx" Type="http://schemas.openxmlformats.org/officeDocument/2006/relationships/package"/></Relationships>
</file>

<file path=word/charts/_rels/chart8.xml.rels><?xml version="1.0" encoding="UTF-8" standalone="yes"?><Relationships xmlns="http://schemas.openxmlformats.org/package/2006/relationships"><Relationship Id="rId1" Target="../embeddings/Microsoft_Excel_Worksheet8.xlsx" Type="http://schemas.openxmlformats.org/officeDocument/2006/relationships/package"/></Relationships>
</file>

<file path=word/charts/_rels/chart9.xml.rels><?xml version="1.0" encoding="UTF-8" standalone="yes"?><Relationships xmlns="http://schemas.openxmlformats.org/package/2006/relationships"><Relationship Id="rId1" Target="../embeddings/Microsoft_Excel_Worksheet9.xlsx" Type="http://schemas.openxmlformats.org/officeDocument/2006/relationships/package"/></Relationships>
</file>

<file path=word/charts/_rels/chart10.xml.rels><?xml version="1.0" encoding="UTF-8" standalone="yes"?><Relationships xmlns="http://schemas.openxmlformats.org/package/2006/relationships"><Relationship Id="rId1" Target="../embeddings/Microsoft_Excel_Worksheet10.xlsx" Type="http://schemas.openxmlformats.org/officeDocument/2006/relationships/package"/></Relationships>
</file>

<file path=word/charts/_rels/chart11.xml.rels><?xml version="1.0" encoding="UTF-8" standalone="yes"?><Relationships xmlns="http://schemas.openxmlformats.org/package/2006/relationships"><Relationship Id="rId1" Target="../embeddings/Microsoft_Excel_Worksheet11.xlsx" Type="http://schemas.openxmlformats.org/officeDocument/2006/relationships/package"/></Relationships>
</file>

<file path=word/charts/_rels/chart12.xml.rels><?xml version="1.0" encoding="UTF-8" standalone="yes"?><Relationships xmlns="http://schemas.openxmlformats.org/package/2006/relationships"><Relationship Id="rId1" Target="../embeddings/Microsoft_Excel_Worksheet12.xlsx" Type="http://schemas.openxmlformats.org/officeDocument/2006/relationships/package"/></Relationships>
</file>

<file path=word/charts/_rels/chart13.xml.rels><?xml version="1.0" encoding="UTF-8" standalone="yes"?><Relationships xmlns="http://schemas.openxmlformats.org/package/2006/relationships"><Relationship Id="rId1" Target="../embeddings/Microsoft_Excel_Worksheet13.xlsx" Type="http://schemas.openxmlformats.org/officeDocument/2006/relationships/package"/></Relationships>
</file>

<file path=word/charts/_rels/chart14.xml.rels><?xml version="1.0" encoding="UTF-8" standalone="yes"?><Relationships xmlns="http://schemas.openxmlformats.org/package/2006/relationships"><Relationship Id="rId1" Target="../embeddings/Microsoft_Excel_Worksheet14.xlsx" Type="http://schemas.openxmlformats.org/officeDocument/2006/relationships/package"/></Relationships>
</file>

<file path=word/charts/_rels/chart15.xml.rels><?xml version="1.0" encoding="UTF-8" standalone="yes"?><Relationships xmlns="http://schemas.openxmlformats.org/package/2006/relationships"><Relationship Id="rId1" Target="../embeddings/Microsoft_Excel_Worksheet15.xlsx" Type="http://schemas.openxmlformats.org/officeDocument/2006/relationships/package"/></Relationships>
</file>

<file path=word/charts/_rels/chart16.xml.rels><?xml version="1.0" encoding="UTF-8" standalone="yes"?><Relationships xmlns="http://schemas.openxmlformats.org/package/2006/relationships"><Relationship Id="rId1" Target="../embeddings/Microsoft_Excel_Worksheet16.xlsx" Type="http://schemas.openxmlformats.org/officeDocument/2006/relationships/package"/></Relationships>
</file>

<file path=word/charts/_rels/chart17.xml.rels><?xml version="1.0" encoding="UTF-8" standalone="yes"?><Relationships xmlns="http://schemas.openxmlformats.org/package/2006/relationships"><Relationship Id="rId1" Target="../embeddings/Microsoft_Excel_Worksheet17.xlsx" Type="http://schemas.openxmlformats.org/officeDocument/2006/relationships/package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 anchor="t" rtlCol="false"/>
          <a:lstStyle/>
          <a:p>
            <a:pPr algn="l">
              <a:defRPr/>
            </a:pPr>
            <a:r>
              <a:rPr lang="zh-CN"/>
              <a:t>收入与毛利率周趋势</a:t>
            </a:r>
            <a:endParaRPr lang="en-US" sz="1100"/>
          </a:p>
        </c:rich>
      </c:tx>
      <c:layout/>
      <c:overlay val="false"/>
    </c:title>
    <c:plotArea>
      <c:barChart>
        <c:barDir val="bar"/>
        <c:ser>
          <c:idx val="0"/>
          <c:order val="0"/>
          <c:tx>
            <c:v>revenue_m</c:v>
          </c:tx>
          <c:cat>
            <c:strLit>
              <c:ptCount val="4"/>
              <c:pt idx="0">
                <c:v>W1</c:v>
              </c:pt>
              <c:pt idx="1">
                <c:v>W2</c:v>
              </c:pt>
              <c:pt idx="2">
                <c:v>W3</c:v>
              </c:pt>
              <c:pt idx="3">
                <c:v>W4</c:v>
              </c:pt>
            </c:strLit>
          </c:cat>
          <c:val>
            <c:numLit>
              <c:ptCount val="4"/>
              <c:pt idx="0">
                <c:v>1820.0</c:v>
              </c:pt>
              <c:pt idx="1">
                <c:v>1885.0</c:v>
              </c:pt>
              <c:pt idx="2">
                <c:v>1948.0</c:v>
              </c:pt>
              <c:pt idx="3">
                <c:v>2012.0</c:v>
              </c:pt>
            </c:numLit>
          </c:val>
        </c:ser>
        <c:axId val="0"/>
        <c:axId val="1"/>
      </c:barChart>
      <c:lineChart>
        <c:ser>
          <c:idx val="1"/>
          <c:order val="1"/>
          <c:tx>
            <c:v>gross_margin_pct</c:v>
          </c:tx>
          <c:cat>
            <c:strLit>
              <c:ptCount val="4"/>
              <c:pt idx="0">
                <c:v>W1</c:v>
              </c:pt>
              <c:pt idx="1">
                <c:v>W2</c:v>
              </c:pt>
              <c:pt idx="2">
                <c:v>W3</c:v>
              </c:pt>
              <c:pt idx="3">
                <c:v>W4</c:v>
              </c:pt>
            </c:strLit>
          </c:cat>
          <c:val>
            <c:numLit>
              <c:ptCount val="4"/>
              <c:pt idx="0">
                <c:v>31.2</c:v>
              </c:pt>
              <c:pt idx="1">
                <c:v>31.9</c:v>
              </c:pt>
              <c:pt idx="2">
                <c:v>32.5</c:v>
              </c:pt>
              <c:pt idx="3">
                <c:v>33.1</c:v>
              </c:pt>
            </c:numLit>
          </c:val>
        </c:ser>
        <c:axId val="0"/>
        <c:axId val="2"/>
      </c:lineChart>
      <c:catAx>
        <c:axId val="0"/>
        <c:scaling>
          <c:orientation val="minMax"/>
        </c:scaling>
        <c:delete val="false"/>
        <c:axPos val="b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周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1"/>
        <c:crosses val="autoZero"/>
        <c:auto val="false"/>
      </c:catAx>
      <c:valAx>
        <c:axId val="1"/>
        <c:scaling>
          <c:orientation val="minMax"/>
        </c:scaling>
        <c:delete val="false"/>
        <c:axPos val="l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Revenue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0"/>
        <c:crosses val="autoZero"/>
        <c:crossBetween val="midCat"/>
      </c:valAx>
      <c:valAx>
        <c:axId val="2"/>
        <c:scaling>
          <c:orientation val="minMax"/>
        </c:scaling>
        <c:delete val="false"/>
        <c:axPos val="r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gross_margin_pct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/>
        <c:crosses val="autoZero"/>
        <c:crossBetween val="midCat"/>
      </c:valAx>
    </c:plotArea>
    <c:legend>
      <c:legendPos val="t"/>
      <c:overlay val="false"/>
    </c:legend>
  </c:chart>
  <c:externalData r:id="rId1"/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 anchor="t" rtlCol="false"/>
          <a:lstStyle/>
          <a:p>
            <a:pPr algn="l">
              <a:defRPr/>
            </a:pPr>
            <a:r>
              <a:rPr lang="zh-CN"/>
              <a:t>活跃用户与续费率</a:t>
            </a:r>
            <a:endParaRPr lang="en-US" sz="1100"/>
          </a:p>
        </c:rich>
      </c:tx>
      <c:layout/>
      <c:overlay val="false"/>
    </c:title>
    <c:plotArea>
      <c:lineChart>
        <c:ser>
          <c:idx val="0"/>
          <c:order val="0"/>
          <c:tx>
            <c:v>active_users_k</c:v>
          </c:tx>
          <c:cat>
            <c:strLit>
              <c:ptCount val="4"/>
              <c:pt idx="0">
                <c:v>W1</c:v>
              </c:pt>
              <c:pt idx="1">
                <c:v>W2</c:v>
              </c:pt>
              <c:pt idx="2">
                <c:v>W3</c:v>
              </c:pt>
              <c:pt idx="3">
                <c:v>W4</c:v>
              </c:pt>
            </c:strLit>
          </c:cat>
          <c:val>
            <c:numLit>
              <c:ptCount val="4"/>
              <c:pt idx="0">
                <c:v>420.0</c:v>
              </c:pt>
              <c:pt idx="1">
                <c:v>427.0</c:v>
              </c:pt>
              <c:pt idx="2">
                <c:v>435.0</c:v>
              </c:pt>
              <c:pt idx="3">
                <c:v>442.0</c:v>
              </c:pt>
            </c:numLit>
          </c:val>
        </c:ser>
        <c:ser>
          <c:idx val="1"/>
          <c:order val="1"/>
          <c:tx>
            <c:v>renewal_pct</c:v>
          </c:tx>
          <c:cat>
            <c:strLit>
              <c:ptCount val="4"/>
              <c:pt idx="0">
                <c:v>W1</c:v>
              </c:pt>
              <c:pt idx="1">
                <c:v>W2</c:v>
              </c:pt>
              <c:pt idx="2">
                <c:v>W3</c:v>
              </c:pt>
              <c:pt idx="3">
                <c:v>W4</c:v>
              </c:pt>
            </c:strLit>
          </c:cat>
          <c:val>
            <c:numLit>
              <c:ptCount val="4"/>
              <c:pt idx="0">
                <c:v>87.1</c:v>
              </c:pt>
              <c:pt idx="1">
                <c:v>87.8</c:v>
              </c:pt>
              <c:pt idx="2">
                <c:v>88.3</c:v>
              </c:pt>
              <c:pt idx="3">
                <c:v>88.9</c:v>
              </c:pt>
            </c:numLit>
          </c:val>
        </c:ser>
        <c:axId val="0"/>
        <c:axId val="1"/>
      </c:lineChart>
      <c:catAx>
        <c:axId val="0"/>
        <c:scaling>
          <c:orientation val="minMax"/>
        </c:scaling>
        <c:delete val="false"/>
        <c:axPos val="b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week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1"/>
        <c:crosses val="autoZero"/>
        <c:auto val="false"/>
      </c:catAx>
      <c:valAx>
        <c:axId val="1"/>
        <c:scaling>
          <c:orientation val="minMax"/>
        </c:scaling>
        <c:delete val="false"/>
        <c:axPos val="l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active_users_k, renewal_pct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0"/>
        <c:crosses val="autoZero"/>
        <c:crossBetween val="midCat"/>
      </c:valAx>
    </c:plotArea>
    <c:legend>
      <c:legendPos val="t"/>
      <c:overlay val="false"/>
    </c:legend>
  </c:chart>
  <c:externalData r:id="rId1"/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 anchor="t" rtlCol="false"/>
          <a:lstStyle/>
          <a:p>
            <a:pPr algn="l">
              <a:defRPr/>
            </a:pPr>
            <a:r>
              <a:rPr lang="zh-CN"/>
              <a:t>可用性与丢包率（日）</a:t>
            </a:r>
            <a:endParaRPr lang="en-US" sz="1100"/>
          </a:p>
        </c:rich>
      </c:tx>
      <c:layout/>
      <c:overlay val="false"/>
    </c:title>
    <c:plotArea>
      <c:lineChart>
        <c:ser>
          <c:idx val="0"/>
          <c:order val="0"/>
          <c:tx>
            <c:v>availability_pct</c:v>
          </c:tx>
          <c:cat>
            <c:strLit>
              <c:ptCount val="7"/>
              <c:pt idx="0">
                <c:v>02-01</c:v>
              </c:pt>
              <c:pt idx="1">
                <c:v>02-02</c:v>
              </c:pt>
              <c:pt idx="2">
                <c:v>02-03</c:v>
              </c:pt>
              <c:pt idx="3">
                <c:v>02-04</c:v>
              </c:pt>
              <c:pt idx="4">
                <c:v>02-05</c:v>
              </c:pt>
              <c:pt idx="5">
                <c:v>02-06</c:v>
              </c:pt>
              <c:pt idx="6">
                <c:v>02-07</c:v>
              </c:pt>
            </c:strLit>
          </c:cat>
          <c:val>
            <c:numLit>
              <c:ptCount val="7"/>
              <c:pt idx="0">
                <c:v>99.95</c:v>
              </c:pt>
              <c:pt idx="1">
                <c:v>99.96</c:v>
              </c:pt>
              <c:pt idx="2">
                <c:v>99.97</c:v>
              </c:pt>
              <c:pt idx="3">
                <c:v>99.96</c:v>
              </c:pt>
              <c:pt idx="4">
                <c:v>99.98</c:v>
              </c:pt>
              <c:pt idx="5">
                <c:v>99.97</c:v>
              </c:pt>
              <c:pt idx="6">
                <c:v>99.98</c:v>
              </c:pt>
            </c:numLit>
          </c:val>
        </c:ser>
        <c:ser>
          <c:idx val="1"/>
          <c:order val="1"/>
          <c:tx>
            <c:v>packet_loss_pct</c:v>
          </c:tx>
          <c:cat>
            <c:strLit>
              <c:ptCount val="7"/>
              <c:pt idx="0">
                <c:v>02-01</c:v>
              </c:pt>
              <c:pt idx="1">
                <c:v>02-02</c:v>
              </c:pt>
              <c:pt idx="2">
                <c:v>02-03</c:v>
              </c:pt>
              <c:pt idx="3">
                <c:v>02-04</c:v>
              </c:pt>
              <c:pt idx="4">
                <c:v>02-05</c:v>
              </c:pt>
              <c:pt idx="5">
                <c:v>02-06</c:v>
              </c:pt>
              <c:pt idx="6">
                <c:v>02-07</c:v>
              </c:pt>
            </c:strLit>
          </c:cat>
          <c:val>
            <c:numLit>
              <c:ptCount val="7"/>
              <c:pt idx="0">
                <c:v>0.23</c:v>
              </c:pt>
              <c:pt idx="1">
                <c:v>0.21</c:v>
              </c:pt>
              <c:pt idx="2">
                <c:v>0.19</c:v>
              </c:pt>
              <c:pt idx="3">
                <c:v>0.24</c:v>
              </c:pt>
              <c:pt idx="4">
                <c:v>0.17</c:v>
              </c:pt>
              <c:pt idx="5">
                <c:v>0.18</c:v>
              </c:pt>
              <c:pt idx="6">
                <c:v>0.16</c:v>
              </c:pt>
            </c:numLit>
          </c:val>
        </c:ser>
        <c:axId val="0"/>
        <c:axId val="1"/>
      </c:lineChart>
      <c:catAx>
        <c:axId val="0"/>
        <c:scaling>
          <c:orientation val="minMax"/>
        </c:scaling>
        <c:delete val="false"/>
        <c:axPos val="b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day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1"/>
        <c:crosses val="autoZero"/>
        <c:auto val="false"/>
      </c:catAx>
      <c:valAx>
        <c:axId val="1"/>
        <c:scaling>
          <c:orientation val="minMax"/>
        </c:scaling>
        <c:delete val="false"/>
        <c:axPos val="l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availability_pct, packet_loss_pct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0"/>
        <c:crosses val="autoZero"/>
        <c:crossBetween val="midCat"/>
      </c:valAx>
    </c:plotArea>
    <c:legend>
      <c:legendPos val="t"/>
      <c:overlay val="false"/>
    </c:legend>
  </c:chart>
  <c:externalData r:id="rId1"/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 anchor="t" rtlCol="false"/>
          <a:lstStyle/>
          <a:p>
            <a:pPr algn="l">
              <a:defRPr/>
            </a:pPr>
            <a:r>
              <a:rPr lang="zh-CN"/>
              <a:t>各区域平均时延</a:t>
            </a:r>
            <a:endParaRPr lang="en-US" sz="1100"/>
          </a:p>
        </c:rich>
      </c:tx>
      <c:layout/>
      <c:overlay val="false"/>
    </c:title>
    <c:plotArea>
      <c:barChart>
        <c:barDir val="bar"/>
        <c:ser>
          <c:idx val="0"/>
          <c:order val="0"/>
          <c:tx>
            <c:v>latency_ms</c:v>
          </c:tx>
          <c:cat>
            <c:strLit>
              <c:ptCount val="4"/>
              <c:pt idx="0">
                <c:v>华东</c:v>
              </c:pt>
              <c:pt idx="1">
                <c:v>华北</c:v>
              </c:pt>
              <c:pt idx="2">
                <c:v>华南</c:v>
              </c:pt>
              <c:pt idx="3">
                <c:v>西南</c:v>
              </c:pt>
            </c:strLit>
          </c:cat>
          <c:val>
            <c:numLit>
              <c:ptCount val="4"/>
              <c:pt idx="0">
                <c:v>18.0</c:v>
              </c:pt>
              <c:pt idx="1">
                <c:v>20.0</c:v>
              </c:pt>
              <c:pt idx="2">
                <c:v>22.0</c:v>
              </c:pt>
              <c:pt idx="3">
                <c:v>24.0</c:v>
              </c:pt>
            </c:numLit>
          </c:val>
        </c:ser>
        <c:axId val="0"/>
        <c:axId val="1"/>
      </c:barChart>
      <c:catAx>
        <c:axId val="0"/>
        <c:scaling>
          <c:orientation val="minMax"/>
        </c:scaling>
        <c:delete val="false"/>
        <c:axPos val="b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region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1"/>
        <c:crosses val="autoZero"/>
        <c:auto val="false"/>
      </c:catAx>
      <c:valAx>
        <c:axId val="1"/>
        <c:scaling>
          <c:orientation val="minMax"/>
        </c:scaling>
        <c:delete val="false"/>
        <c:axPos val="l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latency_ms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0"/>
        <c:crosses val="autoZero"/>
        <c:crossBetween val="midCat"/>
      </c:valAx>
    </c:plotArea>
    <c:legend>
      <c:legendPos val="t"/>
      <c:overlay val="false"/>
    </c:legend>
  </c:chart>
  <c:externalData r:id="rId1"/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 anchor="t" rtlCol="false"/>
          <a:lstStyle/>
          <a:p>
            <a:pPr algn="l">
              <a:defRPr/>
            </a:pPr>
            <a:r>
              <a:rPr lang="zh-CN"/>
              <a:t>区域时延与NPS关系</a:t>
            </a:r>
            <a:endParaRPr lang="en-US" sz="1100"/>
          </a:p>
        </c:rich>
      </c:tx>
      <c:layout/>
      <c:overlay val="false"/>
    </c:title>
    <c:plotArea>
      <c:scatterChart>
        <c:ser>
          <c:idx val="0"/>
          <c:order val="0"/>
          <c:tx>
            <c:v>nps</c:v>
          </c:tx>
          <c:marker>
            <c:symbol val="none"/>
          </c:marker>
          <c:xVal>
            <c:numLit>
              <c:ptCount val="4"/>
              <c:pt idx="0">
                <c:v>18.0</c:v>
              </c:pt>
              <c:pt idx="1">
                <c:v>20.0</c:v>
              </c:pt>
              <c:pt idx="2">
                <c:v>22.0</c:v>
              </c:pt>
              <c:pt idx="3">
                <c:v>24.0</c:v>
              </c:pt>
            </c:numLit>
          </c:xVal>
          <c:yVal>
            <c:numLit>
              <c:ptCount val="4"/>
              <c:pt idx="0">
                <c:v>58.0</c:v>
              </c:pt>
              <c:pt idx="1">
                <c:v>55.0</c:v>
              </c:pt>
              <c:pt idx="2">
                <c:v>52.0</c:v>
              </c:pt>
              <c:pt idx="3">
                <c:v>49.0</c:v>
              </c:pt>
            </c:numLit>
          </c:yVal>
        </c:ser>
        <c:axId val="0"/>
        <c:axId val="1"/>
      </c:scatterChart>
      <c:valAx>
        <c:axId val="0"/>
        <c:scaling>
          <c:orientation val="minMax"/>
        </c:scaling>
        <c:delete val="false"/>
        <c:axPos val="b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latency_ms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1"/>
        <c:crosses val="autoZero"/>
        <c:crossBetween val="midCat"/>
      </c:valAx>
      <c:valAx>
        <c:axId val="1"/>
        <c:scaling>
          <c:orientation val="minMax"/>
        </c:scaling>
        <c:delete val="false"/>
        <c:axPos val="l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nps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0"/>
        <c:crosses val="autoZero"/>
        <c:crossBetween val="midCat"/>
      </c:valAx>
    </c:plotArea>
    <c:legend>
      <c:legendPos val="t"/>
      <c:overlay val="false"/>
    </c:legend>
  </c:chart>
  <c:externalData r:id="rId1"/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 anchor="t" rtlCol="false"/>
          <a:lstStyle/>
          <a:p>
            <a:pPr algn="l">
              <a:defRPr/>
            </a:pPr>
            <a:r>
              <a:rPr lang="zh-CN"/>
              <a:t>故障数量（按级别）</a:t>
            </a:r>
            <a:endParaRPr lang="en-US" sz="1100"/>
          </a:p>
        </c:rich>
      </c:tx>
      <c:layout/>
      <c:overlay val="false"/>
    </c:title>
    <c:plotArea>
      <c:barChart>
        <c:barDir val="bar"/>
        <c:ser>
          <c:idx val="0"/>
          <c:order val="0"/>
          <c:tx>
            <c:v>count</c:v>
          </c:tx>
          <c:cat>
            <c:strLit>
              <c:ptCount val="2"/>
              <c:pt idx="0">
                <c:v>P1</c:v>
              </c:pt>
              <c:pt idx="1">
                <c:v>P2</c:v>
              </c:pt>
            </c:strLit>
          </c:cat>
          <c:val>
            <c:numLit>
              <c:ptCount val="2"/>
              <c:pt idx="0">
                <c:v>0.0</c:v>
              </c:pt>
              <c:pt idx="1">
                <c:v>3.0</c:v>
              </c:pt>
            </c:numLit>
          </c:val>
        </c:ser>
        <c:axId val="0"/>
        <c:axId val="1"/>
      </c:barChart>
      <c:catAx>
        <c:axId val="0"/>
        <c:scaling>
          <c:orientation val="minMax"/>
        </c:scaling>
        <c:delete val="false"/>
        <c:axPos val="b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severity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1"/>
        <c:crosses val="autoZero"/>
        <c:auto val="false"/>
      </c:catAx>
      <c:valAx>
        <c:axId val="1"/>
        <c:scaling>
          <c:orientation val="minMax"/>
        </c:scaling>
        <c:delete val="false"/>
        <c:axPos val="l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count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0"/>
        <c:crosses val="autoZero"/>
        <c:crossBetween val="midCat"/>
      </c:valAx>
    </c:plotArea>
    <c:legend>
      <c:legendPos val="t"/>
      <c:overlay val="false"/>
    </c:legend>
  </c:chart>
  <c:externalData r:id="rId1"/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 anchor="t" rtlCol="false"/>
          <a:lstStyle/>
          <a:p>
            <a:pPr algn="l">
              <a:defRPr/>
            </a:pPr>
            <a:r>
              <a:rPr lang="zh-CN"/>
              <a:t>MTTR 周趋势</a:t>
            </a:r>
            <a:endParaRPr lang="en-US" sz="1100"/>
          </a:p>
        </c:rich>
      </c:tx>
      <c:layout/>
      <c:overlay val="false"/>
    </c:title>
    <c:plotArea>
      <c:lineChart>
        <c:ser>
          <c:idx val="0"/>
          <c:order val="0"/>
          <c:tx>
            <c:v>P1</c:v>
          </c:tx>
          <c:cat>
            <c:strLit>
              <c:ptCount val="4"/>
              <c:pt idx="0">
                <c:v>W1</c:v>
              </c:pt>
              <c:pt idx="1">
                <c:v>W2</c:v>
              </c:pt>
              <c:pt idx="2">
                <c:v>W3</c:v>
              </c:pt>
              <c:pt idx="3">
                <c:v>W4</c:v>
              </c:pt>
            </c:strLit>
          </c:cat>
          <c:val>
            <c:numLit>
              <c:ptCount val="4"/>
              <c:pt idx="0">
                <c:v>43.0</c:v>
              </c:pt>
              <c:pt idx="1">
                <c:v>37.0</c:v>
              </c:pt>
              <c:pt idx="2">
                <c:v>34.0</c:v>
              </c:pt>
              <c:pt idx="3">
                <c:v>0.0</c:v>
              </c:pt>
            </c:numLit>
          </c:val>
        </c:ser>
        <c:ser>
          <c:idx val="1"/>
          <c:order val="1"/>
          <c:tx>
            <c:v>P2</c:v>
          </c:tx>
          <c:cat>
            <c:strLit>
              <c:ptCount val="4"/>
              <c:pt idx="0">
                <c:v>W1</c:v>
              </c:pt>
              <c:pt idx="1">
                <c:v>W2</c:v>
              </c:pt>
              <c:pt idx="2">
                <c:v>W3</c:v>
              </c:pt>
              <c:pt idx="3">
                <c:v>W4</c:v>
              </c:pt>
            </c:strLit>
          </c:cat>
          <c:val>
            <c:numLit>
              <c:ptCount val="4"/>
              <c:pt idx="0">
                <c:v>52.0</c:v>
              </c:pt>
              <c:pt idx="1">
                <c:v>48.0</c:v>
              </c:pt>
              <c:pt idx="2">
                <c:v>45.0</c:v>
              </c:pt>
              <c:pt idx="3">
                <c:v>39.0</c:v>
              </c:pt>
            </c:numLit>
          </c:val>
        </c:ser>
        <c:axId val="0"/>
        <c:axId val="1"/>
      </c:lineChart>
      <c:catAx>
        <c:axId val="0"/>
        <c:scaling>
          <c:orientation val="minMax"/>
        </c:scaling>
        <c:delete val="false"/>
        <c:axPos val="b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week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1"/>
        <c:crosses val="autoZero"/>
        <c:auto val="false"/>
      </c:catAx>
      <c:valAx>
        <c:axId val="1"/>
        <c:scaling>
          <c:orientation val="minMax"/>
        </c:scaling>
        <c:delete val="false"/>
        <c:axPos val="l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mttr_min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0"/>
        <c:crosses val="autoZero"/>
        <c:crossBetween val="midCat"/>
      </c:valAx>
    </c:plotArea>
    <c:legend>
      <c:legendPos val="t"/>
      <c:overlay val="false"/>
    </c:legend>
  </c:chart>
  <c:externalData r:id="rId1"/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 anchor="t" rtlCol="false"/>
          <a:lstStyle/>
          <a:p>
            <a:pPr algn="l">
              <a:defRPr/>
            </a:pPr>
            <a:r>
              <a:rPr lang="zh-CN"/>
              <a:t>区域 NPS 对比</a:t>
            </a:r>
            <a:endParaRPr lang="en-US" sz="1100"/>
          </a:p>
        </c:rich>
      </c:tx>
      <c:layout/>
      <c:overlay val="false"/>
    </c:title>
    <c:plotArea>
      <c:barChart>
        <c:barDir val="bar"/>
        <c:ser>
          <c:idx val="0"/>
          <c:order val="0"/>
          <c:tx>
            <c:v>nps</c:v>
          </c:tx>
          <c:cat>
            <c:strLit>
              <c:ptCount val="4"/>
              <c:pt idx="0">
                <c:v>华东</c:v>
              </c:pt>
              <c:pt idx="1">
                <c:v>华北</c:v>
              </c:pt>
              <c:pt idx="2">
                <c:v>华南</c:v>
              </c:pt>
              <c:pt idx="3">
                <c:v>西南</c:v>
              </c:pt>
            </c:strLit>
          </c:cat>
          <c:val>
            <c:numLit>
              <c:ptCount val="4"/>
              <c:pt idx="0">
                <c:v>58.0</c:v>
              </c:pt>
              <c:pt idx="1">
                <c:v>55.0</c:v>
              </c:pt>
              <c:pt idx="2">
                <c:v>52.0</c:v>
              </c:pt>
              <c:pt idx="3">
                <c:v>49.0</c:v>
              </c:pt>
            </c:numLit>
          </c:val>
        </c:ser>
        <c:axId val="0"/>
        <c:axId val="1"/>
      </c:barChart>
      <c:catAx>
        <c:axId val="0"/>
        <c:scaling>
          <c:orientation val="minMax"/>
        </c:scaling>
        <c:delete val="false"/>
        <c:axPos val="b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region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1"/>
        <c:crosses val="autoZero"/>
        <c:auto val="false"/>
      </c:catAx>
      <c:valAx>
        <c:axId val="1"/>
        <c:scaling>
          <c:orientation val="minMax"/>
        </c:scaling>
        <c:delete val="false"/>
        <c:axPos val="l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nps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0"/>
        <c:crosses val="autoZero"/>
        <c:crossBetween val="midCat"/>
      </c:valAx>
    </c:plotArea>
    <c:legend>
      <c:legendPos val="t"/>
      <c:overlay val="false"/>
    </c:legend>
  </c:chart>
  <c:externalData r:id="rId1"/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 anchor="t" rtlCol="false"/>
          <a:lstStyle/>
          <a:p>
            <a:pPr algn="l">
              <a:defRPr/>
            </a:pPr>
            <a:r>
              <a:rPr lang="zh-CN"/>
              <a:t>客户问题类型占比</a:t>
            </a:r>
            <a:endParaRPr lang="en-US" sz="1100"/>
          </a:p>
        </c:rich>
      </c:tx>
      <c:layout/>
      <c:overlay val="false"/>
    </c:title>
    <c:plotArea>
      <c:pieChart>
        <c:ser>
          <c:idx val="0"/>
          <c:order val="0"/>
          <c:tx>
            <c:v>value</c:v>
          </c:tx>
          <c:cat>
            <c:strLit>
              <c:ptCount val="5"/>
              <c:pt idx="0">
                <c:v>时延抖动</c:v>
              </c:pt>
              <c:pt idx="1">
                <c:v>偶发丢包</c:v>
              </c:pt>
              <c:pt idx="2">
                <c:v>访问慢</c:v>
              </c:pt>
              <c:pt idx="3">
                <c:v>连接中断</c:v>
              </c:pt>
              <c:pt idx="4">
                <c:v>其他</c:v>
              </c:pt>
            </c:strLit>
          </c:cat>
          <c:val>
            <c:numLit>
              <c:ptCount val="5"/>
              <c:pt idx="0">
                <c:v>36.0</c:v>
              </c:pt>
              <c:pt idx="1">
                <c:v>24.0</c:v>
              </c:pt>
              <c:pt idx="2">
                <c:v>18.0</c:v>
              </c:pt>
              <c:pt idx="3">
                <c:v>12.0</c:v>
              </c:pt>
              <c:pt idx="4">
                <c:v>10.0</c:v>
              </c:pt>
            </c:numLit>
          </c:val>
        </c:ser>
      </c:pieChart>
    </c:plotArea>
    <c:legend>
      <c:legendPos val="t"/>
      <c:overlay val="false"/>
    </c:legend>
  </c:chart>
  <c:externalData r:id="rId1"/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 anchor="t" rtlCol="false"/>
          <a:lstStyle/>
          <a:p>
            <a:pPr algn="l">
              <a:defRPr/>
            </a:pPr>
            <a:r>
              <a:rPr lang="zh-CN"/>
              <a:t>客户问题结构树图</a:t>
            </a:r>
            <a:endParaRPr lang="en-US" sz="1100"/>
          </a:p>
        </c:rich>
      </c:tx>
      <c:layout/>
      <c:overlay val="false"/>
    </c:title>
    <c:plotArea>
      <c:pieChart>
        <c:ser>
          <c:idx val="0"/>
          <c:order val="0"/>
          <c:tx>
            <c:v>value</c:v>
          </c:tx>
          <c:cat>
            <c:strLit>
              <c:ptCount val="5"/>
              <c:pt idx="0">
                <c:v>时延抖动</c:v>
              </c:pt>
              <c:pt idx="1">
                <c:v>偶发丢包</c:v>
              </c:pt>
              <c:pt idx="2">
                <c:v>访问慢</c:v>
              </c:pt>
              <c:pt idx="3">
                <c:v>连接中断</c:v>
              </c:pt>
              <c:pt idx="4">
                <c:v>其他</c:v>
              </c:pt>
            </c:strLit>
          </c:cat>
          <c:val>
            <c:numLit>
              <c:ptCount val="5"/>
              <c:pt idx="0">
                <c:v>36.0</c:v>
              </c:pt>
              <c:pt idx="1">
                <c:v>24.0</c:v>
              </c:pt>
              <c:pt idx="2">
                <c:v>18.0</c:v>
              </c:pt>
              <c:pt idx="3">
                <c:v>12.0</c:v>
              </c:pt>
              <c:pt idx="4">
                <c:v>10.0</c:v>
              </c:pt>
            </c:numLit>
          </c:val>
        </c:ser>
      </c:pieChart>
    </c:plotArea>
    <c:legend>
      <c:legendPos val="t"/>
      <c:overlay val="false"/>
    </c:legend>
  </c:chart>
  <c:externalData r:id="rId1"/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 anchor="t" rtlCol="false"/>
          <a:lstStyle/>
          <a:p>
            <a:pPr algn="l">
              <a:defRPr/>
            </a:pPr>
            <a:r>
              <a:rPr lang="zh-CN"/>
              <a:t>重点治理项推进度</a:t>
            </a:r>
            <a:endParaRPr lang="en-US" sz="1100"/>
          </a:p>
        </c:rich>
      </c:tx>
      <c:layout/>
      <c:overlay val="false"/>
    </c:title>
    <c:plotArea>
      <c:barChart>
        <c:barDir val="bar"/>
        <c:ser>
          <c:idx val="0"/>
          <c:order val="0"/>
          <c:tx>
            <c:v>progress</c:v>
          </c:tx>
          <c:cat>
            <c:strLit>
              <c:ptCount val="5"/>
              <c:pt idx="0">
                <c:v>链路治理</c:v>
              </c:pt>
              <c:pt idx="1">
                <c:v>容量扩容</c:v>
              </c:pt>
              <c:pt idx="2">
                <c:v>告警收敛</c:v>
              </c:pt>
              <c:pt idx="3">
                <c:v>灰度校验</c:v>
              </c:pt>
              <c:pt idx="4">
                <c:v>演练闭环</c:v>
              </c:pt>
            </c:strLit>
          </c:cat>
          <c:val>
            <c:numLit>
              <c:ptCount val="5"/>
              <c:pt idx="0">
                <c:v>100.0</c:v>
              </c:pt>
              <c:pt idx="1">
                <c:v>88.0</c:v>
              </c:pt>
              <c:pt idx="2">
                <c:v>76.0</c:v>
              </c:pt>
              <c:pt idx="3">
                <c:v>63.0</c:v>
              </c:pt>
              <c:pt idx="4">
                <c:v>52.0</c:v>
              </c:pt>
            </c:numLit>
          </c:val>
        </c:ser>
        <c:axId val="0"/>
        <c:axId val="1"/>
      </c:barChart>
      <c:catAx>
        <c:axId val="0"/>
        <c:scaling>
          <c:orientation val="minMax"/>
        </c:scaling>
        <c:delete val="false"/>
        <c:axPos val="b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stage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1"/>
        <c:crosses val="autoZero"/>
        <c:auto val="false"/>
      </c:catAx>
      <c:valAx>
        <c:axId val="1"/>
        <c:scaling>
          <c:orientation val="minMax"/>
        </c:scaling>
        <c:delete val="false"/>
        <c:axPos val="l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progress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0"/>
        <c:crosses val="autoZero"/>
        <c:crossBetween val="midCat"/>
      </c:valAx>
    </c:plotArea>
    <c:legend>
      <c:legendPos val="t"/>
      <c:overlay val="false"/>
    </c:legend>
  </c:chart>
  <c:externalData r:id="rId1"/>
</c:chartSpace>
</file>

<file path=word/charts/chart12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 anchor="t" rtlCol="false"/>
          <a:lstStyle/>
          <a:p>
            <a:pPr algn="l">
              <a:defRPr/>
            </a:pPr>
            <a:r>
              <a:rPr lang="zh-CN"/>
              <a:t>SLA 达成率指针</a:t>
            </a:r>
            <a:endParaRPr lang="en-US" sz="1100"/>
          </a:p>
        </c:rich>
      </c:tx>
      <c:layout/>
      <c:overlay val="false"/>
    </c:title>
    <c:plotArea>
      <c:pieChart>
        <c:ser>
          <c:idx val="0"/>
          <c:order val="0"/>
          <c:tx>
            <c:v>gauge</c:v>
          </c:tx>
          <c:cat>
            <c:strLit>
              <c:ptCount val="2"/>
              <c:pt idx="0">
                <c:v>value</c:v>
              </c:pt>
              <c:pt idx="1">
                <c:v>rest</c:v>
              </c:pt>
            </c:strLit>
          </c:cat>
          <c:val>
            <c:numLit>
              <c:ptCount val="2"/>
              <c:pt idx="0">
                <c:v>99.96714285714286</c:v>
              </c:pt>
              <c:pt idx="1">
                <c:v>0.032857142857139365</c:v>
              </c:pt>
            </c:numLit>
          </c:val>
        </c:ser>
      </c:pieChart>
    </c:plotArea>
    <c:legend>
      <c:legendPos val="t"/>
      <c:overlay val="false"/>
    </c:legend>
  </c:chart>
  <c:externalData r:id="rId1"/>
</c:chartSpace>
</file>

<file path=word/charts/chart13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 anchor="t" rtlCol="false"/>
          <a:lstStyle/>
          <a:p>
            <a:pPr algn="l">
              <a:defRPr/>
            </a:pPr>
            <a:r>
              <a:rPr lang="zh-CN"/>
              <a:t>风险到客户影响路径</a:t>
            </a:r>
            <a:endParaRPr lang="en-US" sz="1100"/>
          </a:p>
        </c:rich>
      </c:tx>
      <c:layout/>
      <c:overlay val="false"/>
    </c:title>
    <c:plotArea>
      <c:barChart>
        <c:barDir val="bar"/>
        <c:ser>
          <c:idx val="0"/>
          <c:order val="0"/>
          <c:tx>
            <c:v>value</c:v>
          </c:tx>
          <c:cat>
            <c:strLit>
              <c:ptCount val="4"/>
              <c:pt idx="0">
                <c:v>Row 1</c:v>
              </c:pt>
              <c:pt idx="1">
                <c:v>Row 2</c:v>
              </c:pt>
              <c:pt idx="2">
                <c:v>Row 3</c:v>
              </c:pt>
              <c:pt idx="3">
                <c:v>Row 4</c:v>
              </c:pt>
            </c:strLit>
          </c:cat>
          <c:val>
            <c:numLit>
              <c:ptCount val="4"/>
              <c:pt idx="0">
                <c:v>22.0</c:v>
              </c:pt>
              <c:pt idx="1">
                <c:v>18.0</c:v>
              </c:pt>
              <c:pt idx="2">
                <c:v>15.0</c:v>
              </c:pt>
              <c:pt idx="3">
                <c:v>12.0</c:v>
              </c:pt>
            </c:numLit>
          </c:val>
        </c:ser>
        <c:axId val="0"/>
        <c:axId val="1"/>
      </c:barChart>
      <c:catAx>
        <c:axId val="0"/>
        <c:scaling>
          <c:orientation val="minMax"/>
        </c:scaling>
        <c:delete val="false"/>
        <c:axPos val="b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x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1"/>
        <c:crosses val="autoZero"/>
        <c:auto val="false"/>
      </c:catAx>
      <c:valAx>
        <c:axId val="1"/>
        <c:scaling>
          <c:orientation val="minMax"/>
        </c:scaling>
        <c:delete val="false"/>
        <c:axPos val="l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value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0"/>
        <c:crosses val="autoZero"/>
        <c:crossBetween val="midCat"/>
      </c:valAx>
    </c:plotArea>
    <c:legend>
      <c:legendPos val="t"/>
      <c:overlay val="false"/>
    </c:legend>
  </c:chart>
  <c:externalData r:id="rId1"/>
</c:chartSpace>
</file>

<file path=word/charts/chart14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 anchor="t" rtlCol="false"/>
          <a:lstStyle/>
          <a:p>
            <a:pPr algn="l">
              <a:defRPr/>
            </a:pPr>
            <a:r>
              <a:rPr lang="zh-CN"/>
              <a:t>区域质量雷达</a:t>
            </a:r>
            <a:endParaRPr lang="en-US" sz="1100"/>
          </a:p>
        </c:rich>
      </c:tx>
      <c:layout/>
      <c:overlay val="false"/>
    </c:title>
    <c:plotArea>
      <c:radarChart>
        <c:radarStyle val="marker"/>
        <c:ser>
          <c:idx val="0"/>
          <c:order val="0"/>
          <c:tx>
            <c:v>availability_pct</c:v>
          </c:tx>
          <c:cat>
            <c:strLit>
              <c:ptCount val="4"/>
              <c:pt idx="0">
                <c:v>华东</c:v>
              </c:pt>
              <c:pt idx="1">
                <c:v>华北</c:v>
              </c:pt>
              <c:pt idx="2">
                <c:v>华南</c:v>
              </c:pt>
              <c:pt idx="3">
                <c:v>西南</c:v>
              </c:pt>
            </c:strLit>
          </c:cat>
          <c:val>
            <c:numLit>
              <c:ptCount val="4"/>
              <c:pt idx="0">
                <c:v>99.97</c:v>
              </c:pt>
              <c:pt idx="1">
                <c:v>99.96</c:v>
              </c:pt>
              <c:pt idx="2">
                <c:v>99.95</c:v>
              </c:pt>
              <c:pt idx="3">
                <c:v>99.94</c:v>
              </c:pt>
            </c:numLit>
          </c:val>
        </c:ser>
        <c:axId val="0"/>
        <c:axId val="1"/>
      </c:radarChart>
      <c:catAx>
        <c:axId val="0"/>
        <c:scaling>
          <c:orientation val="minMax"/>
        </c:scaling>
        <c:delete val="false"/>
        <c:axPos val="b"/>
        <c:majorGridlines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region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1"/>
        <c:crosses val="autoZero"/>
        <c:auto val="false"/>
      </c:catAx>
      <c:valAx>
        <c:axId val="1"/>
        <c:scaling>
          <c:orientation val="minMax"/>
        </c:scaling>
        <c:delete val="false"/>
        <c:axPos val="l"/>
        <c:majorGridlines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availability_pct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0"/>
        <c:crosses val="autoZero"/>
        <c:crossBetween val="midCat"/>
      </c:valAx>
    </c:plotArea>
    <c:legend>
      <c:legendPos val="t"/>
      <c:overlay val="false"/>
    </c:legend>
  </c:chart>
  <c:externalData r:id="rId1"/>
</c:chartSpace>
</file>

<file path=word/charts/chart15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 anchor="t" rtlCol="false"/>
          <a:lstStyle/>
          <a:p>
            <a:pPr algn="l">
              <a:defRPr/>
            </a:pPr>
            <a:r>
              <a:rPr lang="zh-CN"/>
              <a:t>区域多指标并行视图</a:t>
            </a:r>
            <a:endParaRPr lang="en-US" sz="1100"/>
          </a:p>
        </c:rich>
      </c:tx>
      <c:layout/>
      <c:overlay val="false"/>
    </c:title>
    <c:plotArea>
      <c:lineChart>
        <c:ser>
          <c:idx val="0"/>
          <c:order val="0"/>
          <c:tx>
            <c:v>latency_ms</c:v>
          </c:tx>
          <c:cat>
            <c:strLit>
              <c:ptCount val="4"/>
              <c:pt idx="0">
                <c:v>华东</c:v>
              </c:pt>
              <c:pt idx="1">
                <c:v>华北</c:v>
              </c:pt>
              <c:pt idx="2">
                <c:v>华南</c:v>
              </c:pt>
              <c:pt idx="3">
                <c:v>西南</c:v>
              </c:pt>
            </c:strLit>
          </c:cat>
          <c:val>
            <c:numLit>
              <c:ptCount val="4"/>
              <c:pt idx="0">
                <c:v>18.0</c:v>
              </c:pt>
              <c:pt idx="1">
                <c:v>20.0</c:v>
              </c:pt>
              <c:pt idx="2">
                <c:v>22.0</c:v>
              </c:pt>
              <c:pt idx="3">
                <c:v>24.0</c:v>
              </c:pt>
            </c:numLit>
          </c:val>
        </c:ser>
        <c:axId val="0"/>
        <c:axId val="1"/>
      </c:lineChart>
      <c:catAx>
        <c:axId val="0"/>
        <c:scaling>
          <c:orientation val="minMax"/>
        </c:scaling>
        <c:delete val="false"/>
        <c:axPos val="b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region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1"/>
        <c:crosses val="autoZero"/>
        <c:auto val="false"/>
      </c:catAx>
      <c:valAx>
        <c:axId val="1"/>
        <c:scaling>
          <c:orientation val="minMax"/>
        </c:scaling>
        <c:delete val="false"/>
        <c:axPos val="l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latency_ms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0"/>
        <c:crosses val="autoZero"/>
        <c:crossBetween val="midCat"/>
      </c:valAx>
    </c:plotArea>
    <c:legend>
      <c:legendPos val="t"/>
      <c:overlay val="false"/>
    </c:legend>
  </c:chart>
  <c:externalData r:id="rId1"/>
</c:chartSpace>
</file>

<file path=word/charts/chart16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 anchor="t" rtlCol="false"/>
          <a:lstStyle/>
          <a:p>
            <a:pPr algn="l">
              <a:defRPr/>
            </a:pPr>
            <a:r>
              <a:rPr lang="zh-CN"/>
              <a:t>日历热力（错误QPS）</a:t>
            </a:r>
            <a:endParaRPr lang="en-US" sz="1100"/>
          </a:p>
        </c:rich>
      </c:tx>
      <c:layout/>
      <c:overlay val="false"/>
    </c:title>
    <c:plotArea>
      <c:barChart>
        <c:barDir val="bar"/>
        <c:ser>
          <c:idx val="0"/>
          <c:order val="0"/>
          <c:tx>
            <c:v>err_qps</c:v>
          </c:tx>
          <c:cat>
            <c:strLit>
              <c:ptCount val="7"/>
              <c:pt idx="0">
                <c:v>02-01</c:v>
              </c:pt>
              <c:pt idx="1">
                <c:v>02-02</c:v>
              </c:pt>
              <c:pt idx="2">
                <c:v>02-03</c:v>
              </c:pt>
              <c:pt idx="3">
                <c:v>02-04</c:v>
              </c:pt>
              <c:pt idx="4">
                <c:v>02-05</c:v>
              </c:pt>
              <c:pt idx="5">
                <c:v>02-06</c:v>
              </c:pt>
              <c:pt idx="6">
                <c:v>02-07</c:v>
              </c:pt>
            </c:strLit>
          </c:cat>
          <c:val>
            <c:numLit>
              <c:ptCount val="7"/>
              <c:pt idx="0">
                <c:v>52.0</c:v>
              </c:pt>
              <c:pt idx="1">
                <c:v>49.0</c:v>
              </c:pt>
              <c:pt idx="2">
                <c:v>44.0</c:v>
              </c:pt>
              <c:pt idx="3">
                <c:v>58.0</c:v>
              </c:pt>
              <c:pt idx="4">
                <c:v>40.0</c:v>
              </c:pt>
              <c:pt idx="5">
                <c:v>43.0</c:v>
              </c:pt>
              <c:pt idx="6">
                <c:v>38.0</c:v>
              </c:pt>
            </c:numLit>
          </c:val>
        </c:ser>
        <c:axId val="0"/>
        <c:axId val="1"/>
      </c:barChart>
      <c:catAx>
        <c:axId val="0"/>
        <c:scaling>
          <c:orientation val="minMax"/>
        </c:scaling>
        <c:delete val="false"/>
        <c:axPos val="b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day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1"/>
        <c:crosses val="autoZero"/>
        <c:auto val="false"/>
      </c:catAx>
      <c:valAx>
        <c:axId val="1"/>
        <c:scaling>
          <c:orientation val="minMax"/>
        </c:scaling>
        <c:delete val="false"/>
        <c:axPos val="l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err_qps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0"/>
        <c:crosses val="autoZero"/>
        <c:crossBetween val="midCat"/>
      </c:valAx>
    </c:plotArea>
    <c:legend>
      <c:legendPos val="t"/>
      <c:overlay val="false"/>
    </c:legend>
  </c:chart>
  <c:externalData r:id="rId1"/>
</c:chartSpace>
</file>

<file path=word/charts/chart17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 anchor="t" rtlCol="false"/>
          <a:lstStyle/>
          <a:p>
            <a:pPr algn="l">
              <a:defRPr/>
            </a:pPr>
            <a:r>
              <a:rPr lang="zh-CN"/>
              <a:t>custom(optionPatch-&gt;bar)</a:t>
            </a:r>
            <a:endParaRPr lang="en-US" sz="1100"/>
          </a:p>
        </c:rich>
      </c:tx>
      <c:layout/>
      <c:overlay val="false"/>
    </c:title>
    <c:plotArea>
      <c:barChart>
        <c:barDir val="bar"/>
        <c:ser>
          <c:idx val="0"/>
          <c:order val="0"/>
          <c:tx>
            <c:v>value</c:v>
          </c:tx>
          <c:cat>
            <c:strLit>
              <c:ptCount val="5"/>
              <c:pt idx="0">
                <c:v>时延抖动</c:v>
              </c:pt>
              <c:pt idx="1">
                <c:v>偶发丢包</c:v>
              </c:pt>
              <c:pt idx="2">
                <c:v>访问慢</c:v>
              </c:pt>
              <c:pt idx="3">
                <c:v>连接中断</c:v>
              </c:pt>
              <c:pt idx="4">
                <c:v>其他</c:v>
              </c:pt>
            </c:strLit>
          </c:cat>
          <c:val>
            <c:numLit>
              <c:ptCount val="5"/>
              <c:pt idx="0">
                <c:v>36.0</c:v>
              </c:pt>
              <c:pt idx="1">
                <c:v>24.0</c:v>
              </c:pt>
              <c:pt idx="2">
                <c:v>18.0</c:v>
              </c:pt>
              <c:pt idx="3">
                <c:v>12.0</c:v>
              </c:pt>
              <c:pt idx="4">
                <c:v>10.0</c:v>
              </c:pt>
            </c:numLit>
          </c:val>
        </c:ser>
        <c:axId val="0"/>
        <c:axId val="1"/>
      </c:barChart>
      <c:catAx>
        <c:axId val="0"/>
        <c:scaling>
          <c:orientation val="minMax"/>
        </c:scaling>
        <c:delete val="false"/>
        <c:axPos val="b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category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1"/>
        <c:crosses val="autoZero"/>
        <c:auto val="false"/>
      </c:catAx>
      <c:valAx>
        <c:axId val="1"/>
        <c:scaling>
          <c:orientation val="minMax"/>
        </c:scaling>
        <c:delete val="false"/>
        <c:axPos val="l"/>
        <c:title>
          <c:tx>
            <c:rich>
              <a:bodyPr anchor="t" rtlCol="false"/>
              <a:lstStyle/>
              <a:p>
                <a:pPr algn="l">
                  <a:defRPr/>
                </a:pPr>
                <a:r>
                  <a:rPr lang="zh-CN"/>
                  <a:t>value</a:t>
                </a:r>
                <a:endParaRPr lang="en-US" sz="1100"/>
              </a:p>
            </c:rich>
          </c:tx>
          <c:layout/>
          <c:overlay val="false"/>
        </c:title>
        <c:majorTickMark val="cross"/>
        <c:minorTickMark val="none"/>
        <c:tickLblPos val="nextTo"/>
        <c:crossAx val="0"/>
        <c:crosses val="autoZero"/>
        <c:crossBetween val="midCat"/>
      </c:valAx>
    </c:plotArea>
    <c:legend>
      <c:legendPos val="t"/>
      <c:overlay val="false"/>
    </c:legend>
  </c:chart>
  <c:externalData r:id="rId1"/>
</c:chartSpac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2026-03-04T14:42:12Z</dcterms:created>
  <dc:creator>Apache POI</dc:creator>
</cp:coreProperties>
</file>