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数字化转型季度经营与稳定性综合报告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Quarterly Transformation Business &amp; Reliability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汇报对象：经营委员会 / 技术委员会  |  数据截止：2026-03-31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增长与渠道效率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平台稳定性与体验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故障与根因治理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客户健康与续费风险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转型项目推进与风险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7. 下季度重点动作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经营实现高质量增长：收入由 5180 万增至 5795 万，利润由 1570 万增至 1915 万；NRR 从 109.6% 提升至 112.3%。平台稳定性提升与发布治理协同，是利润率改善的重要驱动。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增长与渠道效率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直销与渠道转化率持续改善，线上渠道保持最佳获客成本（CPA）。建议 Q2 在保持线上效率的同时，提升直销中腰部线索的转化效率。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平台稳定性与体验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核心稳定性指标连续改善：SLA 保持高位，错误QPS下降，P95 时延持续优化。发布门禁上线后，异常变更对业务面的冲击显著减少。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故障与根因治理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故障主要集中在接入网关与观测告警域。重复故障比例在观测域偏高，提示需要进一步收敛规则质量并强化根因定位能力。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客户健康与续费风险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战略KA 客户 ARR 稳定、流失率最低；SMB 客户服务工单率与流失率偏高，建议通过分层服务策略与自助化能力降低支持成本并改善体验。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转型项目推进与风险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核心转型项目推进整体可控，但客户旅程改造风险偏高，应优先补齐跨团队依赖管理和里程碑验收机制。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7. 下季度重点动作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Q2 建议动作：
1) 将发布门禁覆盖到全部核心服务；
2) 对接入网关与观测告警域建立“重复故障压降”专项；
3) 按客户分层推行差异化服务策略，降低 SMB 流失风险；
4) 建立项目经营看板，按周追踪里程碑与风险收敛。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收入、利润与留存均保持上行；平台可用性连续 6 周保持 99.95% 以上。建议下季度继续加码链路治理与发布门禁，优先压降重复故障。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Confidential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季度综合报告 · 管理层版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收入与利润趋势（月）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5180.0</c:v>
              </c:pt>
              <c:pt idx="1">
                <c:v>5450.0</c:v>
              </c:pt>
              <c:pt idx="2">
                <c:v>5795.0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profit_m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1570.0</c:v>
              </c:pt>
              <c:pt idx="1">
                <c:v>1725.0</c:v>
              </c:pt>
              <c:pt idx="2">
                <c:v>1915.0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revenue_m, 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净收入留存 NRR（月）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nrr_pct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109.6</c:v>
              </c:pt>
              <c:pt idx="1">
                <c:v>110.8</c:v>
              </c:pt>
              <c:pt idx="2">
                <c:v>112.3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nrr_pct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线索规模趋势（分渠道）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直销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1180.0</c:v>
              </c:pt>
              <c:pt idx="1">
                <c:v>1240.0</c:v>
              </c:pt>
              <c:pt idx="2">
                <c:v>1310.0</c:v>
              </c:pt>
            </c:numLit>
          </c:val>
        </c:ser>
        <c:ser>
          <c:idx val="1"/>
          <c:order val="1"/>
          <c:tx>
            <c:v>渠道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840.0</c:v>
              </c:pt>
              <c:pt idx="1">
                <c:v>865.0</c:v>
              </c:pt>
              <c:pt idx="2">
                <c:v>902.0</c:v>
              </c:pt>
            </c:numLit>
          </c:val>
        </c:ser>
        <c:ser>
          <c:idx val="2"/>
          <c:order val="2"/>
          <c:tx>
            <c:v>线上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1320.0</c:v>
              </c:pt>
              <c:pt idx="1">
                <c:v>1385.0</c:v>
              </c:pt>
              <c:pt idx="2">
                <c:v>1450.0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leads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获客成本（CPA）对比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cpa</c:v>
          </c:tx>
          <c:cat>
            <c:strLit>
              <c:ptCount val="3"/>
              <c:pt idx="0">
                <c:v>直销</c:v>
              </c:pt>
              <c:pt idx="1">
                <c:v>渠道</c:v>
              </c:pt>
              <c:pt idx="2">
                <c:v>线上</c:v>
              </c:pt>
            </c:strLit>
          </c:cat>
          <c:val>
            <c:numLit>
              <c:ptCount val="3"/>
              <c:pt idx="0">
                <c:v>1.19</c:v>
              </c:pt>
              <c:pt idx="1">
                <c:v>0.98</c:v>
              </c:pt>
              <c:pt idx="2">
                <c:v>0.84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channel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渠道转化率与CPA关系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cpa</c:v>
          </c:tx>
          <c:marker>
            <c:symbol val="none"/>
          </c:marker>
          <c:xVal>
            <c:numLit>
              <c:ptCount val="9"/>
              <c:pt idx="0">
                <c:v>0.226</c:v>
              </c:pt>
              <c:pt idx="1">
                <c:v>0.192</c:v>
              </c:pt>
              <c:pt idx="2">
                <c:v>0.174</c:v>
              </c:pt>
              <c:pt idx="3">
                <c:v>0.231</c:v>
              </c:pt>
              <c:pt idx="4">
                <c:v>0.198</c:v>
              </c:pt>
              <c:pt idx="5">
                <c:v>0.181</c:v>
              </c:pt>
              <c:pt idx="6">
                <c:v>0.238</c:v>
              </c:pt>
              <c:pt idx="7">
                <c:v>0.204</c:v>
              </c:pt>
              <c:pt idx="8">
                <c:v>0.188</c:v>
              </c:pt>
            </c:numLit>
          </c:xVal>
          <c:yVal>
            <c:numLit>
              <c:ptCount val="9"/>
              <c:pt idx="0">
                <c:v>1.28</c:v>
              </c:pt>
              <c:pt idx="1">
                <c:v>1.05</c:v>
              </c:pt>
              <c:pt idx="2">
                <c:v>0.88</c:v>
              </c:pt>
              <c:pt idx="3">
                <c:v>1.24</c:v>
              </c:pt>
              <c:pt idx="4">
                <c:v>1.01</c:v>
              </c:pt>
              <c:pt idx="5">
                <c:v>0.86</c:v>
              </c:pt>
              <c:pt idx="6">
                <c:v>1.19</c:v>
              </c:pt>
              <c:pt idx="7">
                <c:v>0.98</c:v>
              </c:pt>
              <c:pt idx="8">
                <c:v>0.84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conv_rate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与错误QPS（周）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sla_pct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99.98</c:v>
              </c:pt>
              <c:pt idx="4">
                <c:v>99.97</c:v>
              </c:pt>
              <c:pt idx="5">
                <c:v>99.98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err_qps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61.0</c:v>
              </c:pt>
              <c:pt idx="1">
                <c:v>55.0</c:v>
              </c:pt>
              <c:pt idx="2">
                <c:v>48.0</c:v>
              </c:pt>
              <c:pt idx="3">
                <c:v>42.0</c:v>
              </c:pt>
              <c:pt idx="4">
                <c:v>45.0</c:v>
              </c:pt>
              <c:pt idx="5">
                <c:v>39.0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sla_pct, 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P95 时延（ms）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p95_ms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82.0</c:v>
              </c:pt>
              <c:pt idx="1">
                <c:v>79.0</c:v>
              </c:pt>
              <c:pt idx="2">
                <c:v>76.0</c:v>
              </c:pt>
              <c:pt idx="3">
                <c:v>74.0</c:v>
              </c:pt>
              <c:pt idx="4">
                <c:v>75.0</c:v>
              </c:pt>
              <c:pt idx="5">
                <c:v>73.0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p95_ms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99.96833333333335</c:v>
              </c:pt>
              <c:pt idx="1">
                <c:v>0.03166666666665208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故障数量（按域）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incidents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8.0</c:v>
              </c:pt>
              <c:pt idx="1">
                <c:v>6.0</c:v>
              </c:pt>
              <c:pt idx="2">
                <c:v>4.0</c:v>
              </c:pt>
              <c:pt idx="3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incidents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MTTR（按域）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mttr_min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47.0</c:v>
              </c:pt>
              <c:pt idx="1">
                <c:v>39.0</c:v>
              </c:pt>
              <c:pt idx="2">
                <c:v>33.0</c:v>
              </c:pt>
              <c:pt idx="3">
                <c:v>28.0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结构（按客户分层）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arr_m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流失率（按客户分层）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churn_pct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1.2</c:v>
              </c:pt>
              <c:pt idx="1">
                <c:v>2.6</c:v>
              </c:pt>
              <c:pt idx="2">
                <c:v>4.3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churn_pct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分层结构树图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92.0</c:v>
              </c:pt>
              <c:pt idx="1">
                <c:v>84.0</c:v>
              </c:pt>
              <c:pt idx="2">
                <c:v>76.0</c:v>
              </c:pt>
              <c:pt idx="3">
                <c:v>68.0</c:v>
              </c:pt>
              <c:pt idx="4">
                <c:v>57.0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项目风险评分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项目风险雷达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2026-03-04T14:44:41Z</dcterms:created>
  <dc:creator>Apache POI</dc:creator>
</cp:coreProperties>
</file>