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2400"/>
        <w:jc w:val="center"/>
      </w:pPr>
      <w:r>
        <w:rPr>
          <w:b w:val="on"/>
          <w:rFonts w:ascii="Source Sans 3" w:hAnsi="Source Sans 3" w:cs="Source Sans 3" w:eastAsia="Source Sans 3"/>
          <w:color w:val="1F2937"/>
          <w:sz w:val="60"/>
        </w:rPr>
        <w:t>容量运营明细报告</w:t>
      </w:r>
    </w:p>
    <w:p>
      <w:pPr>
        <w:jc w:val="center"/>
      </w:pPr>
      <w:r>
        <w:rPr>
          <w:rFonts w:ascii="Source Sans 3" w:hAnsi="Source Sans 3" w:cs="Source Sans 3" w:eastAsia="Source Sans 3"/>
          <w:color w:val="6B7280"/>
          <w:sz w:val="28"/>
        </w:rPr>
        <w:t>Table Showcase</w:t>
      </w:r>
    </w:p>
    <w:p>
      <w:pPr>
        <w:pageBreakBefore w:val="on"/>
      </w:pPr>
    </w:p>
    <w:p>
      <w:pPr>
        <w:spacing w:before="100" w:after="18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目录</w:t>
      </w:r>
    </w:p>
    <w:p>
      <w:r>
        <w:rPr>
          <w:rFonts w:ascii="Source Sans 3" w:hAnsi="Source Sans 3" w:cs="Source Sans 3" w:eastAsia="Source Sans 3"/>
          <w:sz w:val="22"/>
          <w:color w:val="1F2937"/>
        </w:rPr>
        <w:t>1. 容量明细（多级表头）</w:t>
      </w:r>
    </w:p>
    <w:p>
      <w:r>
        <w:rPr>
          <w:rFonts w:ascii="Source Sans 3" w:hAnsi="Source Sans 3" w:cs="Source Sans 3" w:eastAsia="Source Sans 3"/>
          <w:sz w:val="22"/>
          <w:color w:val="1F2937"/>
        </w:rPr>
        <w:t>2. 透视结果（按月展开）</w:t>
      </w:r>
    </w:p>
    <w:p>
      <w:pPr>
        <w:pageBreakBefore w:val="on"/>
      </w:pPr>
    </w:p>
    <w:p>
      <w:pPr>
        <w:spacing w:before="100" w:after="18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1. 容量明细（多级表头）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BFF"/>
          </w:tcPr>
          <w:p>
            <w:pPr>
              <w:spacing w:after="0"/>
            </w:pPr>
            <w:r>
              <w:rPr>
                <w:rFonts w:ascii="Source Sans 3" w:hAnsi="Source Sans 3" w:cs="Source Sans 3" w:eastAsia="Source Sans 3"/>
                <w:color w:val="1F2937"/>
                <w:sz w:val="22"/>
              </w:rPr>
              <w:t>以下表格验证 DOC 导出链路的 merge-first 策略。</w:t>
            </w:r>
          </w:p>
        </w:tc>
      </w:tr>
    </w:tbl>
    <w:p>
      <w:pPr>
        <w:spacing w:after="120"/>
      </w:pP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rPr>
          <w:tblHeader/>
        </w:trPr>
        <w:tc>
          <w:tcPr>
            <w:gridSpan w:val="2"/>
            <w:hMerge w:val="restart"/>
            <w:shd w:color="auto" w:val="clear" w:fill="DBEAFE"/>
          </w:tcPr>
          <w:p>
            <w:pPr>
              <w:spacing w:after="0"/>
              <w:jc w:val="center"/>
            </w:pPr>
            <w:r>
              <w:rPr>
                <w:b w:val="on"/>
                <w:rFonts w:ascii="Source Sans 3" w:hAnsi="Source Sans 3" w:cs="Source Sans 3" w:eastAsia="Source Sans 3"/>
                <w:sz w:val="20"/>
                <w:color w:val="1F2937"/>
              </w:rPr>
              <w:t>区域信息</w:t>
            </w:r>
          </w:p>
        </w:tc>
        <w:tc>
          <w:tcPr>
            <w:hMerge w:val="continue"/>
            <w:shd w:color="auto" w:val="clear" w:fill="DBEAFE"/>
          </w:tcPr>
          <w:p>
            <w:pPr>
              <w:spacing w:after="0"/>
            </w:pPr>
          </w:p>
        </w:tc>
        <w:tc>
          <w:tcPr>
            <w:gridSpan w:val="3"/>
            <w:hMerge w:val="restart"/>
            <w:shd w:color="auto" w:val="clear" w:fill="DBEAFE"/>
          </w:tcPr>
          <w:p>
            <w:pPr>
              <w:spacing w:after="0"/>
              <w:jc w:val="center"/>
            </w:pPr>
            <w:r>
              <w:rPr>
                <w:b w:val="on"/>
                <w:rFonts w:ascii="Source Sans 3" w:hAnsi="Source Sans 3" w:cs="Source Sans 3" w:eastAsia="Source Sans 3"/>
                <w:sz w:val="20"/>
                <w:color w:val="1F2937"/>
              </w:rPr>
              <w:t>容量与质量</w:t>
            </w:r>
          </w:p>
        </w:tc>
        <w:tc>
          <w:tcPr>
            <w:hMerge w:val="continue"/>
            <w:shd w:color="auto" w:val="clear" w:fill="DBEAFE"/>
          </w:tcPr>
          <w:p>
            <w:pPr>
              <w:spacing w:after="0"/>
            </w:pPr>
          </w:p>
        </w:tc>
        <w:tc>
          <w:tcPr>
            <w:hMerge w:val="continue"/>
            <w:shd w:color="auto" w:val="clear" w:fill="DBEAFE"/>
          </w:tcPr>
          <w:p>
            <w:pPr>
              <w:spacing w:after="0"/>
            </w:pPr>
          </w:p>
        </w:tc>
      </w:tr>
      <w:tr>
        <w:trPr>
          <w:tblHeader/>
        </w:trPr>
        <w:tc>
          <w:tcPr>
            <w:shd w:color="auto" w:val="clear" w:fill="DBEAFE"/>
          </w:tcPr>
          <w:p>
            <w:pPr>
              <w:spacing w:after="0"/>
              <w:jc w:val="center"/>
            </w:pPr>
            <w:r>
              <w:rPr>
                <w:b w:val="on"/>
                <w:rFonts w:ascii="Source Sans 3" w:hAnsi="Source Sans 3" w:cs="Source Sans 3" w:eastAsia="Source Sans 3"/>
                <w:sz w:val="20"/>
                <w:color w:val="1F2937"/>
              </w:rPr>
              <w:t>区域</w:t>
            </w:r>
          </w:p>
        </w:tc>
        <w:tc>
          <w:tcPr>
            <w:shd w:color="auto" w:val="clear" w:fill="DBEAFE"/>
          </w:tcPr>
          <w:p>
            <w:pPr>
              <w:spacing w:after="0"/>
              <w:jc w:val="center"/>
            </w:pPr>
            <w:r>
              <w:rPr>
                <w:b w:val="on"/>
                <w:rFonts w:ascii="Source Sans 3" w:hAnsi="Source Sans 3" w:cs="Source Sans 3" w:eastAsia="Source Sans 3"/>
                <w:sz w:val="20"/>
                <w:color w:val="1F2937"/>
              </w:rPr>
              <w:t>月份</w:t>
            </w:r>
          </w:p>
        </w:tc>
        <w:tc>
          <w:tcPr>
            <w:shd w:color="auto" w:val="clear" w:fill="DBEAFE"/>
          </w:tcPr>
          <w:p>
            <w:pPr>
              <w:spacing w:after="0"/>
              <w:jc w:val="center"/>
            </w:pPr>
            <w:r>
              <w:rPr>
                <w:b w:val="on"/>
                <w:rFonts w:ascii="Source Sans 3" w:hAnsi="Source Sans 3" w:cs="Source Sans 3" w:eastAsia="Source Sans 3"/>
                <w:sz w:val="20"/>
                <w:color w:val="1F2937"/>
              </w:rPr>
              <w:t>容量(TB)</w:t>
            </w:r>
          </w:p>
        </w:tc>
        <w:tc>
          <w:tcPr>
            <w:shd w:color="auto" w:val="clear" w:fill="DBEAFE"/>
          </w:tcPr>
          <w:p>
            <w:pPr>
              <w:spacing w:after="0"/>
              <w:jc w:val="center"/>
            </w:pPr>
            <w:r>
              <w:rPr>
                <w:b w:val="on"/>
                <w:rFonts w:ascii="Source Sans 3" w:hAnsi="Source Sans 3" w:cs="Source Sans 3" w:eastAsia="Source Sans 3"/>
                <w:sz w:val="20"/>
                <w:color w:val="1F2937"/>
              </w:rPr>
              <w:t>利用率</w:t>
            </w:r>
          </w:p>
        </w:tc>
        <w:tc>
          <w:tcPr>
            <w:shd w:color="auto" w:val="clear" w:fill="DBEAFE"/>
          </w:tcPr>
          <w:p>
            <w:pPr>
              <w:spacing w:after="0"/>
              <w:jc w:val="center"/>
            </w:pPr>
            <w:r>
              <w:rPr>
                <w:b w:val="on"/>
                <w:rFonts w:ascii="Source Sans 3" w:hAnsi="Source Sans 3" w:cs="Source Sans 3" w:eastAsia="Source Sans 3"/>
                <w:sz w:val="20"/>
                <w:color w:val="1F2937"/>
              </w:rPr>
              <w:t>错误QPS</w:t>
            </w:r>
          </w:p>
        </w:tc>
      </w:tr>
      <w:tr>
        <w:tc>
          <w:tcPr>
            <w:vMerge w:val="restart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2026-01</w:t>
            </w:r>
          </w:p>
        </w:tc>
        <w:tc>
          <w:tcPr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118</w:t>
            </w:r>
          </w:p>
        </w:tc>
        <w:tc>
          <w:tcPr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7120.00%</w:t>
            </w:r>
          </w:p>
        </w:tc>
        <w:tc>
          <w:tcPr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38</w:t>
            </w:r>
          </w:p>
        </w:tc>
      </w:tr>
      <w:tr>
        <w:tc>
          <w:tcPr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2026-02</w:t>
            </w:r>
          </w:p>
        </w:tc>
        <w:tc>
          <w:tcPr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122</w:t>
            </w:r>
          </w:p>
        </w:tc>
        <w:tc>
          <w:tcPr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7250.00%</w:t>
            </w:r>
          </w:p>
        </w:tc>
        <w:tc>
          <w:tcPr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32</w:t>
            </w:r>
          </w:p>
        </w:tc>
      </w:tr>
      <w:tr>
        <w:tc>
          <w:tcPr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2026-03</w:t>
            </w:r>
          </w:p>
        </w:tc>
        <w:tc>
          <w:tcPr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126</w:t>
            </w:r>
          </w:p>
        </w:tc>
        <w:tc>
          <w:tcPr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7310.00%</w:t>
            </w:r>
          </w:p>
        </w:tc>
        <w:tc>
          <w:tcPr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28</w:t>
            </w:r>
          </w:p>
        </w:tc>
      </w:tr>
      <w:tr>
        <w:tc>
          <w:tcPr>
            <w:vMerge w:val="restart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2026-01</w:t>
            </w:r>
          </w:p>
        </w:tc>
        <w:tc>
          <w:tcPr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106</w:t>
            </w:r>
          </w:p>
        </w:tc>
        <w:tc>
          <w:tcPr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7640.00%</w:t>
            </w:r>
          </w:p>
        </w:tc>
        <w:tc>
          <w:tcPr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45</w:t>
            </w:r>
          </w:p>
        </w:tc>
      </w:tr>
      <w:tr>
        <w:tc>
          <w:tcPr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2026-02</w:t>
            </w:r>
          </w:p>
        </w:tc>
        <w:tc>
          <w:tcPr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108</w:t>
            </w:r>
          </w:p>
        </w:tc>
        <w:tc>
          <w:tcPr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7700.00%</w:t>
            </w:r>
          </w:p>
        </w:tc>
        <w:tc>
          <w:tcPr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40</w:t>
            </w:r>
          </w:p>
        </w:tc>
      </w:tr>
      <w:tr>
        <w:tc>
          <w:tcPr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2026-03</w:t>
            </w:r>
          </w:p>
        </w:tc>
        <w:tc>
          <w:tcPr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111</w:t>
            </w:r>
          </w:p>
        </w:tc>
        <w:tc>
          <w:tcPr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7780.00%</w:t>
            </w:r>
          </w:p>
        </w:tc>
        <w:tc>
          <w:tcPr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35</w:t>
            </w:r>
          </w:p>
        </w:tc>
      </w:tr>
      <w:tr>
        <w:tc>
          <w:tcPr>
            <w:vMerge w:val="restart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2026-01</w:t>
            </w:r>
          </w:p>
        </w:tc>
        <w:tc>
          <w:tcPr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98</w:t>
            </w:r>
          </w:p>
        </w:tc>
        <w:tc>
          <w:tcPr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6820.00%</w:t>
            </w:r>
          </w:p>
        </w:tc>
        <w:tc>
          <w:tcPr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30</w:t>
            </w:r>
          </w:p>
        </w:tc>
      </w:tr>
      <w:tr>
        <w:tc>
          <w:tcPr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2026-02</w:t>
            </w:r>
          </w:p>
        </w:tc>
        <w:tc>
          <w:tcPr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102</w:t>
            </w:r>
          </w:p>
        </w:tc>
        <w:tc>
          <w:tcPr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6950.00%</w:t>
            </w:r>
          </w:p>
        </w:tc>
        <w:tc>
          <w:tcPr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26</w:t>
            </w:r>
          </w:p>
        </w:tc>
      </w:tr>
      <w:tr>
        <w:tc>
          <w:tcPr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2026-03</w:t>
            </w:r>
          </w:p>
        </w:tc>
        <w:tc>
          <w:tcPr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105</w:t>
            </w:r>
          </w:p>
        </w:tc>
        <w:tc>
          <w:tcPr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7030.00%</w:t>
            </w:r>
          </w:p>
        </w:tc>
        <w:tc>
          <w:tcPr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22</w:t>
            </w:r>
          </w:p>
        </w:tc>
      </w:tr>
    </w:tbl>
    <w:p>
      <w:pPr>
        <w:pageBreakBefore w:val="on"/>
      </w:pPr>
    </w:p>
    <w:p>
      <w:pPr>
        <w:spacing w:before="100" w:after="18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2. 透视结果（按月展开）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rPr>
          <w:tblHeader/>
        </w:trPr>
        <w:tc>
          <w:tcPr>
            <w:vMerge w:val="restart"/>
            <w:shd w:color="auto" w:val="clear" w:fill="DBEAFE"/>
          </w:tcPr>
          <w:p>
            <w:pPr>
              <w:spacing w:after="0"/>
              <w:jc w:val="center"/>
            </w:pPr>
            <w:r>
              <w:rPr>
                <w:b w:val="on"/>
                <w:rFonts w:ascii="Source Sans 3" w:hAnsi="Source Sans 3" w:cs="Source Sans 3" w:eastAsia="Source Sans 3"/>
                <w:sz w:val="20"/>
                <w:color w:val="1F2937"/>
              </w:rPr>
              <w:t>区域</w:t>
            </w:r>
          </w:p>
        </w:tc>
        <w:tc>
          <w:tcPr>
            <w:gridSpan w:val="3"/>
            <w:hMerge w:val="restart"/>
            <w:shd w:color="auto" w:val="clear" w:fill="DBEAFE"/>
          </w:tcPr>
          <w:p>
            <w:pPr>
              <w:spacing w:after="0"/>
              <w:jc w:val="center"/>
            </w:pPr>
            <w:r>
              <w:rPr>
                <w:b w:val="on"/>
                <w:rFonts w:ascii="Source Sans 3" w:hAnsi="Source Sans 3" w:cs="Source Sans 3" w:eastAsia="Source Sans 3"/>
                <w:sz w:val="20"/>
                <w:color w:val="1F2937"/>
              </w:rPr>
              <w:t>错误QPS</w:t>
            </w:r>
          </w:p>
        </w:tc>
        <w:tc>
          <w:tcPr>
            <w:hMerge w:val="continue"/>
            <w:shd w:color="auto" w:val="clear" w:fill="DBEAFE"/>
          </w:tcPr>
          <w:p>
            <w:pPr>
              <w:spacing w:after="0"/>
            </w:pPr>
          </w:p>
        </w:tc>
        <w:tc>
          <w:tcPr>
            <w:hMerge w:val="continue"/>
            <w:shd w:color="auto" w:val="clear" w:fill="DBEAFE"/>
          </w:tcPr>
          <w:p>
            <w:pPr>
              <w:spacing w:after="0"/>
            </w:pPr>
          </w:p>
        </w:tc>
      </w:tr>
      <w:tr>
        <w:trPr>
          <w:tblHeader/>
        </w:trPr>
        <w:tc>
          <w:tcPr>
            <w:vMerge w:val="continue"/>
            <w:shd w:color="auto" w:val="clear" w:fill="DBEAFE"/>
          </w:tcPr>
          <w:p>
            <w:pPr>
              <w:spacing w:after="0"/>
            </w:pPr>
          </w:p>
        </w:tc>
        <w:tc>
          <w:tcPr>
            <w:shd w:color="auto" w:val="clear" w:fill="DBEAFE"/>
          </w:tcPr>
          <w:p>
            <w:pPr>
              <w:spacing w:after="0"/>
              <w:jc w:val="center"/>
            </w:pPr>
            <w:r>
              <w:rPr>
                <w:b w:val="on"/>
                <w:rFonts w:ascii="Source Sans 3" w:hAnsi="Source Sans 3" w:cs="Source Sans 3" w:eastAsia="Source Sans 3"/>
                <w:sz w:val="20"/>
                <w:color w:val="1F2937"/>
              </w:rPr>
              <w:t>2026-01</w:t>
            </w:r>
          </w:p>
        </w:tc>
        <w:tc>
          <w:tcPr>
            <w:shd w:color="auto" w:val="clear" w:fill="DBEAFE"/>
          </w:tcPr>
          <w:p>
            <w:pPr>
              <w:spacing w:after="0"/>
              <w:jc w:val="center"/>
            </w:pPr>
            <w:r>
              <w:rPr>
                <w:b w:val="on"/>
                <w:rFonts w:ascii="Source Sans 3" w:hAnsi="Source Sans 3" w:cs="Source Sans 3" w:eastAsia="Source Sans 3"/>
                <w:sz w:val="20"/>
                <w:color w:val="1F2937"/>
              </w:rPr>
              <w:t>2026-02</w:t>
            </w:r>
          </w:p>
        </w:tc>
        <w:tc>
          <w:tcPr>
            <w:shd w:color="auto" w:val="clear" w:fill="DBEAFE"/>
          </w:tcPr>
          <w:p>
            <w:pPr>
              <w:spacing w:after="0"/>
              <w:jc w:val="center"/>
            </w:pPr>
            <w:r>
              <w:rPr>
                <w:b w:val="on"/>
                <w:rFonts w:ascii="Source Sans 3" w:hAnsi="Source Sans 3" w:cs="Source Sans 3" w:eastAsia="Source Sans 3"/>
                <w:sz w:val="20"/>
                <w:color w:val="1F2937"/>
              </w:rPr>
              <w:t>2026-03</w:t>
            </w:r>
          </w:p>
        </w:tc>
      </w:tr>
      <w:tr>
        <w:tc>
          <w:tcPr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38</w:t>
            </w:r>
          </w:p>
        </w:tc>
        <w:tc>
          <w:tcPr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32</w:t>
            </w:r>
          </w:p>
        </w:tc>
        <w:tc>
          <w:tcPr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28</w:t>
            </w:r>
          </w:p>
        </w:tc>
      </w:tr>
      <w:tr>
        <w:tc>
          <w:tcPr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45</w:t>
            </w:r>
          </w:p>
        </w:tc>
        <w:tc>
          <w:tcPr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40</w:t>
            </w:r>
          </w:p>
        </w:tc>
        <w:tc>
          <w:tcPr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35</w:t>
            </w:r>
          </w:p>
        </w:tc>
      </w:tr>
      <w:tr>
        <w:tc>
          <w:tcPr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30</w:t>
            </w:r>
          </w:p>
        </w:tc>
        <w:tc>
          <w:tcPr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26</w:t>
            </w:r>
          </w:p>
        </w:tc>
        <w:tc>
          <w:tcPr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22</w:t>
            </w:r>
          </w:p>
        </w:tc>
      </w:tr>
    </w:tbl>
    <w:p>
      <w:pPr>
        <w:pageBreakBefore w:val="on"/>
      </w:pPr>
    </w:p>
    <w:p>
      <w:pPr>
        <w:spacing w:before="100" w:after="18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表格导出说明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BFF"/>
          </w:tcPr>
          <w:p>
            <w:pPr>
              <w:spacing w:after="0"/>
            </w:pPr>
            <w:r>
              <w:rPr>
                <w:rFonts w:ascii="Source Sans 3" w:hAnsi="Source Sans 3" w:cs="Source Sans 3" w:eastAsia="Source Sans 3"/>
                <w:color w:val="1F2937"/>
                <w:sz w:val="22"/>
              </w:rPr>
              <w:t>本报告验证 Word 导出中的原生表格、表头合并、数据区合并与透视展开能力。</w:t>
            </w:r>
          </w:p>
        </w:tc>
      </w:tr>
    </w:tbl>
    <w:sectPr>
      <w:headerReference w:type="default" r:id="rId2"/>
      <w:footerReference w:type="default" r:id="rId3"/>
      <w:pgSz w:w="11906" w:h="16838"/>
      <w:pgMar w:top="794" w:bottom="794" w:left="794" w:right="794"/>
    </w:sectPr>
  </w:body>
</w:document>
</file>

<file path=word/footer1.xml><?xml version="1.0" encoding="utf-8"?>
<w:ftr xmlns:w="http://schemas.openxmlformats.org/wordprocessingml/2006/main">
  <w:p>
    <w:pPr>
      <w:jc w:val="left"/>
    </w:pPr>
    <w:r>
      <w:rPr>
        <w:rFonts w:ascii="Source Sans 3" w:hAnsi="Source Sans 3" w:cs="Source Sans 3" w:eastAsia="Source Sans 3"/>
        <w:sz w:val="20"/>
        <w:color w:val="6B7280"/>
      </w:rPr>
      <w:t>Visual Document OS</w:t>
    </w:r>
    <w:r>
      <w:rPr>
        <w:rFonts w:ascii="Source Sans 3" w:hAnsi="Source Sans 3" w:cs="Source Sans 3" w:eastAsia="Source Sans 3"/>
        <w:sz w:val="20"/>
        <w:color w:val="6B7280"/>
      </w:rPr>
      <w:t xml:space="preserve"> | Page </w:t>
    </w:r>
    <w:fldSimple w:instr="PAGE"/>
  </w:p>
</w:ftr>
</file>

<file path=word/header1.xml><?xml version="1.0" encoding="utf-8"?>
<w:hdr xmlns:w="http://schemas.openxmlformats.org/wordprocessingml/2006/main">
  <w:p>
    <w:pPr>
      <w:jc w:val="left"/>
    </w:pPr>
    <w:r>
      <w:rPr>
        <w:rFonts w:ascii="Source Sans 3" w:hAnsi="Source Sans 3" w:cs="Source Sans 3" w:eastAsia="Source Sans 3"/>
        <w:sz w:val="20"/>
        <w:color w:val="6B7280"/>
      </w:rPr>
      <w:t>容量运营明细报告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2026-03-06T07:04:38Z</dcterms:created>
  <dc:creator>Apache POI</dc:creator>
</cp:coreProperties>
</file>