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网络周报（标准）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Network Weekly Operations Report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适用于周会复盘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本周总览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异常处置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下周动作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本周总览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本周核心指标整体改善，告警总量下降，骨干链路稳定性提升。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异常处置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周三西区出现抖动峰值，已完成链路扩容并验证。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下周动作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重点关注南区拥塞窗口，建立分钟级异常回溯机制。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本周执行摘要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告警总量下降，异常处置效率提升，需持续跟踪南区拥塞窗口。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网络周报 · 标准样例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告警趋势（Patch覆盖标题）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alarm_count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34.0</c:v>
              </c:pt>
              <c:pt idx="1">
                <c:v>23.0</c:v>
              </c:pt>
              <c:pt idx="2">
                <c:v>27.0</c:v>
              </c:pt>
              <c:pt idx="3">
                <c:v>18.0</c:v>
              </c:pt>
              <c:pt idx="4">
                <c:v>30.0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Alarm Count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r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丢包率变化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packet_loss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0.23</c:v>
              </c:pt>
              <c:pt idx="1">
                <c:v>0.18</c:v>
              </c:pt>
              <c:pt idx="2">
                <c:v>0.22</c:v>
              </c:pt>
              <c:pt idx="3">
                <c:v>0.15</c:v>
              </c:pt>
              <c:pt idx="4">
                <c:v>0.29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packet_loss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2026-03-04T17:32:22Z</dcterms:created>
  <dc:creator>Apache POI</dc:creator>
</cp:coreProperties>
</file>