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经营分析简报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Executive Business Brief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季度管理层版本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核心结论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关键指标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核心结论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近三周收入稳定上升，APP 渠道贡献持续扩大。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关键指标</w:t>
      </w:r>
    </w:p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经营摘要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近三周收入稳定提升，APP 渠道贡献持续扩大。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经营简报 · 管理层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周收入趋势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APP</c:v>
          </c:tx>
          <c:cat>
            <c:strLit>
              <c:ptCount val="3"/>
              <c:pt idx="0">
                <c:v>W1</c:v>
              </c:pt>
              <c:pt idx="1">
                <c:v>W2</c:v>
              </c:pt>
              <c:pt idx="2">
                <c:v>W3</c:v>
              </c:pt>
            </c:strLit>
          </c:cat>
          <c:val>
            <c:numLit>
              <c:ptCount val="3"/>
              <c:pt idx="0">
                <c:v>132.0</c:v>
              </c:pt>
              <c:pt idx="1">
                <c:v>140.0</c:v>
              </c:pt>
              <c:pt idx="2">
                <c:v>156.0</c:v>
              </c:pt>
            </c:numLit>
          </c:val>
        </c:ser>
        <c:ser>
          <c:idx val="1"/>
          <c:order val="1"/>
          <c:tx>
            <c:v>Web</c:v>
          </c:tx>
          <c:cat>
            <c:strLit>
              <c:ptCount val="3"/>
              <c:pt idx="0">
                <c:v>W1</c:v>
              </c:pt>
              <c:pt idx="1">
                <c:v>W2</c:v>
              </c:pt>
              <c:pt idx="2">
                <c:v>W3</c:v>
              </c:pt>
            </c:strLit>
          </c:cat>
          <c:val>
            <c:numLit>
              <c:ptCount val="3"/>
              <c:pt idx="0">
                <c:v>98.0</c:v>
              </c:pt>
              <c:pt idx="1">
                <c:v>106.0</c:v>
              </c:pt>
              <c:pt idx="2">
                <c:v>112.0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revenue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2026-03-05T06:28:50Z</dcterms:created>
  <dc:creator>Apache POI</dc:creator>
</cp:coreProperties>
</file>