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2400"/>
        <w:jc w:val="center"/>
      </w:pPr>
      <w:r>
        <w:rPr>
          <w:b w:val="on"/>
          <w:rFonts w:ascii="Source Sans 3" w:hAnsi="Source Sans 3" w:cs="Source Sans 3" w:eastAsia="Source Sans 3"/>
          <w:color w:val="1F2937"/>
          <w:sz w:val="60"/>
        </w:rPr>
        <w:t>容量运营明细报告</w:t>
      </w:r>
    </w:p>
    <w:p>
      <w:pPr>
        <w:jc w:val="center"/>
      </w:pPr>
      <w:r>
        <w:rPr>
          <w:rFonts w:ascii="Source Sans 3" w:hAnsi="Source Sans 3" w:cs="Source Sans 3" w:eastAsia="Source Sans 3"/>
          <w:color w:val="6B7280"/>
          <w:sz w:val="28"/>
        </w:rPr>
        <w:t>Table Showcase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目录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1. 容量明细（多级表头）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2. 透视结果（按月展开）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1. 容量明细（多级表头）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以下表格验证 DOC 导出链路的 merge-first 策略。</w:t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rPr>
          <w:tblHeader/>
        </w:trPr>
        <w:tc>
          <w:tcPr>
            <w:gridSpan w:val="2"/>
            <w:hMerge w:val="restart"/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区域信息</w:t>
            </w:r>
          </w:p>
        </w:tc>
        <w:tc>
          <w:tcPr>
            <w:hMerge w:val="continue"/>
            <w:shd w:color="auto" w:val="clear" w:fill="DBEAFE"/>
          </w:tcPr>
          <w:p>
            <w:pPr>
              <w:spacing w:after="0"/>
            </w:pPr>
          </w:p>
        </w:tc>
        <w:tc>
          <w:tcPr>
            <w:gridSpan w:val="3"/>
            <w:hMerge w:val="restart"/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容量与质量</w:t>
            </w:r>
          </w:p>
        </w:tc>
        <w:tc>
          <w:tcPr>
            <w:hMerge w:val="continue"/>
            <w:shd w:color="auto" w:val="clear" w:fill="DBEAFE"/>
          </w:tcPr>
          <w:p>
            <w:pPr>
              <w:spacing w:after="0"/>
            </w:pPr>
          </w:p>
        </w:tc>
        <w:tc>
          <w:tcPr>
            <w:hMerge w:val="continue"/>
            <w:shd w:color="auto" w:val="clear" w:fill="DBEAFE"/>
          </w:tcPr>
          <w:p>
            <w:pPr>
              <w:spacing w:after="0"/>
            </w:pPr>
          </w:p>
        </w:tc>
      </w:tr>
      <w:tr>
        <w:trPr>
          <w:tblHeader/>
        </w:trPr>
        <w:tc>
          <w:tcPr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区域</w:t>
            </w:r>
          </w:p>
        </w:tc>
        <w:tc>
          <w:tcPr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月份</w:t>
            </w:r>
          </w:p>
        </w:tc>
        <w:tc>
          <w:tcPr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容量(TB)</w:t>
            </w:r>
          </w:p>
        </w:tc>
        <w:tc>
          <w:tcPr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利用率</w:t>
            </w:r>
          </w:p>
        </w:tc>
        <w:tc>
          <w:tcPr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错误QPS</w:t>
            </w:r>
          </w:p>
        </w:tc>
      </w:tr>
      <w:tr>
        <w:tc>
          <w:tcPr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华东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2026-01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118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7120.00%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38</w:t>
            </w:r>
          </w:p>
        </w:tc>
      </w:tr>
      <w:tr>
        <w:tc>
          <w:tcPr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2026-02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122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7250.00%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32</w:t>
            </w:r>
          </w:p>
        </w:tc>
      </w:tr>
      <w:tr>
        <w:tc>
          <w:tcPr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2026-03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126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7310.00%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28</w:t>
            </w:r>
          </w:p>
        </w:tc>
      </w:tr>
      <w:tr>
        <w:tc>
          <w:tcPr>
            <w:vMerge w:val="restart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华北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2026-01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106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7640.00%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45</w:t>
            </w:r>
          </w:p>
        </w:tc>
      </w:tr>
      <w:tr>
        <w:tc>
          <w:tcPr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2026-02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108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7700.00%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40</w:t>
            </w:r>
          </w:p>
        </w:tc>
      </w:tr>
      <w:tr>
        <w:tc>
          <w:tcPr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2026-03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111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7780.00%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35</w:t>
            </w:r>
          </w:p>
        </w:tc>
      </w:tr>
      <w:tr>
        <w:tc>
          <w:tcPr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华南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2026-01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98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6820.00%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30</w:t>
            </w:r>
          </w:p>
        </w:tc>
      </w:tr>
      <w:tr>
        <w:tc>
          <w:tcPr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2026-02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102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6950.00%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26</w:t>
            </w:r>
          </w:p>
        </w:tc>
      </w:tr>
      <w:tr>
        <w:tc>
          <w:tcPr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2026-03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105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7030.00%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22</w:t>
            </w:r>
          </w:p>
        </w:tc>
      </w:tr>
    </w:tbl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2. 透视结果（按月展开）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rPr>
          <w:tblHeader/>
        </w:trPr>
        <w:tc>
          <w:tcPr>
            <w:vMerge w:val="restart"/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区域</w:t>
            </w:r>
          </w:p>
        </w:tc>
        <w:tc>
          <w:tcPr>
            <w:gridSpan w:val="3"/>
            <w:hMerge w:val="restart"/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错误QPS</w:t>
            </w:r>
          </w:p>
        </w:tc>
        <w:tc>
          <w:tcPr>
            <w:hMerge w:val="continue"/>
            <w:shd w:color="auto" w:val="clear" w:fill="DBEAFE"/>
          </w:tcPr>
          <w:p>
            <w:pPr>
              <w:spacing w:after="0"/>
            </w:pPr>
          </w:p>
        </w:tc>
        <w:tc>
          <w:tcPr>
            <w:hMerge w:val="continue"/>
            <w:shd w:color="auto" w:val="clear" w:fill="DBEAFE"/>
          </w:tcPr>
          <w:p>
            <w:pPr>
              <w:spacing w:after="0"/>
            </w:pPr>
          </w:p>
        </w:tc>
      </w:tr>
      <w:tr>
        <w:trPr>
          <w:tblHeader/>
        </w:trPr>
        <w:tc>
          <w:tcPr>
            <w:vMerge w:val="continue"/>
            <w:shd w:color="auto" w:val="clear" w:fill="DBEAFE"/>
          </w:tcPr>
          <w:p>
            <w:pPr>
              <w:spacing w:after="0"/>
            </w:pPr>
          </w:p>
        </w:tc>
        <w:tc>
          <w:tcPr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2026-01</w:t>
            </w:r>
          </w:p>
        </w:tc>
        <w:tc>
          <w:tcPr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2026-02</w:t>
            </w:r>
          </w:p>
        </w:tc>
        <w:tc>
          <w:tcPr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2026-03</w:t>
            </w:r>
          </w:p>
        </w:tc>
      </w:tr>
      <w:tr>
        <w:tc>
          <w:tcPr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华东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38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32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28</w:t>
            </w:r>
          </w:p>
        </w:tc>
      </w:tr>
      <w:tr>
        <w:tc>
          <w:tcPr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华北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45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40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35</w:t>
            </w:r>
          </w:p>
        </w:tc>
      </w:tr>
      <w:tr>
        <w:tc>
          <w:tcPr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华南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30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26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22</w:t>
            </w:r>
          </w:p>
        </w:tc>
      </w:tr>
    </w:tbl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表格导出说明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本报告验证 Word 导出中的原生表格、表头合并、数据区合并与透视展开能力。</w:t>
            </w:r>
          </w:p>
        </w:tc>
      </w:tr>
    </w:tbl>
    <w:sectPr>
      <w:headerReference w:type="default" r:id="rId2"/>
      <w:footerReference w:type="default" r:id="rId3"/>
      <w:pgSz w:w="11906" w:h="16838"/>
      <w:pgMar w:top="1080" w:bottom="1080" w:left="1080" w:right="108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Visual Document OS</w:t>
    </w:r>
    <w:r>
      <w:rPr>
        <w:rFonts w:ascii="Source Sans 3" w:hAnsi="Source Sans 3" w:cs="Source Sans 3" w:eastAsia="Source Sans 3"/>
        <w:sz w:val="20"/>
        <w:color w:val="6B7280"/>
      </w:rPr>
      <w:t xml:space="preserve"> | Page </w:t>
    </w:r>
    <w:fldSimple w:instr="PAGE"/>
  </w:p>
</w:ftr>
</file>

<file path=word/header1.xml><?xml version="1.0" encoding="utf-8"?>
<w:hd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容量运营明细报告</w:t>
    </w:r>
  </w:p>
</w:hdr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2026-03-05T06:28:54Z</dcterms:created>
  <dc:creator>Apache POI</dc:creator>
</cp:coreProperties>
</file>