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数字化转型季度经营与稳定性综合报告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Quarterly Transformation Business &amp; Reliability Review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汇报对象：经营委员会 / 技术委员会  |  数据截止：2026-03-31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管理层结论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增长与渠道效率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平台稳定性与体验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4. 故障与根因治理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5. 客户健康与续费风险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6. 转型项目推进与风险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7. 下季度重点动作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管理层结论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Q1 经营实现高质量增长：收入由 5180 万增至 5795 万，利润由 1570 万增至 1915 万；NRR 从 109.6% 提升至 112.3%。平台稳定性提升与发布治理协同，是利润率改善的重要驱动。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增长与渠道效率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直销与渠道转化率持续改善，线上渠道保持最佳获客成本（CPA）。建议 Q2 在保持线上效率的同时，提升直销中腰部线索的转化效率。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平台稳定性与体验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核心稳定性指标连续改善：SLA 保持高位，错误QPS下降，P95 时延持续优化。发布门禁上线后，异常变更对业务面的冲击显著减少。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4. 故障与根因治理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故障主要集中在接入网关与观测告警域。重复故障比例在观测域偏高，提示需要进一步收敛规则质量并强化根因定位能力。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5. 客户健康与续费风险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战略KA 客户 ARR 稳定、流失率最低；SMB 客户服务工单率与流失率偏高，建议通过分层服务策略与自助化能力降低支持成本并改善体验。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6. 转型项目推进与风险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核心转型项目推进整体可控，但客户旅程改造风险偏高，应优先补齐跨团队依赖管理和里程碑验收机制。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7. 下季度重点动作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Q2 建议动作：
1) 将发布门禁覆盖到全部核心服务；
2) 对接入网关与观测告警域建立“重复故障压降”专项；
3) 按客户分层推行差异化服务策略，降低 SMB 流失风险；
4) 建立项目经营看板，按周追踪里程碑与风险收敛。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Q1 收入、利润与留存均保持上行；平台可用性连续 6 周保持 99.95% 以上。建议下季度继续加码链路治理与发布门禁，优先压降重复故障。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 · Confidential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季度综合报告 · 管理层版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收入与利润趋势（月）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revenue_m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5180.0</c:v>
              </c:pt>
              <c:pt idx="1">
                <c:v>5450.0</c:v>
              </c:pt>
              <c:pt idx="2">
                <c:v>5795.0</c:v>
              </c:pt>
            </c:numLit>
          </c:val>
        </c:ser>
        <c:axId val="0"/>
        <c:axId val="1"/>
      </c:barChart>
      <c:lineChart>
        <c:ser>
          <c:idx val="1"/>
          <c:order val="1"/>
          <c:tx>
            <c:v>profit_m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1570.0</c:v>
              </c:pt>
              <c:pt idx="1">
                <c:v>1725.0</c:v>
              </c:pt>
              <c:pt idx="2">
                <c:v>1915.0</c:v>
              </c:pt>
            </c:numLit>
          </c:val>
        </c:ser>
        <c:axId val="0"/>
        <c:axId val="2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revenue_m, profit_m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  <c:valAx>
        <c:axId val="2"/>
        <c:scaling>
          <c:orientation val="minMax"/>
        </c:scaling>
        <c:delete val="false"/>
        <c:axPos val="r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profit_m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净收入留存 NRR（月）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nrr_pct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109.6</c:v>
              </c:pt>
              <c:pt idx="1">
                <c:v>110.8</c:v>
              </c:pt>
              <c:pt idx="2">
                <c:v>112.3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nrr_pct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线索规模趋势（分渠道）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直销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1180.0</c:v>
              </c:pt>
              <c:pt idx="1">
                <c:v>1240.0</c:v>
              </c:pt>
              <c:pt idx="2">
                <c:v>1310.0</c:v>
              </c:pt>
            </c:numLit>
          </c:val>
        </c:ser>
        <c:ser>
          <c:idx val="1"/>
          <c:order val="1"/>
          <c:tx>
            <c:v>渠道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840.0</c:v>
              </c:pt>
              <c:pt idx="1">
                <c:v>865.0</c:v>
              </c:pt>
              <c:pt idx="2">
                <c:v>902.0</c:v>
              </c:pt>
            </c:numLit>
          </c:val>
        </c:ser>
        <c:ser>
          <c:idx val="2"/>
          <c:order val="2"/>
          <c:tx>
            <c:v>线上</c:v>
          </c:tx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1320.0</c:v>
              </c:pt>
              <c:pt idx="1">
                <c:v>1385.0</c:v>
              </c:pt>
              <c:pt idx="2">
                <c:v>1450.0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leads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获客成本（CPA）对比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cpa</c:v>
          </c:tx>
          <c:cat>
            <c:strLit>
              <c:ptCount val="3"/>
              <c:pt idx="0">
                <c:v>直销</c:v>
              </c:pt>
              <c:pt idx="1">
                <c:v>渠道</c:v>
              </c:pt>
              <c:pt idx="2">
                <c:v>线上</c:v>
              </c:pt>
            </c:strLit>
          </c:cat>
          <c:val>
            <c:numLit>
              <c:ptCount val="3"/>
              <c:pt idx="0">
                <c:v>1.19</c:v>
              </c:pt>
              <c:pt idx="1">
                <c:v>0.98</c:v>
              </c:pt>
              <c:pt idx="2">
                <c:v>0.84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channel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cpa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渠道转化率与CPA关系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cpa</c:v>
          </c:tx>
          <c:marker>
            <c:symbol val="none"/>
          </c:marker>
          <c:xVal>
            <c:numLit>
              <c:ptCount val="9"/>
              <c:pt idx="0">
                <c:v>1.0</c:v>
              </c:pt>
              <c:pt idx="1">
                <c:v>2.0</c:v>
              </c:pt>
              <c:pt idx="2">
                <c:v>3.0</c:v>
              </c:pt>
              <c:pt idx="3">
                <c:v>4.0</c:v>
              </c:pt>
              <c:pt idx="4">
                <c:v>5.0</c:v>
              </c:pt>
              <c:pt idx="5">
                <c:v>6.0</c:v>
              </c:pt>
              <c:pt idx="6">
                <c:v>7.0</c:v>
              </c:pt>
              <c:pt idx="7">
                <c:v>8.0</c:v>
              </c:pt>
              <c:pt idx="8">
                <c:v>9.0</c:v>
              </c:pt>
            </c:numLit>
          </c:xVal>
          <c:yVal>
            <c:numLit>
              <c:ptCount val="9"/>
              <c:pt idx="0">
                <c:v>1.28</c:v>
              </c:pt>
              <c:pt idx="1">
                <c:v>1.05</c:v>
              </c:pt>
              <c:pt idx="2">
                <c:v>0.88</c:v>
              </c:pt>
              <c:pt idx="3">
                <c:v>1.24</c:v>
              </c:pt>
              <c:pt idx="4">
                <c:v>1.01</c:v>
              </c:pt>
              <c:pt idx="5">
                <c:v>0.86</c:v>
              </c:pt>
              <c:pt idx="6">
                <c:v>1.19</c:v>
              </c:pt>
              <c:pt idx="7">
                <c:v>0.98</c:v>
              </c:pt>
              <c:pt idx="8">
                <c:v>0.84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conv_rate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cpa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与错误QPS（周）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sla_pct</c:v>
          </c:tx>
          <c:cat>
            <c:strLit>
              <c:ptCount val="6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  <c:pt idx="4">
                <c:v>W5</c:v>
              </c:pt>
              <c:pt idx="5">
                <c:v>W6</c:v>
              </c:pt>
            </c:strLit>
          </c:cat>
          <c:val>
            <c:numLit>
              <c:ptCount val="6"/>
              <c:pt idx="0">
                <c:v>99.95</c:v>
              </c:pt>
              <c:pt idx="1">
                <c:v>99.96</c:v>
              </c:pt>
              <c:pt idx="2">
                <c:v>99.97</c:v>
              </c:pt>
              <c:pt idx="3">
                <c:v>99.98</c:v>
              </c:pt>
              <c:pt idx="4">
                <c:v>99.97</c:v>
              </c:pt>
              <c:pt idx="5">
                <c:v>99.98</c:v>
              </c:pt>
            </c:numLit>
          </c:val>
        </c:ser>
        <c:axId val="0"/>
        <c:axId val="1"/>
      </c:barChart>
      <c:lineChart>
        <c:ser>
          <c:idx val="1"/>
          <c:order val="1"/>
          <c:tx>
            <c:v>err_qps</c:v>
          </c:tx>
          <c:cat>
            <c:strLit>
              <c:ptCount val="6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  <c:pt idx="4">
                <c:v>W5</c:v>
              </c:pt>
              <c:pt idx="5">
                <c:v>W6</c:v>
              </c:pt>
            </c:strLit>
          </c:cat>
          <c:val>
            <c:numLit>
              <c:ptCount val="6"/>
              <c:pt idx="0">
                <c:v>61.0</c:v>
              </c:pt>
              <c:pt idx="1">
                <c:v>55.0</c:v>
              </c:pt>
              <c:pt idx="2">
                <c:v>48.0</c:v>
              </c:pt>
              <c:pt idx="3">
                <c:v>42.0</c:v>
              </c:pt>
              <c:pt idx="4">
                <c:v>45.0</c:v>
              </c:pt>
              <c:pt idx="5">
                <c:v>39.0</c:v>
              </c:pt>
            </c:numLit>
          </c:val>
        </c:ser>
        <c:axId val="0"/>
        <c:axId val="2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sla_pct, 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  <c:valAx>
        <c:axId val="2"/>
        <c:scaling>
          <c:orientation val="minMax"/>
        </c:scaling>
        <c:delete val="false"/>
        <c:axPos val="r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P95 时延（ms）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p95_ms</c:v>
          </c:tx>
          <c:cat>
            <c:strLit>
              <c:ptCount val="6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  <c:pt idx="4">
                <c:v>W5</c:v>
              </c:pt>
              <c:pt idx="5">
                <c:v>W6</c:v>
              </c:pt>
            </c:strLit>
          </c:cat>
          <c:val>
            <c:numLit>
              <c:ptCount val="6"/>
              <c:pt idx="0">
                <c:v>82.0</c:v>
              </c:pt>
              <c:pt idx="1">
                <c:v>79.0</c:v>
              </c:pt>
              <c:pt idx="2">
                <c:v>76.0</c:v>
              </c:pt>
              <c:pt idx="3">
                <c:v>74.0</c:v>
              </c:pt>
              <c:pt idx="4">
                <c:v>75.0</c:v>
              </c:pt>
              <c:pt idx="5">
                <c:v>73.0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p95_ms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达成率指针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99.96833333333335</c:v>
              </c:pt>
              <c:pt idx="1">
                <c:v>0.03166666666665208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故障数量（按域）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incidents</c:v>
          </c:tx>
          <c:cat>
            <c:strLit>
              <c:ptCount val="4"/>
              <c:pt idx="0">
                <c:v>接入网关</c:v>
              </c:pt>
              <c:pt idx="1">
                <c:v>交易链路</c:v>
              </c:pt>
              <c:pt idx="2">
                <c:v>计费链路</c:v>
              </c:pt>
              <c:pt idx="3">
                <c:v>观测告警</c:v>
              </c:pt>
            </c:strLit>
          </c:cat>
          <c:val>
            <c:numLit>
              <c:ptCount val="4"/>
              <c:pt idx="0">
                <c:v>8.0</c:v>
              </c:pt>
              <c:pt idx="1">
                <c:v>6.0</c:v>
              </c:pt>
              <c:pt idx="2">
                <c:v>4.0</c:v>
              </c:pt>
              <c:pt idx="3">
                <c:v>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domain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incidents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MTTR（按域）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mttr_min</c:v>
          </c:tx>
          <c:cat>
            <c:strLit>
              <c:ptCount val="4"/>
              <c:pt idx="0">
                <c:v>接入网关</c:v>
              </c:pt>
              <c:pt idx="1">
                <c:v>交易链路</c:v>
              </c:pt>
              <c:pt idx="2">
                <c:v>计费链路</c:v>
              </c:pt>
              <c:pt idx="3">
                <c:v>观测告警</c:v>
              </c:pt>
            </c:strLit>
          </c:cat>
          <c:val>
            <c:numLit>
              <c:ptCount val="4"/>
              <c:pt idx="0">
                <c:v>47.0</c:v>
              </c:pt>
              <c:pt idx="1">
                <c:v>39.0</c:v>
              </c:pt>
              <c:pt idx="2">
                <c:v>33.0</c:v>
              </c:pt>
              <c:pt idx="3">
                <c:v>28.0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domain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mttr_min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ARR 结构（按客户分层）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arr_m</c:v>
          </c:tx>
          <c:cat>
            <c:strLit>
              <c:ptCount val="3"/>
              <c:pt idx="0">
                <c:v>战略KA</c:v>
              </c:pt>
              <c:pt idx="1">
                <c:v>成长型</c:v>
              </c:pt>
              <c:pt idx="2">
                <c:v>SMB</c:v>
              </c:pt>
            </c:strLit>
          </c:cat>
          <c:val>
            <c:numLit>
              <c:ptCount val="3"/>
              <c:pt idx="0">
                <c:v>1420.0</c:v>
              </c:pt>
              <c:pt idx="1">
                <c:v>980.0</c:v>
              </c:pt>
              <c:pt idx="2">
                <c:v>710.0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segment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arr_m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流失率（按客户分层）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churn_pct</c:v>
          </c:tx>
          <c:cat>
            <c:strLit>
              <c:ptCount val="3"/>
              <c:pt idx="0">
                <c:v>战略KA</c:v>
              </c:pt>
              <c:pt idx="1">
                <c:v>成长型</c:v>
              </c:pt>
              <c:pt idx="2">
                <c:v>SMB</c:v>
              </c:pt>
            </c:strLit>
          </c:cat>
          <c:val>
            <c:numLit>
              <c:ptCount val="3"/>
              <c:pt idx="0">
                <c:v>1.2</c:v>
              </c:pt>
              <c:pt idx="1">
                <c:v>2.6</c:v>
              </c:pt>
              <c:pt idx="2">
                <c:v>4.3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segment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churn_pct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ARR 分层结构树图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arr_m</c:v>
          </c:tx>
          <c:cat>
            <c:strLit>
              <c:ptCount val="3"/>
              <c:pt idx="0">
                <c:v>战略KA</c:v>
              </c:pt>
              <c:pt idx="1">
                <c:v>成长型</c:v>
              </c:pt>
              <c:pt idx="2">
                <c:v>SMB</c:v>
              </c:pt>
            </c:strLit>
          </c:cat>
          <c:val>
            <c:numLit>
              <c:ptCount val="3"/>
              <c:pt idx="0">
                <c:v>1420.0</c:v>
              </c:pt>
              <c:pt idx="1">
                <c:v>980.0</c:v>
              </c:pt>
              <c:pt idx="2">
                <c:v>710.0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项目推进度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progress</c:v>
          </c:tx>
          <c:cat>
            <c:strLit>
              <c:ptCount val="5"/>
              <c:pt idx="0">
                <c:v>链路治理2.0</c:v>
              </c:pt>
              <c:pt idx="1">
                <c:v>告警降噪</c:v>
              </c:pt>
              <c:pt idx="2">
                <c:v>发布门禁</c:v>
              </c:pt>
              <c:pt idx="3">
                <c:v>成本优化</c:v>
              </c:pt>
              <c:pt idx="4">
                <c:v>客户旅程改造</c:v>
              </c:pt>
            </c:strLit>
          </c:cat>
          <c:val>
            <c:numLit>
              <c:ptCount val="5"/>
              <c:pt idx="0">
                <c:v>92.0</c:v>
              </c:pt>
              <c:pt idx="1">
                <c:v>84.0</c:v>
              </c:pt>
              <c:pt idx="2">
                <c:v>76.0</c:v>
              </c:pt>
              <c:pt idx="3">
                <c:v>68.0</c:v>
              </c:pt>
              <c:pt idx="4">
                <c:v>57.0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program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progress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项目风险评分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risk_score</c:v>
          </c:tx>
          <c:cat>
            <c:strLit>
              <c:ptCount val="5"/>
              <c:pt idx="0">
                <c:v>链路治理2.0</c:v>
              </c:pt>
              <c:pt idx="1">
                <c:v>告警降噪</c:v>
              </c:pt>
              <c:pt idx="2">
                <c:v>发布门禁</c:v>
              </c:pt>
              <c:pt idx="3">
                <c:v>成本优化</c:v>
              </c:pt>
              <c:pt idx="4">
                <c:v>客户旅程改造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42.0</c:v>
              </c:pt>
              <c:pt idx="2">
                <c:v>48.0</c:v>
              </c:pt>
              <c:pt idx="3">
                <c:v>39.0</c:v>
              </c:pt>
              <c:pt idx="4">
                <c:v>53.0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program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risk_score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项目风险雷达</a:t>
            </a:r>
            <a:endParaRPr lang="en-US" sz="1100"/>
          </a:p>
        </c:rich>
      </c:tx>
      <c:layout/>
      <c:overlay val="false"/>
    </c:title>
    <c:plotArea>
      <c:radarChart>
        <c:ser>
          <c:idx val="0"/>
          <c:order val="0"/>
          <c:tx>
            <c:v>risk_score</c:v>
          </c:tx>
          <c:cat>
            <c:strLit>
              <c:ptCount val="5"/>
              <c:pt idx="0">
                <c:v>链路治理2.0</c:v>
              </c:pt>
              <c:pt idx="1">
                <c:v>告警降噪</c:v>
              </c:pt>
              <c:pt idx="2">
                <c:v>发布门禁</c:v>
              </c:pt>
              <c:pt idx="3">
                <c:v>成本优化</c:v>
              </c:pt>
              <c:pt idx="4">
                <c:v>客户旅程改造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42.0</c:v>
              </c:pt>
              <c:pt idx="2">
                <c:v>48.0</c:v>
              </c:pt>
              <c:pt idx="3">
                <c:v>39.0</c:v>
              </c:pt>
              <c:pt idx="4">
                <c:v>53.0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program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risk_score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2026-03-01T18:01:53Z</dcterms:created>
  <dc:creator>Apache POI</dc:creator>
</cp:coreProperties>
</file>