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разграничения доступа №002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Политики безопасности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VD-002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Политика разграничения доступа №002</w:t>
      </w:r>
    </w:p>
    <w:p>
      <w:r>
        <w:rPr>
          <w:sz w:val="22"/>
        </w:rPr>
        <w:t>Категория: Политики безопасности</w:t>
      </w:r>
    </w:p>
    <w:p>
      <w:r>
        <w:rPr>
          <w:sz w:val="22"/>
        </w:rPr>
        <w:t>Номер документа: VD-002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описывает порядок разграничения доступа к материалам, размещенным в системе. Доступ к документам предоставляется на основании роли пользователя и объектных разрешений.</w:t>
      </w:r>
    </w:p>
    <w:p>
      <w:r>
        <w:rPr>
          <w:sz w:val="22"/>
        </w:rPr>
        <w:t>Особое внимание уделяется контролю попыток несанкционированного доступа. Операции выдачи и отзыва прав фиксируются в журнале аудита для последующего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