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df" ContentType="application/pdf"/>
  <Override PartName="/word/media/rId37.pdf" ContentType="application/pdf"/>
  <Override PartName="/word/media/rId38.pdf" ContentType="application/pdf"/>
  <Override PartName="/word/media/rId39.pdf" ContentType="application/pdf"/>
  <Override PartName="/word/media/rId40.pdf" ContentType="application/pdf"/>
  <Override PartName="/word/media/rId41.pdf" ContentType="application/pdf"/>
  <Override PartName="/word/media/rId42.pdf" ContentType="application/pd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Hypoxia</w:t>
      </w:r>
      <w:r>
        <w:t xml:space="preserve"> </w:t>
      </w:r>
      <w:r>
        <w:t xml:space="preserve">uncouples</w:t>
      </w:r>
      <w:r>
        <w:t xml:space="preserve"> </w:t>
      </w:r>
      <w:r>
        <w:t xml:space="preserve">HIF</w:t>
      </w:r>
      <w:r>
        <w:t xml:space="preserve"> </w:t>
      </w:r>
      <w:r>
        <w:t xml:space="preserve">target</w:t>
      </w:r>
      <w:r>
        <w:t xml:space="preserve"> </w:t>
      </w:r>
      <w:r>
        <w:t xml:space="preserve">gene</w:t>
      </w:r>
      <w:r>
        <w:t xml:space="preserve"> </w:t>
      </w:r>
      <w:r>
        <w:t xml:space="preserve">transcription</w:t>
      </w:r>
      <w:r>
        <w:t xml:space="preserve"> </w:t>
      </w:r>
      <w:r>
        <w:t xml:space="preserve">and</w:t>
      </w:r>
      <w:r>
        <w:t xml:space="preserve"> </w:t>
      </w:r>
      <w:r>
        <w:t xml:space="preserve">glycolytic</w:t>
      </w:r>
      <w:r>
        <w:t xml:space="preserve"> </w:t>
      </w:r>
      <w:r>
        <w:t xml:space="preserve">flux</w:t>
      </w:r>
      <w:r>
        <w:t xml:space="preserve"> </w:t>
      </w:r>
      <w:r>
        <w:t xml:space="preserve">in</w:t>
      </w:r>
      <w:r>
        <w:t xml:space="preserve"> </w:t>
      </w:r>
      <w:r>
        <w:t xml:space="preserve">proliferating</w:t>
      </w:r>
      <w:r>
        <w:t xml:space="preserve"> </w:t>
      </w:r>
      <w:r>
        <w:t xml:space="preserve">primary</w:t>
      </w:r>
      <w:r>
        <w:t xml:space="preserve"> </w:t>
      </w:r>
      <w:r>
        <w:t xml:space="preserve">cells</w:t>
      </w:r>
    </w:p>
    <w:p>
      <w:pPr>
        <w:pStyle w:val="Author"/>
      </w:pPr>
      <w:r>
        <w:t xml:space="preserve">Courtney A. Copeland</w:t>
      </w:r>
      <w:r>
        <w:rPr>
          <w:vertAlign w:val="superscript"/>
        </w:rPr>
        <w:t xml:space="preserve">1</w:t>
      </w:r>
      <w:r>
        <w:t xml:space="preserve">,</w:t>
      </w:r>
      <w:r>
        <w:t xml:space="preserve"> </w:t>
      </w:r>
      <w:r>
        <w:t xml:space="preserve">Benjamin A. Olenchock</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David R. Ziehr</w:t>
      </w:r>
      <w:r>
        <w:rPr>
          <w:vertAlign w:val="superscript"/>
        </w:rPr>
        <w:t xml:space="preserve">1</w:t>
      </w:r>
      <w:r>
        <w:rPr>
          <w:vertAlign w:val="superscript"/>
        </w:rPr>
        <w:t xml:space="preserve">,</w:t>
      </w:r>
      <w:r>
        <w:rPr>
          <w:vertAlign w:val="superscript"/>
        </w:rPr>
        <w:t xml:space="preserve">4</w:t>
      </w:r>
      <w:r>
        <w:t xml:space="preserve">,</w:t>
      </w:r>
      <w:r>
        <w:t xml:space="preserve"> </w:t>
      </w:r>
      <w:r>
        <w:t xml:space="preserve">Sarah McGarrity</w:t>
      </w:r>
      <w:r>
        <w:rPr>
          <w:vertAlign w:val="superscript"/>
        </w:rPr>
        <w:t xml:space="preserve">1</w:t>
      </w:r>
      <w:r>
        <w:rPr>
          <w:vertAlign w:val="superscript"/>
        </w:rPr>
        <w:t xml:space="preserve">,</w:t>
      </w:r>
      <w:r>
        <w:rPr>
          <w:vertAlign w:val="superscript"/>
        </w:rPr>
        <w:t xml:space="preserve">5</w:t>
      </w:r>
      <w:r>
        <w:t xml:space="preserve">,</w:t>
      </w:r>
      <w:r>
        <w:t xml:space="preserve"> </w:t>
      </w:r>
      <w:r>
        <w:t xml:space="preserve">Kevin Leahy</w:t>
      </w:r>
      <w:r>
        <w:rPr>
          <w:vertAlign w:val="superscript"/>
        </w:rPr>
        <w:t xml:space="preserve">1</w:t>
      </w:r>
      <w:r>
        <w:t xml:space="preserve">,</w:t>
      </w:r>
      <w:r>
        <w:t xml:space="preserve"> </w:t>
      </w:r>
      <w:r>
        <w:t xml:space="preserve">Jamey D. Young</w:t>
      </w:r>
      <w:r>
        <w:rPr>
          <w:vertAlign w:val="superscript"/>
        </w:rPr>
        <w:t xml:space="preserve">3</w:t>
      </w:r>
      <w:r>
        <w:t xml:space="preserve">,</w:t>
      </w:r>
      <w:r>
        <w:t xml:space="preserve"> </w:t>
      </w:r>
      <w:r>
        <w:t xml:space="preserve">Joseph Loscalzo</w:t>
      </w:r>
      <w:r>
        <w:rPr>
          <w:vertAlign w:val="superscript"/>
        </w:rPr>
        <w:t xml:space="preserve">1</w:t>
      </w:r>
      <w:r>
        <w:t xml:space="preserve">,</w:t>
      </w:r>
      <w:r>
        <w:t xml:space="preserve"> </w:t>
      </w:r>
      <w:r>
        <w:t xml:space="preserve">and</w:t>
      </w:r>
      <w:r>
        <w:t xml:space="preserve"> </w:t>
      </w:r>
      <w:r>
        <w:t xml:space="preserve">William M. Oldham</w:t>
      </w:r>
      <w:r>
        <w:rPr>
          <w:vertAlign w:val="superscript"/>
        </w:rPr>
        <w:t xml:space="preserve">1</w:t>
      </w:r>
      <w:r>
        <w:rPr>
          <w:vertAlign w:val="superscript"/>
        </w:rPr>
        <w:t xml:space="preserve">,</w:t>
      </w:r>
      <w:r>
        <w:rPr>
          <w:vertAlign w:val="superscript"/>
        </w:rPr>
        <w:t xml:space="preserve">‡</w:t>
      </w:r>
    </w:p>
    <w:p>
      <w:pPr>
        <w:pStyle w:val="FirstParagraph"/>
      </w:pPr>
      <w:r>
        <w:rPr>
          <w:vertAlign w:val="superscript"/>
        </w:rPr>
        <w:t xml:space="preserve">1</w:t>
      </w:r>
      <w:r>
        <w:t xml:space="preserve"> </w:t>
      </w:r>
      <w:r>
        <w:t xml:space="preserve">Department of Medicine, Brigham and Women’s Hospital and Harvard Medical School, Boston, MA</w:t>
      </w:r>
      <w:r>
        <w:br/>
      </w:r>
      <w:r>
        <w:rPr>
          <w:vertAlign w:val="superscript"/>
        </w:rPr>
        <w:t xml:space="preserve">2</w:t>
      </w:r>
      <w:r>
        <w:t xml:space="preserve"> </w:t>
      </w:r>
      <w:r>
        <w:t xml:space="preserve">Regeneron Pharmaceuticals, Tarrytown, NY</w:t>
      </w:r>
      <w:r>
        <w:br/>
      </w:r>
      <w:r>
        <w:rPr>
          <w:vertAlign w:val="superscript"/>
        </w:rPr>
        <w:t xml:space="preserve">3</w:t>
      </w:r>
      <w:r>
        <w:t xml:space="preserve"> </w:t>
      </w:r>
      <w:r>
        <w:t xml:space="preserve">Departments of Chemical &amp; Biomolecular Engineering and Molecular Physiology &amp; Biophysics, Vanderbilt University, Nashville, TN</w:t>
      </w:r>
      <w:r>
        <w:br/>
      </w:r>
      <w:r>
        <w:rPr>
          <w:vertAlign w:val="superscript"/>
        </w:rPr>
        <w:t xml:space="preserve">4</w:t>
      </w:r>
      <w:r>
        <w:t xml:space="preserve"> </w:t>
      </w:r>
      <w:r>
        <w:t xml:space="preserve">Department of Medicine, Massachusetts General Hospital and Harvard Medical School, Boston, MA</w:t>
      </w:r>
      <w:r>
        <w:br/>
      </w:r>
      <w:r>
        <w:rPr>
          <w:vertAlign w:val="superscript"/>
        </w:rPr>
        <w:t xml:space="preserve">5</w:t>
      </w:r>
      <w:r>
        <w:t xml:space="preserve"> </w:t>
      </w:r>
      <w:r>
        <w:t xml:space="preserve">Center for Systems Biology, School of Health Sciences, University of Iceland, Reykjavik, Iceland</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William M. Oldham &lt;</w:t>
        </w:r>
        <w:hyperlink r:id="rId20">
          <w:r>
            <w:rPr>
              <w:rStyle w:val="Hyperlink"/>
            </w:rPr>
            <w:t xml:space="preserve">woldham@bwh.harvard.edu</w:t>
          </w:r>
        </w:hyperlink>
        <w:r>
          <w:rPr>
            <w:rStyle w:val="Hyperlink"/>
          </w:rPr>
          <w:t xml:space="preserve">&gt;</w:t>
        </w:r>
      </w:hyperlink>
    </w:p>
    <w:p>
      <w:r>
        <w:br w:type="page"/>
      </w:r>
    </w:p>
    <w:bookmarkStart w:id="21" w:name="summary"/>
    <w:p>
      <w:pPr>
        <w:pStyle w:val="Heading1"/>
      </w:pPr>
      <w:r>
        <w:t xml:space="preserve">Summary</w:t>
      </w:r>
    </w:p>
    <w:p>
      <w:pPr>
        <w:pStyle w:val="FirstParagraph"/>
      </w:pPr>
      <w:r>
        <w:t xml:space="preserve">Hypoxia is an important environmental stimulus that causes transcriptional and metabolic reprogramming in cells to facilitate their survival. Here, we performed stable isotope tracing and metabolic flux analyses of proliferating human lung fibroblasts and pulmonary artery smooth muscle cells in hypoxia. Despite activation of the hypoxia-inducible factor (HIF) transcriptional program and up-regulation of glycolytic genes, glycolytic flux was decreased in hypoxic cells. While pharmacologic stabilization of HIF in normoxia with the prolyl hydroxylase inhibitor molidustat did increase glycolytic flux as expected, hypoxia abrogated this effect of molidustat treatment. Multi-omic profiling of cells treated with hypoxia or molidustat, seperately or together, revealed distinct molecular responses to hypoxia and pharmacologic prolyl hydroxylase inhibition. Together, these data suggest that primary cell bioenergetic metabolism is closely coupled to cell proliferation rate and that other factors supersede the anticipated effects of HIF-dependent up-regulation of glycolytic gene expression on glycolytic flux.</w:t>
      </w:r>
    </w:p>
    <w:bookmarkEnd w:id="21"/>
    <w:bookmarkStart w:id="22" w:name="keywords"/>
    <w:p>
      <w:pPr>
        <w:pStyle w:val="Heading1"/>
      </w:pPr>
      <w:r>
        <w:t xml:space="preserve">Keywords</w:t>
      </w:r>
    </w:p>
    <w:p>
      <w:pPr>
        <w:pStyle w:val="FirstParagraph"/>
      </w:pPr>
      <w:r>
        <w:t xml:space="preserve">hypoxia, metabolic flux analysis, hypoxia-inducible factor, prolyl hydroxylase, metabolism</w:t>
      </w:r>
    </w:p>
    <w:p>
      <w:r>
        <w:br w:type="page"/>
      </w:r>
    </w:p>
    <w:bookmarkEnd w:id="22"/>
    <w:bookmarkStart w:id="23" w:name="introduction"/>
    <w:p>
      <w:pPr>
        <w:pStyle w:val="Heading1"/>
      </w:pPr>
      <w:r>
        <w:t xml:space="preserve">Introduction</w:t>
      </w:r>
    </w:p>
    <w:p>
      <w:pPr>
        <w:pStyle w:val="FirstParagraph"/>
      </w:pPr>
      <w:r>
        <w:t xml:space="preserve">Metazoan cells depend on aerobic respiration to meet cellular energy demands. With an inadequate oxygen supply, or hypoxia, cells must reduce energy consumption and shift energy production away from oxidative phosphorylation. Cells accomplish this goal through stabilization of the hypoxia-inducible transcription factor 1α (HIF-1α), which activates the transcription of glucose transporters, glycolytic enzymes, lactate dehydrogenase, and pyruvate dehydrogenase kinase, while decreasing the expression of proteins in the tricarboxylic acid (TCA) cycle and electron transport chain</w:t>
      </w:r>
      <w:r>
        <w:t xml:space="preserve"> </w:t>
      </w:r>
      <w:r>
        <w:t xml:space="preserve">(</w:t>
      </w:r>
      <w:hyperlink w:anchor="ref-RN1198">
        <w:r>
          <w:rPr>
            <w:rStyle w:val="Hyperlink"/>
          </w:rPr>
          <w:t xml:space="preserve">Lee et al., 2020</w:t>
        </w:r>
      </w:hyperlink>
      <w:r>
        <w:t xml:space="preserve">;</w:t>
      </w:r>
      <w:r>
        <w:t xml:space="preserve"> </w:t>
      </w:r>
      <w:hyperlink w:anchor="ref-RN1980">
        <w:r>
          <w:rPr>
            <w:rStyle w:val="Hyperlink"/>
          </w:rPr>
          <w:t xml:space="preserve">Semenza, 2012</w:t>
        </w:r>
      </w:hyperlink>
      <w:r>
        <w:t xml:space="preserve">)</w:t>
      </w:r>
      <w:r>
        <w:t xml:space="preserve">. Although HIF-1α is constitutively expressed, it is hydroxylated by prolyl hydroxylase enzymes in normoxia and targeted for proteasomal degradation. Prolyl hydroxlyase enzymes (PHDs) are the principal oxygen sensors in metazoan cells</w:t>
      </w:r>
      <w:r>
        <w:t xml:space="preserve"> </w:t>
      </w:r>
      <w:r>
        <w:t xml:space="preserve">(</w:t>
      </w:r>
      <w:hyperlink w:anchor="ref-RN999">
        <w:r>
          <w:rPr>
            <w:rStyle w:val="Hyperlink"/>
          </w:rPr>
          <w:t xml:space="preserve">Kaelin and Ratcliffe, 2008</w:t>
        </w:r>
      </w:hyperlink>
      <w:r>
        <w:t xml:space="preserve">)</w:t>
      </w:r>
      <w:r>
        <w:t xml:space="preserve">. PHDs are α-ketoglutrate dioxygenase enzymes that require molecular oxygen to catalyze this protein modification. When oxygen tension falls, PHD activity decreases, leading to HIF-1α stabilization and its associated transcriptional program. Overall, the changes in gene transcription should increase glycolytic capacity and divert glucose-derived pyruvate from oxidative phosphorylation toward lactate fermentation to maintain ATP production and minimize the formation of reactive oxygen species (ROS)</w:t>
      </w:r>
      <w:r>
        <w:t xml:space="preserve"> </w:t>
      </w:r>
      <w:r>
        <w:t xml:space="preserve">(</w:t>
      </w:r>
      <w:hyperlink w:anchor="ref-RN2525">
        <w:r>
          <w:rPr>
            <w:rStyle w:val="Hyperlink"/>
          </w:rPr>
          <w:t xml:space="preserve">Zhang et al., 2008</w:t>
        </w:r>
      </w:hyperlink>
      <w:r>
        <w:t xml:space="preserve">)</w:t>
      </w:r>
      <w:r>
        <w:t xml:space="preserve">.</w:t>
      </w:r>
    </w:p>
    <w:p>
      <w:pPr>
        <w:pStyle w:val="BodyText"/>
      </w:pPr>
      <w:r>
        <w:t xml:space="preserve">While a</w:t>
      </w:r>
      <w:r>
        <w:t xml:space="preserve"> </w:t>
      </w:r>
      <w:r>
        <w:t xml:space="preserve">“</w:t>
      </w:r>
      <w:r>
        <w:t xml:space="preserve">glycolytic shift</w:t>
      </w:r>
      <w:r>
        <w:t xml:space="preserve">”</w:t>
      </w:r>
      <w:r>
        <w:t xml:space="preserve"> </w:t>
      </w:r>
      <w:r>
        <w:t xml:space="preserve">of primary carbon metabolism in hypoxia is well-described, the effects of hypoxia on other metabolic pathways are an area of active investigation</w:t>
      </w:r>
      <w:r>
        <w:t xml:space="preserve"> </w:t>
      </w:r>
      <w:r>
        <w:t xml:space="preserve">(</w:t>
      </w:r>
      <w:hyperlink w:anchor="ref-RN953">
        <w:r>
          <w:rPr>
            <w:rStyle w:val="Hyperlink"/>
          </w:rPr>
          <w:t xml:space="preserve">Jain et al., 2020</w:t>
        </w:r>
      </w:hyperlink>
      <w:r>
        <w:t xml:space="preserve">;</w:t>
      </w:r>
      <w:r>
        <w:t xml:space="preserve"> </w:t>
      </w:r>
      <w:hyperlink w:anchor="ref-RN1198">
        <w:r>
          <w:rPr>
            <w:rStyle w:val="Hyperlink"/>
          </w:rPr>
          <w:t xml:space="preserve">Lee et al., 2020</w:t>
        </w:r>
      </w:hyperlink>
      <w:r>
        <w:t xml:space="preserve">;</w:t>
      </w:r>
      <w:r>
        <w:t xml:space="preserve"> </w:t>
      </w:r>
      <w:hyperlink w:anchor="ref-RN1603">
        <w:r>
          <w:rPr>
            <w:rStyle w:val="Hyperlink"/>
          </w:rPr>
          <w:t xml:space="preserve">Oldham et al., 2015</w:t>
        </w:r>
      </w:hyperlink>
      <w:r>
        <w:t xml:space="preserve">)</w:t>
      </w:r>
      <w:r>
        <w:t xml:space="preserve">. Since hypoxia is a prominent feature of cancer biology as tumor growth outstrips blood supply, most detailed metabolic studies of cell metabolism in hypoxia have used tumor cell models</w:t>
      </w:r>
      <w:r>
        <w:t xml:space="preserve"> </w:t>
      </w:r>
      <w:r>
        <w:t xml:space="preserve">(</w:t>
      </w:r>
      <w:hyperlink w:anchor="ref-RN634">
        <w:r>
          <w:rPr>
            <w:rStyle w:val="Hyperlink"/>
          </w:rPr>
          <w:t xml:space="preserve">Garcia-Bermudez et al., 2018</w:t>
        </w:r>
      </w:hyperlink>
      <w:r>
        <w:t xml:space="preserve">;</w:t>
      </w:r>
      <w:r>
        <w:t xml:space="preserve"> </w:t>
      </w:r>
      <w:hyperlink w:anchor="ref-RN975">
        <w:r>
          <w:rPr>
            <w:rStyle w:val="Hyperlink"/>
          </w:rPr>
          <w:t xml:space="preserve">Jiang et al., 2016</w:t>
        </w:r>
      </w:hyperlink>
      <w:r>
        <w:t xml:space="preserve">;</w:t>
      </w:r>
      <w:r>
        <w:t xml:space="preserve"> </w:t>
      </w:r>
      <w:hyperlink w:anchor="ref-RN1200">
        <w:r>
          <w:rPr>
            <w:rStyle w:val="Hyperlink"/>
          </w:rPr>
          <w:t xml:space="preserve">Lee et al., 2019</w:t>
        </w:r>
      </w:hyperlink>
      <w:r>
        <w:t xml:space="preserve">;</w:t>
      </w:r>
      <w:r>
        <w:t xml:space="preserve"> </w:t>
      </w:r>
      <w:hyperlink w:anchor="ref-RN1438">
        <w:r>
          <w:rPr>
            <w:rStyle w:val="Hyperlink"/>
          </w:rPr>
          <w:t xml:space="preserve">Melendez-Rodriguez et al., 2019</w:t>
        </w:r>
      </w:hyperlink>
      <w:r>
        <w:t xml:space="preserve">;</w:t>
      </w:r>
      <w:r>
        <w:t xml:space="preserve"> </w:t>
      </w:r>
      <w:hyperlink w:anchor="ref-RN1447">
        <w:r>
          <w:rPr>
            <w:rStyle w:val="Hyperlink"/>
          </w:rPr>
          <w:t xml:space="preserve">Metallo et al., 2011</w:t>
        </w:r>
      </w:hyperlink>
      <w:r>
        <w:t xml:space="preserve">;</w:t>
      </w:r>
      <w:r>
        <w:t xml:space="preserve"> </w:t>
      </w:r>
      <w:hyperlink w:anchor="ref-RN2395">
        <w:r>
          <w:rPr>
            <w:rStyle w:val="Hyperlink"/>
          </w:rPr>
          <w:t xml:space="preserve">Wise et al., 2011</w:t>
        </w:r>
      </w:hyperlink>
      <w:r>
        <w:t xml:space="preserve">)</w:t>
      </w:r>
      <w:r>
        <w:t xml:space="preserve">. For example, stable isotope tracing and metabolic flux analyses identified a critical role for reductive carboxylation of glutamine-derived α-ketoglutarate for lipid biosynthesis in tumor growth</w:t>
      </w:r>
      <w:r>
        <w:t xml:space="preserve"> </w:t>
      </w:r>
      <w:r>
        <w:t xml:space="preserve">(</w:t>
      </w:r>
      <w:hyperlink w:anchor="ref-RN628">
        <w:r>
          <w:rPr>
            <w:rStyle w:val="Hyperlink"/>
          </w:rPr>
          <w:t xml:space="preserve">Gameiro et al., 2013</w:t>
        </w:r>
      </w:hyperlink>
      <w:r>
        <w:t xml:space="preserve">;</w:t>
      </w:r>
      <w:r>
        <w:t xml:space="preserve"> </w:t>
      </w:r>
      <w:hyperlink w:anchor="ref-RN1447">
        <w:r>
          <w:rPr>
            <w:rStyle w:val="Hyperlink"/>
          </w:rPr>
          <w:t xml:space="preserve">Metallo et al., 2011</w:t>
        </w:r>
      </w:hyperlink>
      <w:r>
        <w:t xml:space="preserve">;</w:t>
      </w:r>
      <w:r>
        <w:t xml:space="preserve"> </w:t>
      </w:r>
      <w:hyperlink w:anchor="ref-RN1966">
        <w:r>
          <w:rPr>
            <w:rStyle w:val="Hyperlink"/>
          </w:rPr>
          <w:t xml:space="preserve">Scott et al., 2011</w:t>
        </w:r>
      </w:hyperlink>
      <w:r>
        <w:t xml:space="preserve">;</w:t>
      </w:r>
      <w:r>
        <w:t xml:space="preserve"> </w:t>
      </w:r>
      <w:hyperlink w:anchor="ref-RN2395">
        <w:r>
          <w:rPr>
            <w:rStyle w:val="Hyperlink"/>
          </w:rPr>
          <w:t xml:space="preserve">Wise et al., 2011</w:t>
        </w:r>
      </w:hyperlink>
      <w:r>
        <w:t xml:space="preserve">)</w:t>
      </w:r>
      <w:r>
        <w:t xml:space="preserve">, and metabolomic studies identified aspartate as a limiting metabolite for cancer cell proliferation under hypoxia</w:t>
      </w:r>
      <w:r>
        <w:t xml:space="preserve"> </w:t>
      </w:r>
      <w:r>
        <w:t xml:space="preserve">(</w:t>
      </w:r>
      <w:hyperlink w:anchor="ref-RN634">
        <w:r>
          <w:rPr>
            <w:rStyle w:val="Hyperlink"/>
          </w:rPr>
          <w:t xml:space="preserve">Garcia-Bermudez et al., 2018</w:t>
        </w:r>
      </w:hyperlink>
      <w:r>
        <w:t xml:space="preserve">)</w:t>
      </w:r>
      <w:r>
        <w:t xml:space="preserve">. By contrast, comparatively little is known about metabolic adaptations of primary cells to hypoxia and the importance of reductive carboxylation and aspartate biosynthesis remain to be elucidated in these cells. This information would provide important context for understanding fundamental differences in how cancer cell metabolism responds to hypoxic stress. Given the metabolic adaptations required for rapid proliferation in cancer cells, we hypothesized that hypoxia would elicit different metabolic responses in primary cells than has been observed previously in studies of cancer cell metabolism.</w:t>
      </w:r>
    </w:p>
    <w:p>
      <w:pPr>
        <w:pStyle w:val="BodyText"/>
      </w:pPr>
      <w:r>
        <w:t xml:space="preserve">To test this hypothesis, we developed models of bioenergetic carbon flux in human primary lung fibroblasts (LFs) and pulmonary artery smooth muscle cells (PASMCs) cultured under 21% or 0.5% oxygen conditions. We found that hypoxia fails to increase glycolysis in primary cells despite robust up-regulation of the HIF-1 transcriptional program. In normoxia, HIF-1α stabilization by the PHD inhibitor molidustat (BAY-85-3934,</w:t>
      </w:r>
      <w:r>
        <w:t xml:space="preserve"> </w:t>
      </w:r>
      <w:r>
        <w:t xml:space="preserve">“</w:t>
      </w:r>
      <w:r>
        <w:t xml:space="preserve">BAY</w:t>
      </w:r>
      <w:r>
        <w:t xml:space="preserve">”</w:t>
      </w:r>
      <w:r>
        <w:t xml:space="preserve">)</w:t>
      </w:r>
      <w:r>
        <w:t xml:space="preserve"> </w:t>
      </w:r>
      <w:r>
        <w:t xml:space="preserve">(</w:t>
      </w:r>
      <w:hyperlink w:anchor="ref-RN580">
        <w:r>
          <w:rPr>
            <w:rStyle w:val="Hyperlink"/>
          </w:rPr>
          <w:t xml:space="preserve">Flamme et al., 2014</w:t>
        </w:r>
      </w:hyperlink>
      <w:r>
        <w:t xml:space="preserve">)</w:t>
      </w:r>
      <w:r>
        <w:t xml:space="preserve"> </w:t>
      </w:r>
      <w:r>
        <w:t xml:space="preserve">did increase glycolysis and lactate efflux; however, hypoxia abrogated this response. These findings suggest the existence of important hypoxia-dependent regulatory mechanisms that override the metabolic consequences of HIF-1-dependent up-regulation of glycolytic gene expression in human primary cells.</w:t>
      </w:r>
    </w:p>
    <w:bookmarkEnd w:id="23"/>
    <w:bookmarkStart w:id="30" w:name="results"/>
    <w:p>
      <w:pPr>
        <w:pStyle w:val="Heading1"/>
      </w:pPr>
      <w:r>
        <w:t xml:space="preserve">Results</w:t>
      </w:r>
    </w:p>
    <w:p>
      <w:pPr>
        <w:pStyle w:val="FirstParagraph"/>
      </w:pPr>
      <w:r>
        <w:t xml:space="preserve">The goal of this study was to identify the metabolic changes associated with hypoxia in proliferating primary cells. Cells were seeded and placed into hypoxia for 24 h prior to sample collection to provide adequate time for activation of the hypoxia-dependent transcriptional program. From this starting point, we identified the optimal cell seeding density and time course to capture exponential cell growth (</w:t>
      </w:r>
      <w:r>
        <w:rPr>
          <w:bCs/>
          <w:b/>
        </w:rPr>
        <w:t xml:space="preserve">Figure</w:t>
      </w:r>
      <w:r>
        <w:rPr>
          <w:bCs/>
          <w:b/>
        </w:rPr>
        <w:t xml:space="preserve"> </w:t>
      </w:r>
      <w:r>
        <w:rPr>
          <w:bCs/>
          <w:b/>
        </w:rPr>
        <w:t xml:space="preserve">1</w:t>
      </w:r>
      <w:r>
        <w:rPr>
          <w:bCs/>
          <w:b/>
        </w:rPr>
        <w:t xml:space="preserve">A</w:t>
      </w:r>
      <w:r>
        <w:t xml:space="preserve">), thought to be an indicator of metabolic steady state. LFs cultured in 0.5% oxygen grew more slowly (</w:t>
      </w:r>
      <w:r>
        <w:rPr>
          <w:bCs/>
          <w:b/>
        </w:rPr>
        <w:t xml:space="preserve">Figure</w:t>
      </w:r>
      <w:r>
        <w:rPr>
          <w:bCs/>
          <w:b/>
        </w:rPr>
        <w:t xml:space="preserve"> </w:t>
      </w:r>
      <w:r>
        <w:rPr>
          <w:bCs/>
          <w:b/>
        </w:rPr>
        <w:t xml:space="preserve">1</w:t>
      </w:r>
      <w:r>
        <w:rPr>
          <w:bCs/>
          <w:b/>
        </w:rPr>
        <w:t xml:space="preserve">B</w:t>
      </w:r>
      <w:r>
        <w:t xml:space="preserve">), but slower growth was not associated with decreased cell viability (</w:t>
      </w:r>
      <w:r>
        <w:rPr>
          <w:bCs/>
          <w:b/>
        </w:rPr>
        <w:t xml:space="preserve">Figure</w:t>
      </w:r>
      <w:r>
        <w:rPr>
          <w:bCs/>
          <w:b/>
        </w:rPr>
        <w:t xml:space="preserve"> </w:t>
      </w:r>
      <w:r>
        <w:rPr>
          <w:bCs/>
          <w:b/>
        </w:rPr>
        <w:t xml:space="preserve">1</w:t>
      </w:r>
      <w:r>
        <w:rPr>
          <w:bCs/>
          <w:b/>
        </w:rPr>
        <w:t xml:space="preserve">C</w:t>
      </w:r>
      <w:r>
        <w:t xml:space="preserve">). These cells demonstrated robust stabilization of HIF-1α protein associated with up-regulation of downstream targets, such as glucose transporter 1 (GLUT1) and lactate dehydrogenase A (LDHA) (</w:t>
      </w:r>
      <w:r>
        <w:rPr>
          <w:bCs/>
          <w:b/>
        </w:rPr>
        <w:t xml:space="preserve">Figures</w:t>
      </w:r>
      <w:r>
        <w:rPr>
          <w:bCs/>
          <w:b/>
        </w:rPr>
        <w:t xml:space="preserve"> </w:t>
      </w:r>
      <w:r>
        <w:rPr>
          <w:bCs/>
          <w:b/>
        </w:rPr>
        <w:t xml:space="preserve">1</w:t>
      </w:r>
      <w:r>
        <w:rPr>
          <w:bCs/>
          <w:b/>
        </w:rPr>
        <w:t xml:space="preserve">D-H</w:t>
      </w:r>
      <w:r>
        <w:t xml:space="preserve">). These changes persisted for the duration of the experimental time course.</w:t>
      </w:r>
    </w:p>
    <w:bookmarkStart w:id="24" w:name="Xa168bead65079387810e7013999272db54d6ea8"/>
    <w:p>
      <w:pPr>
        <w:pStyle w:val="Heading2"/>
      </w:pPr>
      <w:r>
        <w:t xml:space="preserve">Extracellular flux analysis reveals little impact of hypoxia on glycolysis</w:t>
      </w:r>
    </w:p>
    <w:p>
      <w:pPr>
        <w:pStyle w:val="FirstParagraph"/>
      </w:pPr>
      <w:r>
        <w:t xml:space="preserve">Having established a model system, we next determined the extracellular fluxes of glucose (GLC), lactate (LAC), pyruvate (PYR), and amino acids (</w:t>
      </w:r>
      <w:r>
        <w:rPr>
          <w:bCs/>
          <w:b/>
        </w:rPr>
        <w:t xml:space="preserve">Figures</w:t>
      </w:r>
      <w:r>
        <w:rPr>
          <w:bCs/>
          <w:b/>
        </w:rPr>
        <w:t xml:space="preserve"> </w:t>
      </w:r>
      <w:r>
        <w:rPr>
          <w:bCs/>
          <w:b/>
        </w:rPr>
        <w:t xml:space="preserve">1</w:t>
      </w:r>
      <w:r>
        <w:rPr>
          <w:bCs/>
          <w:b/>
        </w:rPr>
        <w:t xml:space="preserve">I-J, S1-S3</w:t>
      </w:r>
      <w:r>
        <w:t xml:space="preserve">). Flux calculations incorporated changes in cell number, extracellular metabolite concentrations, and medium evaporation over time</w:t>
      </w:r>
      <w:r>
        <w:t xml:space="preserve"> </w:t>
      </w:r>
      <w:r>
        <w:t xml:space="preserve">(</w:t>
      </w:r>
      <w:hyperlink w:anchor="ref-RN1523">
        <w:r>
          <w:rPr>
            <w:rStyle w:val="Hyperlink"/>
          </w:rPr>
          <w:t xml:space="preserve">Murphy and Young, 2013</w:t>
        </w:r>
      </w:hyperlink>
      <w:r>
        <w:t xml:space="preserve">)</w:t>
      </w:r>
      <w:r>
        <w:t xml:space="preserve"> </w:t>
      </w:r>
      <w:r>
        <w:t xml:space="preserve">(</w:t>
      </w:r>
      <w:r>
        <w:rPr>
          <w:bCs/>
          <w:b/>
        </w:rPr>
        <w:t xml:space="preserve">Figure S1</w:t>
      </w:r>
      <w:r>
        <w:t xml:space="preserve">). Surprisingly, while glucose uptake was modestly increased in hypoxia, lactate efflux was decreased (</w:t>
      </w:r>
      <w:r>
        <w:rPr>
          <w:bCs/>
          <w:b/>
        </w:rPr>
        <w:t xml:space="preserve">Figure</w:t>
      </w:r>
      <w:r>
        <w:rPr>
          <w:bCs/>
          <w:b/>
        </w:rPr>
        <w:t xml:space="preserve"> </w:t>
      </w:r>
      <w:r>
        <w:rPr>
          <w:bCs/>
          <w:b/>
        </w:rPr>
        <w:t xml:space="preserve">1</w:t>
      </w:r>
      <w:r>
        <w:rPr>
          <w:bCs/>
          <w:b/>
        </w:rPr>
        <w:t xml:space="preserve">I</w:t>
      </w:r>
      <w:r>
        <w:t xml:space="preserve">) despite activation of the HIF-1 transcriptional program. Similar findings were observed when the ambient oxygen level was decreased further to 0.2% (</w:t>
      </w:r>
      <w:r>
        <w:rPr>
          <w:bCs/>
          <w:b/>
        </w:rPr>
        <w:t xml:space="preserve">Figure S2</w:t>
      </w:r>
      <w:r>
        <w:t xml:space="preserve">) and in PASMCs (</w:t>
      </w:r>
      <w:r>
        <w:rPr>
          <w:bCs/>
          <w:b/>
        </w:rPr>
        <w:t xml:space="preserve">Figure S3</w:t>
      </w:r>
      <w:r>
        <w:t xml:space="preserve">). In addition to lactate, the absolute fluxes of pyruvate and amino acids were generally decreased in hypoxia, including a marked decrease in glutamine uptake in LFs. Notably, hypoxia was previously shown to increase glutamine uptake in studies of cancer cell metabolism</w:t>
      </w:r>
      <w:r>
        <w:t xml:space="preserve"> </w:t>
      </w:r>
      <w:r>
        <w:t xml:space="preserve">(</w:t>
      </w:r>
      <w:hyperlink w:anchor="ref-RN628">
        <w:r>
          <w:rPr>
            <w:rStyle w:val="Hyperlink"/>
          </w:rPr>
          <w:t xml:space="preserve">Gameiro et al., 2013</w:t>
        </w:r>
      </w:hyperlink>
      <w:r>
        <w:t xml:space="preserve">;</w:t>
      </w:r>
      <w:r>
        <w:t xml:space="preserve"> </w:t>
      </w:r>
      <w:hyperlink w:anchor="ref-RN1447">
        <w:r>
          <w:rPr>
            <w:rStyle w:val="Hyperlink"/>
          </w:rPr>
          <w:t xml:space="preserve">Metallo et al., 2011</w:t>
        </w:r>
      </w:hyperlink>
      <w:r>
        <w:t xml:space="preserve">;</w:t>
      </w:r>
      <w:r>
        <w:t xml:space="preserve"> </w:t>
      </w:r>
      <w:hyperlink w:anchor="ref-RN2395">
        <w:r>
          <w:rPr>
            <w:rStyle w:val="Hyperlink"/>
          </w:rPr>
          <w:t xml:space="preserve">Wise et al., 2011</w:t>
        </w:r>
      </w:hyperlink>
      <w:r>
        <w:t xml:space="preserve">)</w:t>
      </w:r>
      <w:r>
        <w:t xml:space="preserve">. Glutamine uptake did increase in PASMCs, as did the uptake of branch chain amino acids and arginine (</w:t>
      </w:r>
      <w:r>
        <w:rPr>
          <w:bCs/>
          <w:b/>
        </w:rPr>
        <w:t xml:space="preserve">Figure S3</w:t>
      </w:r>
      <w:r>
        <w:t xml:space="preserve">), suggesting differential responses of these mesenchymal cells to hypoxia.</w:t>
      </w:r>
    </w:p>
    <w:p>
      <w:pPr>
        <w:pStyle w:val="BodyText"/>
      </w:pPr>
      <w:r>
        <w:t xml:space="preserve">Given that hypoxia did not increase glucose and lactate fluxes as expected from the associated increases in glycolytic gene expression, we next assessed the capacity of HIF-1α to augment glycolysis in LFs. Cells were treated with BAY to stabilize HIF-1α under 21% oxygen conditions (</w:t>
      </w:r>
      <w:r>
        <w:rPr>
          <w:bCs/>
          <w:b/>
        </w:rPr>
        <w:t xml:space="preserve">Figure</w:t>
      </w:r>
      <w:r>
        <w:rPr>
          <w:bCs/>
          <w:b/>
        </w:rPr>
        <w:t xml:space="preserve"> </w:t>
      </w:r>
      <w:r>
        <w:rPr>
          <w:bCs/>
          <w:b/>
        </w:rPr>
        <w:t xml:space="preserve">2</w:t>
      </w:r>
      <w:r>
        <w:t xml:space="preserve">). Similar to hypoxia, BAY decreased cell growth rate (</w:t>
      </w:r>
      <w:r>
        <w:rPr>
          <w:bCs/>
          <w:b/>
        </w:rPr>
        <w:t xml:space="preserve">Figures</w:t>
      </w:r>
      <w:r>
        <w:rPr>
          <w:bCs/>
          <w:b/>
        </w:rPr>
        <w:t xml:space="preserve"> </w:t>
      </w:r>
      <w:r>
        <w:rPr>
          <w:bCs/>
          <w:b/>
        </w:rPr>
        <w:t xml:space="preserve">2</w:t>
      </w:r>
      <w:r>
        <w:rPr>
          <w:bCs/>
          <w:b/>
        </w:rPr>
        <w:t xml:space="preserve">A-B</w:t>
      </w:r>
      <w:r>
        <w:t xml:space="preserve">) and activated the HIF-1 transcriptional program (</w:t>
      </w:r>
      <w:r>
        <w:rPr>
          <w:bCs/>
          <w:b/>
        </w:rPr>
        <w:t xml:space="preserve">Figures</w:t>
      </w:r>
      <w:r>
        <w:rPr>
          <w:bCs/>
          <w:b/>
        </w:rPr>
        <w:t xml:space="preserve"> </w:t>
      </w:r>
      <w:r>
        <w:rPr>
          <w:bCs/>
          <w:b/>
        </w:rPr>
        <w:t xml:space="preserve">2</w:t>
      </w:r>
      <w:r>
        <w:rPr>
          <w:bCs/>
          <w:b/>
        </w:rPr>
        <w:t xml:space="preserve">C-G</w:t>
      </w:r>
      <w:r>
        <w:t xml:space="preserve">). Compared to hypoxia, BAY treatment resulted in a similar activation of HIF-1 target gene transcription and protein expression. In normoxia, this transcriptional program was associated with substantially increased glucose uptake and lactate efflux (</w:t>
      </w:r>
      <w:r>
        <w:rPr>
          <w:bCs/>
          <w:b/>
        </w:rPr>
        <w:t xml:space="preserve">Figure</w:t>
      </w:r>
      <w:r>
        <w:rPr>
          <w:bCs/>
          <w:b/>
        </w:rPr>
        <w:t xml:space="preserve"> </w:t>
      </w:r>
      <w:r>
        <w:rPr>
          <w:bCs/>
          <w:b/>
        </w:rPr>
        <w:t xml:space="preserve">2</w:t>
      </w:r>
      <w:r>
        <w:rPr>
          <w:bCs/>
          <w:b/>
        </w:rPr>
        <w:t xml:space="preserve">H</w:t>
      </w:r>
      <w:r>
        <w:t xml:space="preserve">). Comparatively modest effects of BAY on amino acid fluxes were observed as compared to 0.5% oxygen culture conditions (</w:t>
      </w:r>
      <w:r>
        <w:rPr>
          <w:bCs/>
          <w:b/>
        </w:rPr>
        <w:t xml:space="preserve">Figure</w:t>
      </w:r>
      <w:r>
        <w:rPr>
          <w:bCs/>
          <w:b/>
        </w:rPr>
        <w:t xml:space="preserve"> </w:t>
      </w:r>
      <w:r>
        <w:rPr>
          <w:bCs/>
          <w:b/>
        </w:rPr>
        <w:t xml:space="preserve">2</w:t>
      </w:r>
      <w:r>
        <w:rPr>
          <w:bCs/>
          <w:b/>
        </w:rPr>
        <w:t xml:space="preserve">J</w:t>
      </w:r>
      <w:r>
        <w:t xml:space="preserve">).</w:t>
      </w:r>
    </w:p>
    <w:bookmarkEnd w:id="24"/>
    <w:bookmarkStart w:id="25" w:name="Xf2e0308830ffb96b01e5d1e7fea78cd8b684c4a"/>
    <w:p>
      <w:pPr>
        <w:pStyle w:val="Heading2"/>
      </w:pPr>
      <w:r>
        <w:t xml:space="preserve">Stable isotope labeling suggests preservation of the intracellular metabolic architecture in hypoxia</w:t>
      </w:r>
    </w:p>
    <w:p>
      <w:pPr>
        <w:pStyle w:val="FirstParagraph"/>
      </w:pPr>
      <w:r>
        <w:t xml:space="preserve">To validate our findings from extracellular flux measurements, we next treated LFs with stable carbon isotopes of glucose and glutamine to measure the rate of label incorporation and trace its incorporation into key carbon utilization pathways (</w:t>
      </w:r>
      <w:r>
        <w:rPr>
          <w:bCs/>
          <w:b/>
        </w:rPr>
        <w:t xml:space="preserve">Figures</w:t>
      </w:r>
      <w:r>
        <w:rPr>
          <w:bCs/>
          <w:b/>
        </w:rPr>
        <w:t xml:space="preserve"> </w:t>
      </w:r>
      <w:r>
        <w:rPr>
          <w:bCs/>
          <w:b/>
        </w:rPr>
        <w:t xml:space="preserve">3</w:t>
      </w:r>
      <w:r>
        <w:rPr>
          <w:bCs/>
          <w:b/>
        </w:rPr>
        <w:t xml:space="preserve">, S4-S5</w:t>
      </w:r>
      <w:r>
        <w:t xml:space="preserve">). Consistent with our extracellular flux measurements, we found that the rate of label incorporation from [U-</w:t>
      </w:r>
      <w:r>
        <w:rPr>
          <w:vertAlign w:val="superscript"/>
        </w:rPr>
        <w:t xml:space="preserve">13</w:t>
      </w:r>
      <w:r>
        <w:t xml:space="preserve">C</w:t>
      </w:r>
      <w:r>
        <w:rPr>
          <w:vertAlign w:val="subscript"/>
        </w:rPr>
        <w:t xml:space="preserve">6</w:t>
      </w:r>
      <w:r>
        <w:t xml:space="preserve">] glucose into pyruvate was similar across 21%, 0.5%, and DMSO-treated conditions, but markedly increased with BAY treatment (</w:t>
      </w:r>
      <w:r>
        <w:rPr>
          <w:bCs/>
          <w:b/>
        </w:rPr>
        <w:t xml:space="preserve">Figures</w:t>
      </w:r>
      <w:r>
        <w:rPr>
          <w:bCs/>
          <w:b/>
        </w:rPr>
        <w:t xml:space="preserve"> </w:t>
      </w:r>
      <w:r>
        <w:rPr>
          <w:bCs/>
          <w:b/>
        </w:rPr>
        <w:t xml:space="preserve">3</w:t>
      </w:r>
      <w:r>
        <w:rPr>
          <w:bCs/>
          <w:b/>
        </w:rPr>
        <w:t xml:space="preserve">A-B</w:t>
      </w:r>
      <w:r>
        <w:t xml:space="preserve">).</w:t>
      </w:r>
    </w:p>
    <w:p>
      <w:pPr>
        <w:pStyle w:val="BodyText"/>
      </w:pPr>
      <w:r>
        <w:t xml:space="preserve">Overall, hypoxia-treated cells generally had decreased label incorporation into downstream metabolites (</w:t>
      </w:r>
      <w:r>
        <w:rPr>
          <w:iCs/>
          <w:i/>
        </w:rPr>
        <w:t xml:space="preserve">i.e.</w:t>
      </w:r>
      <w:r>
        <w:t xml:space="preserve">, the unlabeled, or M0, fraction was greater). This finding is consistent with the extracellular flux measurements suggesting slower substrate utilization by hypoxic cells. BAY treatment recapitulated the labeling patterns observed with hypoxia, suggesting similar effects on intracellular metabolite distribution between these two conditions. Beyond this observation, the labeling patterns in hypoxia- and BAY-treated cells were similar to their respective controls, arguing against marked metabolic reprogramming in response to prolyl hydroxylase inhibition by either hypoxia or BAY. These findings were similar in PASMCs (</w:t>
      </w:r>
      <w:r>
        <w:rPr>
          <w:bCs/>
          <w:b/>
        </w:rPr>
        <w:t xml:space="preserve">Figure S5</w:t>
      </w:r>
      <w:r>
        <w:t xml:space="preserve">) where stable isotope incorporation was attenuated in hypoxia and the overall labeling pattern was quite similar in both conditions. Compared to previous studies of metabolic flux in cancer cells</w:t>
      </w:r>
      <w:r>
        <w:t xml:space="preserve"> </w:t>
      </w:r>
      <w:r>
        <w:t xml:space="preserve">(</w:t>
      </w:r>
      <w:hyperlink w:anchor="ref-RN1447">
        <w:r>
          <w:rPr>
            <w:rStyle w:val="Hyperlink"/>
          </w:rPr>
          <w:t xml:space="preserve">Metallo et al., 2011</w:t>
        </w:r>
      </w:hyperlink>
      <w:r>
        <w:t xml:space="preserve">;</w:t>
      </w:r>
      <w:r>
        <w:t xml:space="preserve"> </w:t>
      </w:r>
      <w:hyperlink w:anchor="ref-RN2395">
        <w:r>
          <w:rPr>
            <w:rStyle w:val="Hyperlink"/>
          </w:rPr>
          <w:t xml:space="preserve">Wise et al., 2011</w:t>
        </w:r>
      </w:hyperlink>
      <w:r>
        <w:t xml:space="preserve">)</w:t>
      </w:r>
      <w:r>
        <w:t xml:space="preserve">, no marked increase in M5-labeled citrate from [U-</w:t>
      </w:r>
      <w:r>
        <w:rPr>
          <w:vertAlign w:val="superscript"/>
        </w:rPr>
        <w:t xml:space="preserve">13</w:t>
      </w:r>
      <w:r>
        <w:t xml:space="preserve">C</w:t>
      </w:r>
      <w:r>
        <w:rPr>
          <w:vertAlign w:val="subscript"/>
        </w:rPr>
        <w:t xml:space="preserve">5</w:t>
      </w:r>
      <w:r>
        <w:t xml:space="preserve">] glutamine was observed with hypoxia treatment, indicating no increase in reductive carboxylation for lipid synthesis. The overall fraction of M5-citrate in these cells was low (&lt; 6%).</w:t>
      </w:r>
    </w:p>
    <w:bookmarkEnd w:id="25"/>
    <w:bookmarkStart w:id="26" w:name="X47b0b5fbd53c8a92df3b388f7ab53ac46ea9246"/>
    <w:p>
      <w:pPr>
        <w:pStyle w:val="Heading2"/>
      </w:pPr>
      <w:r>
        <w:t xml:space="preserve">Metabolic flux in hypoxia is closely coupled to cell growth rate</w:t>
      </w:r>
    </w:p>
    <w:p>
      <w:pPr>
        <w:pStyle w:val="FirstParagraph"/>
      </w:pPr>
      <w:r>
        <w:t xml:space="preserve">To clarify changes in intracellular metabolite fluxes, we next generated metabolic flux models incorporating the extracellular flux measurements and stable isotope tracing data described above. Preliminary labeling time courses indicated that, even after 72 h of labeling, intracellular metabolites did not reach isotopic steady state (</w:t>
      </w:r>
      <w:r>
        <w:rPr>
          <w:bCs/>
          <w:b/>
        </w:rPr>
        <w:t xml:space="preserve">Figures</w:t>
      </w:r>
      <w:r>
        <w:rPr>
          <w:bCs/>
          <w:b/>
        </w:rPr>
        <w:t xml:space="preserve"> </w:t>
      </w:r>
      <w:r>
        <w:rPr>
          <w:bCs/>
          <w:b/>
        </w:rPr>
        <w:t xml:space="preserve">3</w:t>
      </w:r>
      <w:r>
        <w:rPr>
          <w:bCs/>
          <w:b/>
        </w:rPr>
        <w:t xml:space="preserve">A, S6</w:t>
      </w:r>
      <w:r>
        <w:t xml:space="preserve">). Thus, we performed isotopically non-stationary metabolic flux analysis as implemented by INCA</w:t>
      </w:r>
      <w:r>
        <w:t xml:space="preserve"> </w:t>
      </w:r>
      <w:r>
        <w:t xml:space="preserve">(</w:t>
      </w:r>
      <w:hyperlink w:anchor="ref-RN964">
        <w:r>
          <w:rPr>
            <w:rStyle w:val="Hyperlink"/>
          </w:rPr>
          <w:t xml:space="preserve">Jazmin and Young, 2013</w:t>
        </w:r>
      </w:hyperlink>
      <w:r>
        <w:t xml:space="preserve">;</w:t>
      </w:r>
      <w:r>
        <w:t xml:space="preserve"> </w:t>
      </w:r>
      <w:hyperlink w:anchor="ref-RN1522">
        <w:r>
          <w:rPr>
            <w:rStyle w:val="Hyperlink"/>
          </w:rPr>
          <w:t xml:space="preserve">Murphy et al., 2013</w:t>
        </w:r>
      </w:hyperlink>
      <w:r>
        <w:t xml:space="preserve">;</w:t>
      </w:r>
      <w:r>
        <w:t xml:space="preserve"> </w:t>
      </w:r>
      <w:hyperlink w:anchor="ref-RN2501">
        <w:r>
          <w:rPr>
            <w:rStyle w:val="Hyperlink"/>
          </w:rPr>
          <w:t xml:space="preserve">Young, 2014</w:t>
        </w:r>
      </w:hyperlink>
      <w:r>
        <w:t xml:space="preserve">)</w:t>
      </w:r>
      <w:r>
        <w:t xml:space="preserve"> </w:t>
      </w:r>
      <w:r>
        <w:t xml:space="preserve">(</w:t>
      </w:r>
      <w:r>
        <w:rPr>
          <w:bCs/>
          <w:b/>
        </w:rPr>
        <w:t xml:space="preserve">Figures</w:t>
      </w:r>
      <w:r>
        <w:rPr>
          <w:bCs/>
          <w:b/>
        </w:rPr>
        <w:t xml:space="preserve"> </w:t>
      </w:r>
      <w:r>
        <w:rPr>
          <w:bCs/>
          <w:b/>
        </w:rPr>
        <w:t xml:space="preserve">4</w:t>
      </w:r>
      <w:r>
        <w:rPr>
          <w:bCs/>
          <w:b/>
        </w:rPr>
        <w:t xml:space="preserve">, S6, Tables S1-S3</w:t>
      </w:r>
      <w:r>
        <w:t xml:space="preserve">). Overall, proliferating LFs demonstrated high rates of glucose uptake and glycolysis. Approximately 10% of cytoplasmic pyruvate enters the TCA cycle with the balance converted to lactate (</w:t>
      </w:r>
      <w:r>
        <w:rPr>
          <w:bCs/>
          <w:b/>
        </w:rPr>
        <w:t xml:space="preserve">Figure S6C</w:t>
      </w:r>
      <w:r>
        <w:t xml:space="preserve">). In hypoxia, significant reductions in glycolysis, the TCA cycle, and amino acid metabolism were observed (</w:t>
      </w:r>
      <w:r>
        <w:rPr>
          <w:bCs/>
          <w:b/>
        </w:rPr>
        <w:t xml:space="preserve">Figure</w:t>
      </w:r>
      <w:r>
        <w:rPr>
          <w:bCs/>
          <w:b/>
        </w:rPr>
        <w:t xml:space="preserve"> </w:t>
      </w:r>
      <w:r>
        <w:rPr>
          <w:bCs/>
          <w:b/>
        </w:rPr>
        <w:t xml:space="preserve">4</w:t>
      </w:r>
      <w:r>
        <w:rPr>
          <w:bCs/>
          <w:b/>
        </w:rPr>
        <w:t xml:space="preserve">A</w:t>
      </w:r>
      <w:r>
        <w:t xml:space="preserve">) with a significant increase in pentose phosphate pathway flux. Similar findings were observed in PASMC flux models (</w:t>
      </w:r>
      <w:r>
        <w:rPr>
          <w:bCs/>
          <w:b/>
        </w:rPr>
        <w:t xml:space="preserve">Figure S6, Table S3</w:t>
      </w:r>
      <w:r>
        <w:t xml:space="preserve">).</w:t>
      </w:r>
    </w:p>
    <w:p>
      <w:pPr>
        <w:pStyle w:val="BodyText"/>
      </w:pPr>
      <w:r>
        <w:t xml:space="preserve">Given the global decrease in bioenergetic metabolic flux in hypoxia, we hypothesized that these differences may be a consequence of decreased growth rate. After normalizing metabolite fluxes in normoxia and hypoxia to the growth rate, modest increases (~10%) in glycolytic flux were observed (</w:t>
      </w:r>
      <w:r>
        <w:rPr>
          <w:bCs/>
          <w:b/>
        </w:rPr>
        <w:t xml:space="preserve">Figure S4D</w:t>
      </w:r>
      <w:r>
        <w:t xml:space="preserve">). This finding suggests that, while glycolysis increases relative to growth rate in hypoxic cells, the regulators of cell proliferation rate dominate over the consequences of the HIF-1 transcriptional program. Indeed, even after adjusting for cell growth rate, the relative increase in glycolytic flux is modest compared to the marked up-regulation of glycolytic genes.</w:t>
      </w:r>
    </w:p>
    <w:p>
      <w:pPr>
        <w:pStyle w:val="BodyText"/>
      </w:pPr>
      <w:r>
        <w:t xml:space="preserve">By comparison, HIF-1 activation by BAY in 21% oxygen increased glycolysis and lactate fermentation by ~50% (</w:t>
      </w:r>
      <w:r>
        <w:rPr>
          <w:bCs/>
          <w:b/>
        </w:rPr>
        <w:t xml:space="preserve">Figure</w:t>
      </w:r>
      <w:r>
        <w:rPr>
          <w:bCs/>
          <w:b/>
        </w:rPr>
        <w:t xml:space="preserve"> </w:t>
      </w:r>
      <w:r>
        <w:rPr>
          <w:bCs/>
          <w:b/>
        </w:rPr>
        <w:t xml:space="preserve">4</w:t>
      </w:r>
      <w:r>
        <w:rPr>
          <w:bCs/>
          <w:b/>
        </w:rPr>
        <w:t xml:space="preserve">B</w:t>
      </w:r>
      <w:r>
        <w:t xml:space="preserve">). BAY treatment decreased cell proliferation rate (</w:t>
      </w:r>
      <w:r>
        <w:rPr>
          <w:bCs/>
          <w:b/>
        </w:rPr>
        <w:t xml:space="preserve">Figure</w:t>
      </w:r>
      <w:r>
        <w:rPr>
          <w:bCs/>
          <w:b/>
        </w:rPr>
        <w:t xml:space="preserve"> </w:t>
      </w:r>
      <w:r>
        <w:rPr>
          <w:bCs/>
          <w:b/>
        </w:rPr>
        <w:t xml:space="preserve">2</w:t>
      </w:r>
      <w:r>
        <w:rPr>
          <w:bCs/>
          <w:b/>
        </w:rPr>
        <w:t xml:space="preserve">B</w:t>
      </w:r>
      <w:r>
        <w:t xml:space="preserve">), indicating that, unlike hypoxia, BAY treatment uncouples cell proliferation and metabolic flux. Similar to hypoxia, decreases in serine and glutamine incorporation were observed. Metabolite fluxes in DMSO-treated cells were similar to 21% oxygen controls.</w:t>
      </w:r>
    </w:p>
    <w:bookmarkEnd w:id="26"/>
    <w:bookmarkStart w:id="27" w:name="X391340d0fe177f5cb76fdd8c0bface828a19361"/>
    <w:p>
      <w:pPr>
        <w:pStyle w:val="Heading2"/>
      </w:pPr>
      <w:r>
        <w:t xml:space="preserve">Hypoxia and BAY treatment increase lactate oxidation</w:t>
      </w:r>
    </w:p>
    <w:p>
      <w:pPr>
        <w:pStyle w:val="FirstParagraph"/>
      </w:pPr>
      <w:r>
        <w:t xml:space="preserve">Although the metabolite exchange fluxes for bidirectional reactions tend to be poorly resolved, two observations are worth highlighting (</w:t>
      </w:r>
      <w:r>
        <w:rPr>
          <w:bCs/>
          <w:b/>
        </w:rPr>
        <w:t xml:space="preserve">Tables S1-S3</w:t>
      </w:r>
      <w:r>
        <w:t xml:space="preserve">). First, consistent with the stable isotope tracing results, the rate of reductive carboxylation through reversible flux by isocitrate dehydrogenase is low (~4 fmol/cell/h), is unchanged by hypoxia in LFs, is modestly increased by BAY treatment, and is increased by hypoxia in PASMCs.</w:t>
      </w:r>
    </w:p>
    <w:p>
      <w:pPr>
        <w:pStyle w:val="BodyText"/>
      </w:pPr>
      <w:r>
        <w:t xml:space="preserve">Second, hypoxia and BAY treatment are associated with a marked increase in the lactate transport exchange flux in LFs from ~ 0 to 1,520 and 711 fmol/cell/h in 0.5% oxygen and BAY treatment conditions, respectively, with similar results in PASMCs exposed to hypoxia. Since the net lactate transport flux is secretion, this observation suggests increased lactate uptake with hypoxia or BAY treatment. This may be consistent with the HIF-driven increased expression of the reversible lactate transporter MCT4</w:t>
      </w:r>
      <w:r>
        <w:t xml:space="preserve"> </w:t>
      </w:r>
      <w:r>
        <w:t xml:space="preserve">(</w:t>
      </w:r>
      <w:hyperlink w:anchor="ref-RN366">
        <w:r>
          <w:rPr>
            <w:rStyle w:val="Hyperlink"/>
          </w:rPr>
          <w:t xml:space="preserve">Contreras-Baeza et al., 2019</w:t>
        </w:r>
      </w:hyperlink>
      <w:r>
        <w:t xml:space="preserve">)</w:t>
      </w:r>
      <w:r>
        <w:t xml:space="preserve">. To investigate this hypothesis, LFs and PASMCs were treated with [U-</w:t>
      </w:r>
      <w:r>
        <w:rPr>
          <w:vertAlign w:val="superscript"/>
        </w:rPr>
        <w:t xml:space="preserve">13</w:t>
      </w:r>
      <w:r>
        <w:t xml:space="preserve">C</w:t>
      </w:r>
      <w:r>
        <w:rPr>
          <w:vertAlign w:val="subscript"/>
        </w:rPr>
        <w:t xml:space="preserve">3</w:t>
      </w:r>
      <w:r>
        <w:t xml:space="preserve">] lactate (2 mM) and</w:t>
      </w:r>
      <w:r>
        <w:t xml:space="preserve"> </w:t>
      </w:r>
      <w:r>
        <w:rPr>
          <w:vertAlign w:val="superscript"/>
        </w:rPr>
        <w:t xml:space="preserve">13</w:t>
      </w:r>
      <w:r>
        <w:t xml:space="preserve">C incorporation into intracellular metabolites was analyzed by LC-MS (</w:t>
      </w:r>
      <w:r>
        <w:rPr>
          <w:bCs/>
          <w:b/>
        </w:rPr>
        <w:t xml:space="preserve">Figures</w:t>
      </w:r>
      <w:r>
        <w:rPr>
          <w:bCs/>
          <w:b/>
        </w:rPr>
        <w:t xml:space="preserve"> </w:t>
      </w:r>
      <w:r>
        <w:rPr>
          <w:bCs/>
          <w:b/>
        </w:rPr>
        <w:t xml:space="preserve">5</w:t>
      </w:r>
      <w:r>
        <w:rPr>
          <w:bCs/>
          <w:b/>
        </w:rPr>
        <w:t xml:space="preserve">, S5</w:t>
      </w:r>
      <w:r>
        <w:t xml:space="preserve">). Here, we observed increased labeling of TCA metabolites citrate (CIT), 2-oxoglutrate (2OG), malate (MAL), and aspartate (ASP) following hypoxia or BAY treatment (</w:t>
      </w:r>
      <w:r>
        <w:rPr>
          <w:bCs/>
          <w:b/>
        </w:rPr>
        <w:t xml:space="preserve">Figures</w:t>
      </w:r>
      <w:r>
        <w:rPr>
          <w:bCs/>
          <w:b/>
        </w:rPr>
        <w:t xml:space="preserve"> </w:t>
      </w:r>
      <w:r>
        <w:rPr>
          <w:bCs/>
          <w:b/>
        </w:rPr>
        <w:t xml:space="preserve">5</w:t>
      </w:r>
      <w:r>
        <w:rPr>
          <w:bCs/>
          <w:b/>
        </w:rPr>
        <w:t xml:space="preserve">, S4</w:t>
      </w:r>
      <w:r>
        <w:t xml:space="preserve">). Interestingly, although increased labeling of pyruvate and lactate were observed in hypoxic PASMCs, these labels were not incorporated into the TCA cycle as observed in LFs (</w:t>
      </w:r>
      <w:r>
        <w:rPr>
          <w:bCs/>
          <w:b/>
        </w:rPr>
        <w:t xml:space="preserve">Figure S5</w:t>
      </w:r>
      <w:r>
        <w:t xml:space="preserve">).</w:t>
      </w:r>
    </w:p>
    <w:p>
      <w:pPr>
        <w:pStyle w:val="BodyText"/>
      </w:pPr>
      <w:r>
        <w:t xml:space="preserve">Notably, lactate labeled ~50% of citrate and ~20% of downstream TCA cycle metabolites in both LFs and PASMCs, indicating that lactate may be an important respiratory fuel source in these cells even though lactate efflux is high. Although lactate has been used less commonly than glucose and glutamine in stable isotope tracing studies, Faubert and colleagues</w:t>
      </w:r>
      <w:r>
        <w:t xml:space="preserve"> </w:t>
      </w:r>
      <w:r>
        <w:t xml:space="preserve">(</w:t>
      </w:r>
      <w:hyperlink w:anchor="ref-RN2600">
        <w:r>
          <w:rPr>
            <w:rStyle w:val="Hyperlink"/>
          </w:rPr>
          <w:t xml:space="preserve">2013</w:t>
        </w:r>
      </w:hyperlink>
      <w:r>
        <w:t xml:space="preserve">)</w:t>
      </w:r>
      <w:r>
        <w:t xml:space="preserve"> </w:t>
      </w:r>
      <w:r>
        <w:t xml:space="preserve">demonstrated lactate incorporation in human lung adenocarcinoma</w:t>
      </w:r>
      <w:r>
        <w:t xml:space="preserve"> </w:t>
      </w:r>
      <w:r>
        <w:rPr>
          <w:iCs/>
          <w:i/>
        </w:rPr>
        <w:t xml:space="preserve">in vivo</w:t>
      </w:r>
      <w:r>
        <w:t xml:space="preserve">. In this study, lactate incorporation corresponded to regions of high glucose uptake as determined by [</w:t>
      </w:r>
      <w:r>
        <w:t xml:space="preserve"> </w:t>
      </w:r>
      <w:r>
        <w:rPr>
          <w:vertAlign w:val="superscript"/>
        </w:rPr>
        <w:t xml:space="preserve">18</w:t>
      </w:r>
      <w:r>
        <w:t xml:space="preserve">F]-fluorodeoxyglucose positron emission tomography, suggesting that lactate consumption can occur in areas of high glucose utilization. Subsequently, several investigators have demonstrated the importance of lactate as a metabolic fuel</w:t>
      </w:r>
      <w:r>
        <w:t xml:space="preserve"> </w:t>
      </w:r>
      <w:r>
        <w:rPr>
          <w:iCs/>
          <w:i/>
        </w:rPr>
        <w:t xml:space="preserve">in vivo</w:t>
      </w:r>
      <w:r>
        <w:t xml:space="preserve"> </w:t>
      </w:r>
      <w:r>
        <w:t xml:space="preserve">(</w:t>
      </w:r>
      <w:hyperlink w:anchor="ref-RN2756">
        <w:r>
          <w:rPr>
            <w:rStyle w:val="Hyperlink"/>
          </w:rPr>
          <w:t xml:space="preserve">Hui et al., 2017</w:t>
        </w:r>
      </w:hyperlink>
      <w:r>
        <w:t xml:space="preserve">,</w:t>
      </w:r>
      <w:r>
        <w:t xml:space="preserve"> </w:t>
      </w:r>
      <w:hyperlink w:anchor="ref-RN2718">
        <w:r>
          <w:rPr>
            <w:rStyle w:val="Hyperlink"/>
          </w:rPr>
          <w:t xml:space="preserve">2020</w:t>
        </w:r>
      </w:hyperlink>
      <w:r>
        <w:t xml:space="preserve">)</w:t>
      </w:r>
      <w:r>
        <w:t xml:space="preserve">. In addition to downstream metabolites, we also observed hypoxia- and BAY-dependent increases in lactate incorporation in fructose bisphosphate (FBP) and 3-phosphoglycerate (3PG). This is consistent with prior reports describing hypoxia-mediated increases in glycogen synthesis</w:t>
      </w:r>
      <w:r>
        <w:t xml:space="preserve"> </w:t>
      </w:r>
      <w:r>
        <w:t xml:space="preserve">(</w:t>
      </w:r>
      <w:hyperlink w:anchor="ref-RN545">
        <w:r>
          <w:rPr>
            <w:rStyle w:val="Hyperlink"/>
          </w:rPr>
          <w:t xml:space="preserve">Favaro et al., 2012</w:t>
        </w:r>
      </w:hyperlink>
      <w:r>
        <w:t xml:space="preserve">;</w:t>
      </w:r>
      <w:r>
        <w:t xml:space="preserve"> </w:t>
      </w:r>
      <w:hyperlink w:anchor="ref-RN1668">
        <w:r>
          <w:rPr>
            <w:rStyle w:val="Hyperlink"/>
          </w:rPr>
          <w:t xml:space="preserve">Pelletier et al., 2012</w:t>
        </w:r>
      </w:hyperlink>
      <w:r>
        <w:t xml:space="preserve">;</w:t>
      </w:r>
      <w:r>
        <w:t xml:space="preserve"> </w:t>
      </w:r>
      <w:hyperlink w:anchor="ref-RN1678">
        <w:r>
          <w:rPr>
            <w:rStyle w:val="Hyperlink"/>
          </w:rPr>
          <w:t xml:space="preserve">Pescador et al., 2010</w:t>
        </w:r>
      </w:hyperlink>
      <w:r>
        <w:t xml:space="preserve">)</w:t>
      </w:r>
      <w:r>
        <w:t xml:space="preserve">. Together, these data suggest that lactate makes a modest (~5% carbon) contribution to this process.</w:t>
      </w:r>
    </w:p>
    <w:bookmarkEnd w:id="27"/>
    <w:bookmarkStart w:id="28" w:name="Xc4f750ac5c657d069edf1fb7ccb382c274f3784"/>
    <w:p>
      <w:pPr>
        <w:pStyle w:val="Heading2"/>
      </w:pPr>
      <w:r>
        <w:t xml:space="preserve">Hypoxia abrogates the increase in glycolysis following pharmacologic prolyl hydroxylase inhibition</w:t>
      </w:r>
    </w:p>
    <w:p>
      <w:pPr>
        <w:pStyle w:val="FirstParagraph"/>
      </w:pPr>
      <w:r>
        <w:t xml:space="preserve">To reconcile the differential effects of prolyl hydroxylase inhibition by hypoxia and BAY, we next addressed whether hypoxia could suppress the effects of BAY on glucose and lactate fluxes (</w:t>
      </w:r>
      <w:r>
        <w:rPr>
          <w:bCs/>
          <w:b/>
        </w:rPr>
        <w:t xml:space="preserve">Figures</w:t>
      </w:r>
      <w:r>
        <w:rPr>
          <w:bCs/>
          <w:b/>
        </w:rPr>
        <w:t xml:space="preserve"> </w:t>
      </w:r>
      <w:r>
        <w:rPr>
          <w:bCs/>
          <w:b/>
        </w:rPr>
        <w:t xml:space="preserve">6</w:t>
      </w:r>
      <w:r>
        <w:rPr>
          <w:bCs/>
          <w:b/>
        </w:rPr>
        <w:t xml:space="preserve">A-C</w:t>
      </w:r>
      <w:r>
        <w:t xml:space="preserve">). LFs cultured in standard growth medium were treated with BAY and placed in either 21% or 0.5% oxygen. Similar to previous experiments, BAY treatment decreased cell growth rate, increased glucose uptake, and increased lactate efflux in 21% oxygen. Interestingly, when combined with 0.5% oxygen, BAY treatment was unable to enhance lactate efflux. These data suggest that hypoxia antagonizes the effects of HIF-1 activation on glycolytic flux in these primary cells.</w:t>
      </w:r>
    </w:p>
    <w:p>
      <w:pPr>
        <w:pStyle w:val="BodyText"/>
      </w:pPr>
      <w:r>
        <w:t xml:space="preserve">To investigate these metabolic differences further, we performed metabolomic profiling of LFs treated for 72 h with hypoxia or BAY separately or in combination (</w:t>
      </w:r>
      <w:r>
        <w:rPr>
          <w:bCs/>
          <w:b/>
        </w:rPr>
        <w:t xml:space="preserve">Figures</w:t>
      </w:r>
      <w:r>
        <w:rPr>
          <w:bCs/>
          <w:b/>
        </w:rPr>
        <w:t xml:space="preserve"> </w:t>
      </w:r>
      <w:r>
        <w:rPr>
          <w:bCs/>
          <w:b/>
        </w:rPr>
        <w:t xml:space="preserve">6</w:t>
      </w:r>
      <w:r>
        <w:rPr>
          <w:bCs/>
          <w:b/>
        </w:rPr>
        <w:t xml:space="preserve">D-F</w:t>
      </w:r>
      <w:r>
        <w:t xml:space="preserve">). Principle component analysis revealed greater class similarity among both treatment groups cultured in 0.5% oxygen (</w:t>
      </w:r>
      <w:r>
        <w:rPr>
          <w:bCs/>
          <w:b/>
        </w:rPr>
        <w:t xml:space="preserve">Figure</w:t>
      </w:r>
      <w:r>
        <w:rPr>
          <w:bCs/>
          <w:b/>
        </w:rPr>
        <w:t xml:space="preserve"> </w:t>
      </w:r>
      <w:r>
        <w:rPr>
          <w:bCs/>
          <w:b/>
        </w:rPr>
        <w:t xml:space="preserve">6</w:t>
      </w:r>
      <w:r>
        <w:rPr>
          <w:bCs/>
          <w:b/>
        </w:rPr>
        <w:t xml:space="preserve">D</w:t>
      </w:r>
      <w:r>
        <w:t xml:space="preserve">). These hypoxia-treated cells were well-segregated from BAY-treated cells, again highlighting differential effects of hypoxic and pharmacologic PHD inhibition. Linear modeling identified those metabolites that were differentially affected by hypoxia and BAY treatment (</w:t>
      </w:r>
      <w:r>
        <w:rPr>
          <w:iCs/>
          <w:i/>
        </w:rPr>
        <w:t xml:space="preserve">i.e.</w:t>
      </w:r>
      <w:r>
        <w:t xml:space="preserve">, those metabolites with a significant interaction term in the linear model described by treatment × oxygen) (</w:t>
      </w:r>
      <w:r>
        <w:rPr>
          <w:bCs/>
          <w:b/>
        </w:rPr>
        <w:t xml:space="preserve">Figure</w:t>
      </w:r>
      <w:r>
        <w:rPr>
          <w:bCs/>
          <w:b/>
        </w:rPr>
        <w:t xml:space="preserve"> </w:t>
      </w:r>
      <w:r>
        <w:rPr>
          <w:bCs/>
          <w:b/>
        </w:rPr>
        <w:t xml:space="preserve">6</w:t>
      </w:r>
      <w:r>
        <w:rPr>
          <w:bCs/>
          <w:b/>
        </w:rPr>
        <w:t xml:space="preserve">E</w:t>
      </w:r>
      <w:r>
        <w:t xml:space="preserve">). Several patterns emerged from this analysis (</w:t>
      </w:r>
      <w:r>
        <w:rPr>
          <w:bCs/>
          <w:b/>
        </w:rPr>
        <w:t xml:space="preserve">Figure</w:t>
      </w:r>
      <w:r>
        <w:rPr>
          <w:bCs/>
          <w:b/>
        </w:rPr>
        <w:t xml:space="preserve"> </w:t>
      </w:r>
      <w:r>
        <w:rPr>
          <w:bCs/>
          <w:b/>
        </w:rPr>
        <w:t xml:space="preserve">6</w:t>
      </w:r>
      <w:r>
        <w:rPr>
          <w:bCs/>
          <w:b/>
        </w:rPr>
        <w:t xml:space="preserve">F</w:t>
      </w:r>
      <w:r>
        <w:t xml:space="preserve">). Interestingly, the hypoxia-regulated metabolite, 2-hydroxyglutarate, increased following BAY treatment, but was unaffected by hypoxia treatment in proliferating LFs</w:t>
      </w:r>
      <w:r>
        <w:t xml:space="preserve"> </w:t>
      </w:r>
      <w:r>
        <w:t xml:space="preserve">(</w:t>
      </w:r>
      <w:hyperlink w:anchor="ref-RN1603">
        <w:r>
          <w:rPr>
            <w:rStyle w:val="Hyperlink"/>
          </w:rPr>
          <w:t xml:space="preserve">Oldham et al., 2015</w:t>
        </w:r>
      </w:hyperlink>
      <w:r>
        <w:t xml:space="preserve">)</w:t>
      </w:r>
      <w:r>
        <w:t xml:space="preserve">. The tricarboxylic acid (TCA) cycle metabolite aconitate was decreased in hypoxia, but increased by BAY treatment while the opposite effect was observed for hydroxyproline and taurine. Glycolytic intermediate glyceraldehyde 3-phosophate (GAP) was decreased by both hypoxia and BAY, while hypoxia reversed the BAY-mediated decrease in γ-aminobutyric acid (GABA). A metabolite set enrichment analysis (</w:t>
      </w:r>
      <w:r>
        <w:rPr>
          <w:bCs/>
          <w:b/>
        </w:rPr>
        <w:t xml:space="preserve">Figure</w:t>
      </w:r>
      <w:r>
        <w:rPr>
          <w:bCs/>
          <w:b/>
        </w:rPr>
        <w:t xml:space="preserve"> </w:t>
      </w:r>
      <w:r>
        <w:rPr>
          <w:bCs/>
          <w:b/>
        </w:rPr>
        <w:t xml:space="preserve">6</w:t>
      </w:r>
      <w:r>
        <w:rPr>
          <w:bCs/>
          <w:b/>
        </w:rPr>
        <w:t xml:space="preserve">G-H</w:t>
      </w:r>
      <w:r>
        <w:t xml:space="preserve">) revealed the TCA cycle to be the most enriched KEGG metabolite set. Leading edge analysis demonstrates the negative enrichment scores associated with all of the TCA metabolites detected by our platform. This result suggests a more modest impact of BAY treatment on the TCA cycle than hypoxia, as suggested by our metabolic flux models were hypoxia resulted in a 1.5-2-fold reduction of TCA flux compared to a 1.1-1.5-fold reduction with BAY treatment in normoxia (</w:t>
      </w:r>
      <w:r>
        <w:rPr>
          <w:bCs/>
          <w:b/>
        </w:rPr>
        <w:t xml:space="preserve">Figure</w:t>
      </w:r>
      <w:r>
        <w:rPr>
          <w:bCs/>
          <w:b/>
        </w:rPr>
        <w:t xml:space="preserve"> </w:t>
      </w:r>
      <w:r>
        <w:rPr>
          <w:bCs/>
          <w:b/>
        </w:rPr>
        <w:t xml:space="preserve">4</w:t>
      </w:r>
      <w:r>
        <w:t xml:space="preserve">).</w:t>
      </w:r>
    </w:p>
    <w:p>
      <w:pPr>
        <w:pStyle w:val="BodyText"/>
      </w:pPr>
      <w:r>
        <w:t xml:space="preserve">In addition to these differential effects on polar metabolite levels, perhaps the most significant contrast between hypoxia and BAY treatment is the impact of hypoxia on cellular redox state. As oxygen deprivation causes reductive stress</w:t>
      </w:r>
      <w:r>
        <w:t xml:space="preserve"> </w:t>
      </w:r>
      <w:r>
        <w:t xml:space="preserve">(</w:t>
      </w:r>
      <w:hyperlink w:anchor="ref-RN2409">
        <w:r>
          <w:rPr>
            <w:rStyle w:val="Hyperlink"/>
          </w:rPr>
          <w:t xml:space="preserve">Xiao and Loscalzo, 2020</w:t>
        </w:r>
      </w:hyperlink>
      <w:r>
        <w:t xml:space="preserve">)</w:t>
      </w:r>
      <w:r>
        <w:t xml:space="preserve">, we next measured the impact of these treatments on intracellular NAD(H) as a surrogate for cellular redox state (</w:t>
      </w:r>
      <w:r>
        <w:rPr>
          <w:bCs/>
          <w:b/>
        </w:rPr>
        <w:t xml:space="preserve">Figures</w:t>
      </w:r>
      <w:r>
        <w:rPr>
          <w:bCs/>
          <w:b/>
        </w:rPr>
        <w:t xml:space="preserve"> </w:t>
      </w:r>
      <w:r>
        <w:rPr>
          <w:bCs/>
          <w:b/>
        </w:rPr>
        <w:t xml:space="preserve">6</w:t>
      </w:r>
      <w:r>
        <w:rPr>
          <w:bCs/>
          <w:b/>
        </w:rPr>
        <w:t xml:space="preserve">I-K</w:t>
      </w:r>
      <w:r>
        <w:t xml:space="preserve">). As expected, hypoxia increased the NADH/NAD</w:t>
      </w:r>
      <w:r>
        <w:rPr>
          <w:vertAlign w:val="superscript"/>
        </w:rPr>
        <w:t xml:space="preserve">+</w:t>
      </w:r>
      <w:r>
        <w:t xml:space="preserve"> </w:t>
      </w:r>
      <w:r>
        <w:t xml:space="preserve">ratio, driven primarily by a decrease in intracellular NAD</w:t>
      </w:r>
      <w:r>
        <w:rPr>
          <w:vertAlign w:val="superscript"/>
        </w:rPr>
        <w:t xml:space="preserve">+</w:t>
      </w:r>
      <w:r>
        <w:t xml:space="preserve">. Interestingly, while BAY treatment increased the levels of NADH, a concomitant increase in NAD</w:t>
      </w:r>
      <w:r>
        <w:rPr>
          <w:vertAlign w:val="superscript"/>
        </w:rPr>
        <w:t xml:space="preserve">+</w:t>
      </w:r>
      <w:r>
        <w:t xml:space="preserve"> </w:t>
      </w:r>
      <w:r>
        <w:t xml:space="preserve">resulted in preservation of the NADH/NAD</w:t>
      </w:r>
      <w:r>
        <w:rPr>
          <w:vertAlign w:val="superscript"/>
        </w:rPr>
        <w:t xml:space="preserve">+</w:t>
      </w:r>
      <w:r>
        <w:t xml:space="preserve"> </w:t>
      </w:r>
      <w:r>
        <w:t xml:space="preserve">ratio. As NADH accumulation is a putative inhibitor of glycolytic flux</w:t>
      </w:r>
      <w:r>
        <w:t xml:space="preserve"> </w:t>
      </w:r>
      <w:r>
        <w:t xml:space="preserve">(</w:t>
      </w:r>
      <w:hyperlink w:anchor="ref-RN2210">
        <w:r>
          <w:rPr>
            <w:rStyle w:val="Hyperlink"/>
          </w:rPr>
          <w:t xml:space="preserve">Tilton et al., 1991</w:t>
        </w:r>
      </w:hyperlink>
      <w:r>
        <w:t xml:space="preserve">)</w:t>
      </w:r>
      <w:r>
        <w:t xml:space="preserve">, this may be one mechanism by which glycolytic flux is decreased in hypoxia but not following BAY treatment.</w:t>
      </w:r>
    </w:p>
    <w:bookmarkEnd w:id="28"/>
    <w:bookmarkStart w:id="29" w:name="X3137c0fdc1ede3595477c3c5b4db61845e9a8f2"/>
    <w:p>
      <w:pPr>
        <w:pStyle w:val="Heading2"/>
      </w:pPr>
      <w:r>
        <w:t xml:space="preserve">Transcriptomic analysis identifies putative regulators of cellular metabolism in hypoxia</w:t>
      </w:r>
    </w:p>
    <w:p>
      <w:pPr>
        <w:pStyle w:val="FirstParagraph"/>
      </w:pPr>
      <w:r>
        <w:t xml:space="preserve">To identify the upstream regulators of the observed metabolic changes, we next performed transcriptomic analysis of LFs treated with hypoxia or BAY, separately or together (</w:t>
      </w:r>
      <w:r>
        <w:rPr>
          <w:bCs/>
          <w:b/>
        </w:rPr>
        <w:t xml:space="preserve">Figure</w:t>
      </w:r>
      <w:r>
        <w:rPr>
          <w:bCs/>
          <w:b/>
        </w:rPr>
        <w:t xml:space="preserve"> </w:t>
      </w:r>
      <w:r>
        <w:rPr>
          <w:bCs/>
          <w:b/>
        </w:rPr>
        <w:t xml:space="preserve">7</w:t>
      </w:r>
      <w:r>
        <w:t xml:space="preserve">). Principle component analysis again demonstrates clear separation among the four treatment groups (</w:t>
      </w:r>
      <w:r>
        <w:rPr>
          <w:bCs/>
          <w:b/>
        </w:rPr>
        <w:t xml:space="preserve">Figure</w:t>
      </w:r>
      <w:r>
        <w:rPr>
          <w:bCs/>
          <w:b/>
        </w:rPr>
        <w:t xml:space="preserve"> </w:t>
      </w:r>
      <w:r>
        <w:rPr>
          <w:bCs/>
          <w:b/>
        </w:rPr>
        <w:t xml:space="preserve">7</w:t>
      </w:r>
      <w:r>
        <w:rPr>
          <w:bCs/>
          <w:b/>
        </w:rPr>
        <w:t xml:space="preserve">A</w:t>
      </w:r>
      <w:r>
        <w:t xml:space="preserve">), with a closer relationship between hypoxia-treated cells compared to hypoxia and 21% BAY-treated cells. To identify those transcripts that were differentially affected by hypoxia compared to BAY treatment, we again performed linear modeling to identify transcripts with a significant interaction term in the model described by treatment × oxygen (</w:t>
      </w:r>
      <w:r>
        <w:rPr>
          <w:bCs/>
          <w:b/>
        </w:rPr>
        <w:t xml:space="preserve">Figure</w:t>
      </w:r>
      <w:r>
        <w:rPr>
          <w:bCs/>
          <w:b/>
        </w:rPr>
        <w:t xml:space="preserve"> </w:t>
      </w:r>
      <w:r>
        <w:rPr>
          <w:bCs/>
          <w:b/>
        </w:rPr>
        <w:t xml:space="preserve">7</w:t>
      </w:r>
      <w:r>
        <w:rPr>
          <w:bCs/>
          <w:b/>
        </w:rPr>
        <w:t xml:space="preserve">B</w:t>
      </w:r>
      <w:r>
        <w:t xml:space="preserve">). With this analysis, we again found several patterns of transcriptional changes (</w:t>
      </w:r>
      <w:r>
        <w:rPr>
          <w:bCs/>
          <w:b/>
        </w:rPr>
        <w:t xml:space="preserve">Figure</w:t>
      </w:r>
      <w:r>
        <w:rPr>
          <w:bCs/>
          <w:b/>
        </w:rPr>
        <w:t xml:space="preserve"> </w:t>
      </w:r>
      <w:r>
        <w:rPr>
          <w:bCs/>
          <w:b/>
        </w:rPr>
        <w:t xml:space="preserve">7</w:t>
      </w:r>
      <w:r>
        <w:rPr>
          <w:bCs/>
          <w:b/>
        </w:rPr>
        <w:t xml:space="preserve">C</w:t>
      </w:r>
      <w:r>
        <w:t xml:space="preserve">). For example, EPAS1, the gene encoding the HIF-2α protein, was markedly decreased by hypoxia, compared to a modest reduction following BAY treatment. A similar, but opposite effect on RBM3 (RNA-binding protein 3) expression was observed. RBM3 supports the viability and proliferation of neural stem cells in hypoxia</w:t>
      </w:r>
      <w:r>
        <w:t xml:space="preserve"> </w:t>
      </w:r>
      <w:r>
        <w:t xml:space="preserve">(</w:t>
      </w:r>
      <w:hyperlink w:anchor="ref-RN3111">
        <w:r>
          <w:rPr>
            <w:rStyle w:val="Hyperlink"/>
          </w:rPr>
          <w:t xml:space="preserve">Yan et al., 2019</w:t>
        </w:r>
      </w:hyperlink>
      <w:r>
        <w:t xml:space="preserve">)</w:t>
      </w:r>
      <w:r>
        <w:t xml:space="preserve">. Histone deacetylase 9 (HDAC9) and prolyl 4-hydroxylase subunit α2 (P4HA2) demonstrate opposing effects following hypoxia and BAY treatment. BAY decreased HDAC9 expression and increased P4HA2 expression. Together, this subset of transcriptional changes again illustrates important differences between hypoxia and HIF stabilization in normoxia. Indeed, an enrichment analysis of these transcripts using the Molecular Signatures Database</w:t>
      </w:r>
      <w:r>
        <w:t xml:space="preserve"> </w:t>
      </w:r>
      <w:r>
        <w:t xml:space="preserve">“</w:t>
      </w:r>
      <w:r>
        <w:t xml:space="preserve">Hallmark</w:t>
      </w:r>
      <w:r>
        <w:t xml:space="preserve">”</w:t>
      </w:r>
      <w:r>
        <w:t xml:space="preserve"> </w:t>
      </w:r>
      <w:r>
        <w:t xml:space="preserve">gene sets</w:t>
      </w:r>
      <w:r>
        <w:t xml:space="preserve"> </w:t>
      </w:r>
      <w:r>
        <w:t xml:space="preserve">(</w:t>
      </w:r>
      <w:hyperlink w:anchor="ref-RN3112">
        <w:r>
          <w:rPr>
            <w:rStyle w:val="Hyperlink"/>
          </w:rPr>
          <w:t xml:space="preserve">Liberzon et al., 2015</w:t>
        </w:r>
      </w:hyperlink>
      <w:r>
        <w:t xml:space="preserve">)</w:t>
      </w:r>
      <w:r>
        <w:t xml:space="preserve"> </w:t>
      </w:r>
      <w:r>
        <w:t xml:space="preserve">actually demonstrated greater enrichment of the</w:t>
      </w:r>
      <w:r>
        <w:t xml:space="preserve"> </w:t>
      </w:r>
      <w:r>
        <w:t xml:space="preserve">“</w:t>
      </w:r>
      <w:r>
        <w:t xml:space="preserve">hypoxia</w:t>
      </w:r>
      <w:r>
        <w:t xml:space="preserve">”</w:t>
      </w:r>
      <w:r>
        <w:t xml:space="preserve"> </w:t>
      </w:r>
      <w:r>
        <w:t xml:space="preserve">data set among differentially expressed transcripts following BAY treatment (</w:t>
      </w:r>
      <w:r>
        <w:rPr>
          <w:bCs/>
          <w:b/>
        </w:rPr>
        <w:t xml:space="preserve">Figure</w:t>
      </w:r>
      <w:r>
        <w:rPr>
          <w:bCs/>
          <w:b/>
        </w:rPr>
        <w:t xml:space="preserve"> </w:t>
      </w:r>
      <w:r>
        <w:rPr>
          <w:bCs/>
          <w:b/>
        </w:rPr>
        <w:t xml:space="preserve">7</w:t>
      </w:r>
      <w:r>
        <w:rPr>
          <w:bCs/>
          <w:b/>
        </w:rPr>
        <w:t xml:space="preserve">D</w:t>
      </w:r>
      <w:r>
        <w:t xml:space="preserve">). Consistent with our previous findings, the gene set for glycolysis was also more enriched following BAY treatment than hypoxia treatment. The most enriched gene sets associated with hypoxia included pro-proliferative E2F targets and G2/M checkpoint proteins as well as MYC target proteins. These findings were reinforced by a transcription factor enrichment analysis (</w:t>
      </w:r>
      <w:r>
        <w:rPr>
          <w:bCs/>
          <w:b/>
        </w:rPr>
        <w:t xml:space="preserve">Figure</w:t>
      </w:r>
      <w:r>
        <w:rPr>
          <w:bCs/>
          <w:b/>
        </w:rPr>
        <w:t xml:space="preserve"> </w:t>
      </w:r>
      <w:r>
        <w:rPr>
          <w:bCs/>
          <w:b/>
        </w:rPr>
        <w:t xml:space="preserve">7</w:t>
      </w:r>
      <w:r>
        <w:rPr>
          <w:bCs/>
          <w:b/>
        </w:rPr>
        <w:t xml:space="preserve">E</w:t>
      </w:r>
      <w:r>
        <w:t xml:space="preserve">), again identifying enrichment of MYC target proteins associated with hypoxia. Consistent with these bioinformatic results, immunoblot demonstrates up-regulation of MYC protein in hypoxia-treated cells, but not in BAY-treatment alone (</w:t>
      </w:r>
      <w:r>
        <w:rPr>
          <w:bCs/>
          <w:b/>
        </w:rPr>
        <w:t xml:space="preserve">Figure</w:t>
      </w:r>
      <w:r>
        <w:rPr>
          <w:bCs/>
          <w:b/>
        </w:rPr>
        <w:t xml:space="preserve"> </w:t>
      </w:r>
      <w:r>
        <w:rPr>
          <w:bCs/>
          <w:b/>
        </w:rPr>
        <w:t xml:space="preserve">7</w:t>
      </w:r>
      <w:r>
        <w:rPr>
          <w:bCs/>
          <w:b/>
        </w:rPr>
        <w:t xml:space="preserve">F</w:t>
      </w:r>
      <w:r>
        <w:t xml:space="preserve">). These data provide a starting point for interrogating the relative hierarchy of transcription factor regulation of gene expression by hypoxia in proliferating primary cells and suggest several potential mechanisms that may contribute to the uncoupling of glycolytic gene transcription and glycolytic flux in the proliferating primary cells studied here.</w:t>
      </w:r>
    </w:p>
    <w:bookmarkEnd w:id="29"/>
    <w:bookmarkEnd w:id="30"/>
    <w:bookmarkStart w:id="31" w:name="discussion"/>
    <w:p>
      <w:pPr>
        <w:pStyle w:val="Heading1"/>
      </w:pPr>
      <w:r>
        <w:t xml:space="preserve">Discussion</w:t>
      </w:r>
    </w:p>
    <w:p>
      <w:pPr>
        <w:pStyle w:val="FirstParagraph"/>
      </w:pPr>
      <w:r>
        <w:t xml:space="preserve">In this work, we used</w:t>
      </w:r>
      <w:r>
        <w:t xml:space="preserve"> </w:t>
      </w:r>
      <w:r>
        <w:rPr>
          <w:vertAlign w:val="superscript"/>
        </w:rPr>
        <w:t xml:space="preserve">13</w:t>
      </w:r>
      <w:r>
        <w:t xml:space="preserve">C metabolic flux analysis to identify hypoxia-mediated metabolic changes in proliferating human primary cells. Our principal finding was that hypoxia reduced, rather than increased, carbon flux through glycolysis and lactate fermentation pathways despite robust activation of the HIF transcriptional program and up-regulation of glycolytic genes. Certainly the LFs studied here are capable of augmenting glycolysis in response to HIF stabilization, as demonstrated by experiments with the PHD inhibitor BAY; however, these effects are completely attenuated when BAY-treated cells are cultured in hypoxia. Together, these findings suggest that changes in enzyme levels alone are insufficient to alter metabolic flux in hypoxia and point to the importance of regulatory mechanisms that supersede the effects of HIF-dependent gene transcription.</w:t>
      </w:r>
    </w:p>
    <w:p>
      <w:pPr>
        <w:pStyle w:val="BodyText"/>
      </w:pPr>
      <w:r>
        <w:t xml:space="preserve">The identification of these mechanisms is of critical importance for our understanding of primary cell adaptation to hypoxia. In particular, our transcriptomic analyses suggest that hypoxia is associated with a pro-proliferative pattern of gene expression that likely facilitates the response of these mesenchymal cells to tissue injury and these pathways may have implications for cancer cell biology. While the role of HIFs in the hypoxia response has been extensively studied, relatively less is known about HIF-independent features of the hypoxia response. Cells express several oxygen-dependent enzymes in addition to PHD whose activities may be impacted in hypoxia but not by PHD inhibition. For example, PHD is one of many α-ketoglutarate-dependent dioxygenase enzymes that rely on molecular oxygen for their catalytic activity</w:t>
      </w:r>
      <w:r>
        <w:t xml:space="preserve"> </w:t>
      </w:r>
      <w:r>
        <w:t xml:space="preserve">(</w:t>
      </w:r>
      <w:hyperlink w:anchor="ref-RN2611">
        <w:r>
          <w:rPr>
            <w:rStyle w:val="Hyperlink"/>
          </w:rPr>
          <w:t xml:space="preserve">Islam et al., 2018</w:t>
        </w:r>
      </w:hyperlink>
      <w:r>
        <w:t xml:space="preserve">)</w:t>
      </w:r>
      <w:r>
        <w:t xml:space="preserve">. Jumonji-C (JmjC) domain containing histone demethylases are other prominent members of this family whose inhibition by hypoxia has been shown to cause rapid and HIF-independent induction of histone methylation</w:t>
      </w:r>
      <w:r>
        <w:t xml:space="preserve"> </w:t>
      </w:r>
      <w:r>
        <w:t xml:space="preserve">(</w:t>
      </w:r>
      <w:hyperlink w:anchor="ref-RN3117">
        <w:r>
          <w:rPr>
            <w:rStyle w:val="Hyperlink"/>
          </w:rPr>
          <w:t xml:space="preserve">Batie et al., 2019</w:t>
        </w:r>
      </w:hyperlink>
      <w:r>
        <w:t xml:space="preserve">)</w:t>
      </w:r>
      <w:r>
        <w:t xml:space="preserve">. Similarly, a recently described cysteamine dioxygenase has been shown to mediate the oxygen-dependent degradation of Regulators of G protein Signaling 4 and 5 and IL-32</w:t>
      </w:r>
      <w:r>
        <w:t xml:space="preserve"> </w:t>
      </w:r>
      <w:r>
        <w:t xml:space="preserve">(</w:t>
      </w:r>
      <w:hyperlink w:anchor="ref-RN1384">
        <w:r>
          <w:rPr>
            <w:rStyle w:val="Hyperlink"/>
          </w:rPr>
          <w:t xml:space="preserve">Masson et al., 2019</w:t>
        </w:r>
      </w:hyperlink>
      <w:r>
        <w:t xml:space="preserve">)</w:t>
      </w:r>
      <w:r>
        <w:t xml:space="preserve">. In addition to dioxygenase enzymes, electron transport chain dysfunction resulting from impaired Complex IV activity leads to increased ROS production in hypoxia</w:t>
      </w:r>
      <w:r>
        <w:t xml:space="preserve"> </w:t>
      </w:r>
      <w:r>
        <w:t xml:space="preserve">(</w:t>
      </w:r>
      <w:hyperlink w:anchor="ref-RN295">
        <w:r>
          <w:rPr>
            <w:rStyle w:val="Hyperlink"/>
          </w:rPr>
          <w:t xml:space="preserve">Chandel et al., 1998</w:t>
        </w:r>
      </w:hyperlink>
      <w:r>
        <w:t xml:space="preserve">)</w:t>
      </w:r>
      <w:r>
        <w:t xml:space="preserve">. Mitochondrial ROS increase the half-lives of several mRNAs in hypoxia, including MYC as we observe in this work, independent of HIF stabilization</w:t>
      </w:r>
      <w:r>
        <w:t xml:space="preserve"> </w:t>
      </w:r>
      <w:r>
        <w:t xml:space="preserve">(</w:t>
      </w:r>
      <w:hyperlink w:anchor="ref-RN742">
        <w:r>
          <w:rPr>
            <w:rStyle w:val="Hyperlink"/>
          </w:rPr>
          <w:t xml:space="preserve">Guzy et al., 2005</w:t>
        </w:r>
      </w:hyperlink>
      <w:r>
        <w:t xml:space="preserve">)</w:t>
      </w:r>
      <w:r>
        <w:t xml:space="preserve">. Finally, hypoxia imposes a reductive stress on cells associated with an increase in the NADH/NAD</w:t>
      </w:r>
      <w:r>
        <w:rPr>
          <w:vertAlign w:val="superscript"/>
        </w:rPr>
        <w:t xml:space="preserve">+</w:t>
      </w:r>
      <w:r>
        <w:t xml:space="preserve"> </w:t>
      </w:r>
      <w:r>
        <w:t xml:space="preserve">ratio secondary to impaired electron transport</w:t>
      </w:r>
      <w:r>
        <w:t xml:space="preserve"> </w:t>
      </w:r>
      <w:r>
        <w:t xml:space="preserve">(</w:t>
      </w:r>
      <w:hyperlink w:anchor="ref-RN2618">
        <w:r>
          <w:rPr>
            <w:rStyle w:val="Hyperlink"/>
          </w:rPr>
          <w:t xml:space="preserve">Chance and Williams, 1955</w:t>
        </w:r>
      </w:hyperlink>
      <w:r>
        <w:t xml:space="preserve">;</w:t>
      </w:r>
      <w:r>
        <w:t xml:space="preserve"> </w:t>
      </w:r>
      <w:hyperlink w:anchor="ref-RN2619">
        <w:r>
          <w:rPr>
            <w:rStyle w:val="Hyperlink"/>
          </w:rPr>
          <w:t xml:space="preserve">Garofalo et al., 1988</w:t>
        </w:r>
      </w:hyperlink>
      <w:r>
        <w:t xml:space="preserve">)</w:t>
      </w:r>
      <w:r>
        <w:t xml:space="preserve">. NADH accumulation may slow glycolysis</w:t>
      </w:r>
      <w:r>
        <w:t xml:space="preserve"> </w:t>
      </w:r>
      <w:r>
        <w:rPr>
          <w:iCs/>
          <w:i/>
        </w:rPr>
        <w:t xml:space="preserve">via</w:t>
      </w:r>
      <w:r>
        <w:t xml:space="preserve"> </w:t>
      </w:r>
      <w:r>
        <w:t xml:space="preserve">feedback inhibition of GAPDH</w:t>
      </w:r>
      <w:r>
        <w:t xml:space="preserve"> </w:t>
      </w:r>
      <w:r>
        <w:t xml:space="preserve">(</w:t>
      </w:r>
      <w:hyperlink w:anchor="ref-RN2210">
        <w:r>
          <w:rPr>
            <w:rStyle w:val="Hyperlink"/>
          </w:rPr>
          <w:t xml:space="preserve">Tilton et al., 1991</w:t>
        </w:r>
      </w:hyperlink>
      <w:r>
        <w:t xml:space="preserve">)</w:t>
      </w:r>
      <w:r>
        <w:t xml:space="preserve">. Any of these molecular mechanisms may contribute to uncoupling glycolytic enzyme expression from glycolytic flux as observed in the experiments described here.</w:t>
      </w:r>
    </w:p>
    <w:p>
      <w:pPr>
        <w:pStyle w:val="BodyText"/>
      </w:pPr>
      <w:r>
        <w:t xml:space="preserve">These findings raise important questions regarding the cell-autonomous role of HIFs in the hypoxia response. On an organismal level, HIFs drive expression of angiogenic and erythropoietic factors to increase oxygen delivery to hypoxic tissues. Within individual cells, HIF-1α seems to be important for mitigating the adverse effects of ROS formation by dysfunctional electron transport in the mitochondria. Indeed, hypoxia increased oxygen consumption and ROS production in HIF-1α-null mouse embryonic fibroblasts (MEFs), which was associated with increased cell death</w:t>
      </w:r>
      <w:r>
        <w:t xml:space="preserve"> </w:t>
      </w:r>
      <w:r>
        <w:t xml:space="preserve">(</w:t>
      </w:r>
      <w:hyperlink w:anchor="ref-RN2525">
        <w:r>
          <w:rPr>
            <w:rStyle w:val="Hyperlink"/>
          </w:rPr>
          <w:t xml:space="preserve">Zhang et al., 2008</w:t>
        </w:r>
      </w:hyperlink>
      <w:r>
        <w:t xml:space="preserve">)</w:t>
      </w:r>
      <w:r>
        <w:t xml:space="preserve">. Interestingly, these cells also had increased ATP levels compared to wild type, suggesting that mitochondrial function was adequate under 1% oxygen culture conditions to support oxidative phosphorylation and meet the energy needs of the cells. Given the prominence of HIFs in mediating the transcriptional response to hypoxia, it is somewhat surprising that none of PHD, HIFs, or their downstream targets were found to be selectively essential as a function of oxygen tension in a genome-wide CRISPR growth screen of cells cultured in normoxia and hypoxia</w:t>
      </w:r>
      <w:r>
        <w:t xml:space="preserve"> </w:t>
      </w:r>
      <w:r>
        <w:t xml:space="preserve">(</w:t>
      </w:r>
      <w:hyperlink w:anchor="ref-RN953">
        <w:r>
          <w:rPr>
            <w:rStyle w:val="Hyperlink"/>
          </w:rPr>
          <w:t xml:space="preserve">Jain et al., 2020</w:t>
        </w:r>
      </w:hyperlink>
      <w:r>
        <w:t xml:space="preserve">)</w:t>
      </w:r>
      <w:r>
        <w:t xml:space="preserve">.</w:t>
      </w:r>
    </w:p>
    <w:p>
      <w:pPr>
        <w:pStyle w:val="BodyText"/>
      </w:pPr>
      <w:r>
        <w:t xml:space="preserve">Our finding that hypoxia was associated with decreased glycolysis and lactate fermentation was unexpected. Several aspects of our experimental design may have contributed to this finding. First, our goal was to understand how metabolic reprogramming may support cell proliferation in hypoxia. Thus, we measured metabolite fluxes in cells during the exponential growth phase accounting for cell growth rate, metabolite degradation rates, and medium evaporation with multiple measurements over a 72 h time course. Often, cells are studied near confluence, where metabolic contributions to biomass production are less and the rate of glycolysis in hypoxia may be higher. Second, we began our experimental treatments 24 h prior to collecting samples to ensure that the hypoxia metabolic program was established prior to labeling. Similar studies</w:t>
      </w:r>
      <w:r>
        <w:t xml:space="preserve"> </w:t>
      </w:r>
      <w:r>
        <w:t xml:space="preserve">(</w:t>
      </w:r>
      <w:hyperlink w:anchor="ref-RN713">
        <w:r>
          <w:rPr>
            <w:rStyle w:val="Hyperlink"/>
          </w:rPr>
          <w:t xml:space="preserve">Grassian et al., 2014</w:t>
        </w:r>
      </w:hyperlink>
      <w:r>
        <w:t xml:space="preserve">;</w:t>
      </w:r>
      <w:r>
        <w:t xml:space="preserve"> </w:t>
      </w:r>
      <w:hyperlink w:anchor="ref-RN1447">
        <w:r>
          <w:rPr>
            <w:rStyle w:val="Hyperlink"/>
          </w:rPr>
          <w:t xml:space="preserve">Metallo et al., 2011</w:t>
        </w:r>
      </w:hyperlink>
      <w:r>
        <w:t xml:space="preserve">)</w:t>
      </w:r>
      <w:r>
        <w:t xml:space="preserve"> </w:t>
      </w:r>
      <w:r>
        <w:t xml:space="preserve">typically placed cells into hypoxia at the time of labeling. Third, and perhaps most importantly, these flux determinations were performed in human primary cell cultures rather than immortalized cell lines.</w:t>
      </w:r>
    </w:p>
    <w:p>
      <w:pPr>
        <w:pStyle w:val="BodyText"/>
      </w:pPr>
      <w:r>
        <w:t xml:space="preserve">In summary, in this metabolic flux analysis of proliferating human primary cells</w:t>
      </w:r>
      <w:r>
        <w:t xml:space="preserve"> </w:t>
      </w:r>
      <w:r>
        <w:rPr>
          <w:iCs/>
          <w:i/>
        </w:rPr>
        <w:t xml:space="preserve">in vitro</w:t>
      </w:r>
      <w:r>
        <w:t xml:space="preserve">, we have demonstrated that hypoxia uncouples an increase in HIF-dependent glycolytic gene transcription from glycolytic flux. Indeed, the degree of metabolic reprogramming in hypoxia was modest and suggests close coupling between proliferation and metabolism. In light of our findings, additional studies are warranted to understand the role of HIFs in mediating the metabolic response to hypoxia in primary cells. Moreover, these data strongly caution investigators against drawing conclusions about metabolite flux from measures of gene transcription alone. Further investigations of metabolic flux in primary cell cultures in hypoxia are warranted to identify the key regulators of metabolism in hypoxia and to clarify the contributions of HIF proteins to hypoxic metabolic reprogramming.</w:t>
      </w:r>
    </w:p>
    <w:p>
      <w:r>
        <w:br w:type="page"/>
      </w:r>
    </w:p>
    <w:bookmarkEnd w:id="31"/>
    <w:bookmarkStart w:id="32" w:name="acknowledgements"/>
    <w:p>
      <w:pPr>
        <w:pStyle w:val="Heading1"/>
      </w:pPr>
      <w:r>
        <w:t xml:space="preserve">Acknowledgements</w:t>
      </w:r>
    </w:p>
    <w:p>
      <w:pPr>
        <w:pStyle w:val="FirstParagraph"/>
      </w:pPr>
      <w:r>
        <w:t xml:space="preserve">This work was supported by grants from the NIH (K08HL128802), American Lung Association, Pulmonary Hypertension Association, and the American Thoracic Society Foundation to W.M.O and from the NIH (U01HG007690, U01HL108630, U54HL119145) and the American Heart Association (D700382, CV-19) to J.L.</w:t>
      </w:r>
    </w:p>
    <w:bookmarkEnd w:id="32"/>
    <w:bookmarkStart w:id="33" w:name="author-contributions"/>
    <w:p>
      <w:pPr>
        <w:pStyle w:val="Heading1"/>
      </w:pPr>
      <w:r>
        <w:t xml:space="preserve">Author Contributions</w:t>
      </w:r>
    </w:p>
    <w:p>
      <w:pPr>
        <w:pStyle w:val="FirstParagraph"/>
      </w:pPr>
      <w:r>
        <w:t xml:space="preserve">W.M.O. conceived and designed the analysis. C.A.C., B.A.O., D.R.Z., S.M., K.L., and W.M.O. collected the data. J.D.Y. and W.M.O. contributed data or analysis tools. W.M.O. performed the analysis. W.M.O. drafted the manuscript. All authors participated in interpreting the results and revising the manuscript. All authors approve the final submission.</w:t>
      </w:r>
    </w:p>
    <w:bookmarkEnd w:id="33"/>
    <w:bookmarkStart w:id="34" w:name="declaration-of-interests"/>
    <w:p>
      <w:pPr>
        <w:pStyle w:val="Heading1"/>
      </w:pPr>
      <w:r>
        <w:t xml:space="preserve">Declaration of Interests</w:t>
      </w:r>
    </w:p>
    <w:p>
      <w:pPr>
        <w:pStyle w:val="FirstParagraph"/>
      </w:pPr>
      <w:r>
        <w:t xml:space="preserve">The authors declare no competing interests.</w:t>
      </w:r>
    </w:p>
    <w:p>
      <w:r>
        <w:br w:type="page"/>
      </w:r>
    </w:p>
    <w:bookmarkEnd w:id="34"/>
    <w:bookmarkStart w:id="35" w:name="figure-legends"/>
    <w:p>
      <w:pPr>
        <w:pStyle w:val="Heading1"/>
      </w:pPr>
      <w:r>
        <w:t xml:space="preserve">Figure Legends</w:t>
      </w:r>
    </w:p>
    <w:p>
      <w:pPr>
        <w:pStyle w:val="FirstParagraph"/>
      </w:pPr>
      <w:r>
        <w:t xml:space="preserve">Figure 1:</w:t>
      </w:r>
      <w:r>
        <w:t xml:space="preserve"> </w:t>
      </w:r>
      <w:r>
        <w:rPr>
          <w:bCs/>
          <w:b/>
        </w:rPr>
        <w:t xml:space="preserve">Extracellular fluxes of lung fibroblasts in hypoxia.</w:t>
      </w:r>
      <w:r>
        <w:t xml:space="preserve"> </w:t>
      </w:r>
      <w:r>
        <w:t xml:space="preserve">(</w:t>
      </w:r>
      <w:r>
        <w:rPr>
          <w:bCs/>
          <w:b/>
        </w:rPr>
        <w:t xml:space="preserve">A</w:t>
      </w:r>
      <w:r>
        <w:t xml:space="preserve">) Growth curves of lung fibroblasts (LFs) cultured in 21% and 0.5% oxygen (n = 8). (</w:t>
      </w:r>
      <w:r>
        <w:rPr>
          <w:bCs/>
          <w:b/>
        </w:rPr>
        <w:t xml:space="preserve">B</w:t>
      </w:r>
      <w:r>
        <w:t xml:space="preserve">) Growth rates were determined by linear fitting of log-transformed growth curves. (</w:t>
      </w:r>
      <w:r>
        <w:rPr>
          <w:bCs/>
          <w:b/>
        </w:rPr>
        <w:t xml:space="preserve">C</w:t>
      </w:r>
      <w:r>
        <w:t xml:space="preserve">) Cell viability, assessed by acridine orange plus propidium iodide staining, did not differ between 21% and 0.5% oxygen culture conditions (n = 3 technical replicates). (</w:t>
      </w:r>
      <w:r>
        <w:rPr>
          <w:bCs/>
          <w:b/>
        </w:rPr>
        <w:t xml:space="preserve">D</w:t>
      </w:r>
      <w:r>
        <w:t xml:space="preserve">) Representative immunoblot of LF protein lysates collected at the indicated times. (</w:t>
      </w:r>
      <w:r>
        <w:rPr>
          <w:bCs/>
          <w:b/>
        </w:rPr>
        <w:t xml:space="preserve">E</w:t>
      </w:r>
      <w:r>
        <w:t xml:space="preserve">,</w:t>
      </w:r>
      <w:r>
        <w:t xml:space="preserve"> </w:t>
      </w:r>
      <w:r>
        <w:rPr>
          <w:bCs/>
          <w:b/>
        </w:rPr>
        <w:t xml:space="preserve">F</w:t>
      </w:r>
      <w:r>
        <w:t xml:space="preserve">) Relative change in HIF-1α (E) and LDHA (F) protein levels compared to 21% oxygen time 0 (n = 4). (</w:t>
      </w:r>
      <w:r>
        <w:rPr>
          <w:bCs/>
          <w:b/>
        </w:rPr>
        <w:t xml:space="preserve">G</w:t>
      </w:r>
      <w:r>
        <w:t xml:space="preserve">,</w:t>
      </w:r>
      <w:r>
        <w:t xml:space="preserve"> </w:t>
      </w:r>
      <w:r>
        <w:rPr>
          <w:bCs/>
          <w:b/>
        </w:rPr>
        <w:t xml:space="preserve">H</w:t>
      </w:r>
      <w:r>
        <w:t xml:space="preserve">) Relative changes in GLUT1 (G) and LDHA (H) mRNA levels compared to 21% oxygen time 0 (n = 4). (</w:t>
      </w:r>
      <w:r>
        <w:rPr>
          <w:bCs/>
          <w:b/>
        </w:rPr>
        <w:t xml:space="preserve">I</w:t>
      </w:r>
      <w:r>
        <w:t xml:space="preserve">,</w:t>
      </w:r>
      <w:r>
        <w:t xml:space="preserve"> </w:t>
      </w:r>
      <w:r>
        <w:rPr>
          <w:bCs/>
          <w:b/>
        </w:rPr>
        <w:t xml:space="preserve">J</w:t>
      </w:r>
      <w:r>
        <w:t xml:space="preserve">) Extracellular fluxes of the indicated metabolites (n = 8). Data are mean ± SEM. Comparisons were performed using Student’s paired</w:t>
      </w:r>
      <w:r>
        <w:t xml:space="preserve"> </w:t>
      </w:r>
      <w:r>
        <w:rPr>
          <w:iCs/>
          <w:i/>
        </w:rPr>
        <w:t xml:space="preserve">t</w:t>
      </w:r>
      <w:r>
        <w:t xml:space="preserve">-test and p &lt; 0.05 indicated by *. Flux probability values were not corrected for multiple comparisons. Abbreviations as noted in the text.</w:t>
      </w:r>
    </w:p>
    <w:p>
      <w:pPr>
        <w:pStyle w:val="BodyText"/>
      </w:pPr>
      <w:r>
        <w:t xml:space="preserve">Figure 2:</w:t>
      </w:r>
      <w:r>
        <w:t xml:space="preserve"> </w:t>
      </w:r>
      <w:r>
        <w:rPr>
          <w:bCs/>
          <w:b/>
        </w:rPr>
        <w:t xml:space="preserve">Prolyl hydroxylase inhibition of lung fibroblasts in normoxia.</w:t>
      </w:r>
      <w:r>
        <w:t xml:space="preserve"> </w:t>
      </w:r>
      <w:r>
        <w:t xml:space="preserve">(</w:t>
      </w:r>
      <w:r>
        <w:rPr>
          <w:bCs/>
          <w:b/>
        </w:rPr>
        <w:t xml:space="preserve">A</w:t>
      </w:r>
      <w:r>
        <w:t xml:space="preserve">) Growth curves of lung fibroblasts (LFs) cultured in 21% oxygen and treated with molidustat (BAY, 10 μM) or vehicle (DMSO, 0.1%) (n = 8). (</w:t>
      </w:r>
      <w:r>
        <w:rPr>
          <w:bCs/>
          <w:b/>
        </w:rPr>
        <w:t xml:space="preserve">B</w:t>
      </w:r>
      <w:r>
        <w:t xml:space="preserve">) Growth rates were determined by linear fitting of log-transformed growth curves. (</w:t>
      </w:r>
      <w:r>
        <w:rPr>
          <w:bCs/>
          <w:b/>
        </w:rPr>
        <w:t xml:space="preserve">C</w:t>
      </w:r>
      <w:r>
        <w:t xml:space="preserve">) Representative immunoblot of LF protein lysates collected at the indicated times. (</w:t>
      </w:r>
      <w:r>
        <w:rPr>
          <w:bCs/>
          <w:b/>
        </w:rPr>
        <w:t xml:space="preserve">D</w:t>
      </w:r>
      <w:r>
        <w:t xml:space="preserve">,</w:t>
      </w:r>
      <w:r>
        <w:t xml:space="preserve"> </w:t>
      </w:r>
      <w:r>
        <w:rPr>
          <w:bCs/>
          <w:b/>
        </w:rPr>
        <w:t xml:space="preserve">E</w:t>
      </w:r>
      <w:r>
        <w:t xml:space="preserve">) Relative change in HIF-1α (D) and LDHA (E) protein levels compared to DMSO time 0. (</w:t>
      </w:r>
      <w:r>
        <w:rPr>
          <w:bCs/>
          <w:b/>
        </w:rPr>
        <w:t xml:space="preserve">F</w:t>
      </w:r>
      <w:r>
        <w:t xml:space="preserve">,</w:t>
      </w:r>
      <w:r>
        <w:t xml:space="preserve"> </w:t>
      </w:r>
      <w:r>
        <w:rPr>
          <w:bCs/>
          <w:b/>
        </w:rPr>
        <w:t xml:space="preserve">G</w:t>
      </w:r>
      <w:r>
        <w:t xml:space="preserve">) Relative changes in GLUT1 (F) and LDHA (G) mRNA levels compared to DMSO time 0. (</w:t>
      </w:r>
      <w:r>
        <w:rPr>
          <w:bCs/>
          <w:b/>
        </w:rPr>
        <w:t xml:space="preserve">H</w:t>
      </w:r>
      <w:r>
        <w:t xml:space="preserve">,</w:t>
      </w:r>
      <w:r>
        <w:t xml:space="preserve"> </w:t>
      </w:r>
      <w:r>
        <w:rPr>
          <w:bCs/>
          <w:b/>
        </w:rPr>
        <w:t xml:space="preserve">I</w:t>
      </w:r>
      <w:r>
        <w:t xml:space="preserve">) Extracellular fluxes of the indicated metabolites (n = 8). Data are mean ± SEM. Comparisons were performed using Student’s paired</w:t>
      </w:r>
      <w:r>
        <w:t xml:space="preserve"> </w:t>
      </w:r>
      <w:r>
        <w:rPr>
          <w:iCs/>
          <w:i/>
        </w:rPr>
        <w:t xml:space="preserve">t</w:t>
      </w:r>
      <w:r>
        <w:t xml:space="preserve">-test and p &lt; 0.05 indicated by *. Flux probability values were not corrected for multiple comparisons. Abbreviations as noted in the text.</w:t>
      </w:r>
    </w:p>
    <w:p>
      <w:pPr>
        <w:pStyle w:val="BodyText"/>
      </w:pPr>
      <w:r>
        <w:t xml:space="preserve">Figure 3:</w:t>
      </w:r>
      <w:r>
        <w:t xml:space="preserve"> </w:t>
      </w:r>
      <w:r>
        <w:rPr>
          <w:bCs/>
          <w:b/>
        </w:rPr>
        <w:t xml:space="preserve">Stable isotope tracing of lung fibroblasts.</w:t>
      </w:r>
      <w:r>
        <w:t xml:space="preserve"> </w:t>
      </w:r>
      <w:r>
        <w:t xml:space="preserve">(</w:t>
      </w:r>
      <w:r>
        <w:rPr>
          <w:bCs/>
          <w:b/>
        </w:rPr>
        <w:t xml:space="preserve">A</w:t>
      </w:r>
      <w:r>
        <w:t xml:space="preserve">) Fraction of pyruvate labeling following treatment of lung fibroblasts (LFs) with [U-</w:t>
      </w:r>
      <w:r>
        <w:rPr>
          <w:vertAlign w:val="superscript"/>
        </w:rPr>
        <w:t xml:space="preserve">13</w:t>
      </w:r>
      <w:r>
        <w:t xml:space="preserve">C</w:t>
      </w:r>
      <w:r>
        <w:rPr>
          <w:vertAlign w:val="subscript"/>
        </w:rPr>
        <w:t xml:space="preserve">6</w:t>
      </w:r>
      <w:r>
        <w:t xml:space="preserve">] glucose. (</w:t>
      </w:r>
      <w:r>
        <w:rPr>
          <w:bCs/>
          <w:b/>
        </w:rPr>
        <w:t xml:space="preserve">B</w:t>
      </w:r>
      <w:r>
        <w:t xml:space="preserve">) Rate values determined from asymptotic regression fit of the data from (A). (</w:t>
      </w:r>
      <w:r>
        <w:rPr>
          <w:bCs/>
          <w:b/>
        </w:rPr>
        <w:t xml:space="preserve">C</w:t>
      </w:r>
      <w:r>
        <w:t xml:space="preserve">) Isotopic labeling of key intracellular metabolites after 72 h of treatment with the indicated tracers. Data are the mean ± SEM of 4 biological replicates. FBP, fructose bisphosphate; 3PG, 3-phosphoglycerate; AKG, α-ketoglutarate.</w:t>
      </w:r>
    </w:p>
    <w:p>
      <w:pPr>
        <w:pStyle w:val="BodyText"/>
      </w:pPr>
      <w:r>
        <w:t xml:space="preserve">Figure 4:</w:t>
      </w:r>
      <w:r>
        <w:t xml:space="preserve"> </w:t>
      </w:r>
      <w:r>
        <w:rPr>
          <w:bCs/>
          <w:b/>
        </w:rPr>
        <w:t xml:space="preserve">Metabolic flux maps of lung fibroblasts.</w:t>
      </w:r>
      <w:r>
        <w:t xml:space="preserve"> </w:t>
      </w:r>
      <w:r>
        <w:t xml:space="preserve">(</w:t>
      </w:r>
      <w:r>
        <w:rPr>
          <w:bCs/>
          <w:b/>
        </w:rPr>
        <w:t xml:space="preserve">A</w:t>
      </w:r>
      <w:r>
        <w:t xml:space="preserve">) Ratio of metabolic fluxes in 0.5% oxygen compared to 21% oxygen. (</w:t>
      </w:r>
      <w:r>
        <w:rPr>
          <w:bCs/>
          <w:b/>
        </w:rPr>
        <w:t xml:space="preserve">B</w:t>
      </w:r>
      <w:r>
        <w:t xml:space="preserve">) Ratio of metabolic fluxes in cells treated with molidustat (BAY) compared to DMSO vehicle control. Fluxes with non-overlapping confidence intervals are highlighted to indicate significant changes. Arrow weight corresponds to absolute flux in hypoxia- or BAY-treated cells.</w:t>
      </w:r>
    </w:p>
    <w:p>
      <w:pPr>
        <w:pStyle w:val="BodyText"/>
      </w:pPr>
      <w:r>
        <w:t xml:space="preserve">Figure 5:</w:t>
      </w:r>
      <w:r>
        <w:t xml:space="preserve"> </w:t>
      </w:r>
      <w:r>
        <w:rPr>
          <w:bCs/>
          <w:b/>
        </w:rPr>
        <w:t xml:space="preserve">PHD inhibition increases lactate uptake and oxidation.</w:t>
      </w:r>
      <w:r>
        <w:t xml:space="preserve"> </w:t>
      </w:r>
      <w:r>
        <w:t xml:space="preserve">Mass isotopomer distributions of key metabolites following labeling with [U-</w:t>
      </w:r>
      <w:r>
        <w:rPr>
          <w:vertAlign w:val="superscript"/>
        </w:rPr>
        <w:t xml:space="preserve">13</w:t>
      </w:r>
      <w:r>
        <w:t xml:space="preserve">C</w:t>
      </w:r>
      <w:r>
        <w:rPr>
          <w:vertAlign w:val="subscript"/>
        </w:rPr>
        <w:t xml:space="preserve">3</w:t>
      </w:r>
      <w:r>
        <w:t xml:space="preserve">] lactate (2 mM) for 72 h indicates increased lactate uptake and oxidation in hypoxia or with molidustat (BAY) treatment.</w:t>
      </w:r>
    </w:p>
    <w:p>
      <w:pPr>
        <w:pStyle w:val="BodyText"/>
      </w:pPr>
      <w:r>
        <w:t xml:space="preserve">Figure 6:</w:t>
      </w:r>
      <w:r>
        <w:t xml:space="preserve"> </w:t>
      </w:r>
      <w:r>
        <w:rPr>
          <w:bCs/>
          <w:b/>
        </w:rPr>
        <w:t xml:space="preserve">Metabolomic analysis of molidustat treamtent in normoxia and hypoxia.</w:t>
      </w:r>
      <w:r>
        <w:t xml:space="preserve"> </w:t>
      </w:r>
      <w:r>
        <w:t xml:space="preserve">(</w:t>
      </w:r>
      <w:r>
        <w:rPr>
          <w:bCs/>
          <w:b/>
        </w:rPr>
        <w:t xml:space="preserve">A</w:t>
      </w:r>
      <w:r>
        <w:t xml:space="preserve">-</w:t>
      </w:r>
      <w:r>
        <w:rPr>
          <w:bCs/>
          <w:b/>
        </w:rPr>
        <w:t xml:space="preserve">C</w:t>
      </w:r>
      <w:r>
        <w:t xml:space="preserve">) Hypoxia inhibits the effects of HIF-1α stabilization on glycolysis. Lung fibroblasts (LFs) were cultured in standard growth medium and treated with molidustat (BAY, 10 μM) or vehicle (DMSO, 0.1%) in 21% or 0.5% oxygen conditions (n = 4). (A) Growth rates were determined by linear fitting of log-transformed growth curves. (</w:t>
      </w:r>
      <w:r>
        <w:rPr>
          <w:bCs/>
          <w:b/>
        </w:rPr>
        <w:t xml:space="preserve">B</w:t>
      </w:r>
      <w:r>
        <w:t xml:space="preserve">-</w:t>
      </w:r>
      <w:r>
        <w:rPr>
          <w:bCs/>
          <w:b/>
        </w:rPr>
        <w:t xml:space="preserve">C</w:t>
      </w:r>
      <w:r>
        <w:t xml:space="preserve">) Extracellular fluxes of glucose (B) and lactate (C). (</w:t>
      </w:r>
      <w:r>
        <w:rPr>
          <w:bCs/>
          <w:b/>
        </w:rPr>
        <w:t xml:space="preserve">D</w:t>
      </w:r>
      <w:r>
        <w:t xml:space="preserve">) Principle components analysis of intracellular metabolites following 72 h of treatment described above suggests a dominant effect of hypoxia over PHD inhibition on the metabolome (n = 4). (</w:t>
      </w:r>
      <w:r>
        <w:rPr>
          <w:bCs/>
          <w:b/>
        </w:rPr>
        <w:t xml:space="preserve">E</w:t>
      </w:r>
      <w:r>
        <w:t xml:space="preserve">) Volcano plot of the differential effects of hypoxia and molidustat (BAY) treatment on intracellular metabolites. (</w:t>
      </w:r>
      <w:r>
        <w:rPr>
          <w:bCs/>
          <w:b/>
        </w:rPr>
        <w:t xml:space="preserve">F</w:t>
      </w:r>
      <w:r>
        <w:t xml:space="preserve">) Representative metabolites from (E) reveal different patterns of metabolic effects. (</w:t>
      </w:r>
      <w:r>
        <w:rPr>
          <w:bCs/>
          <w:b/>
        </w:rPr>
        <w:t xml:space="preserve">G</w:t>
      </w:r>
      <w:r>
        <w:t xml:space="preserve">) Metabolite set enrichment analysis of metabolites from (E). KEGG pathways with unadjusted p-values &lt; 0.05 are shown. (</w:t>
      </w:r>
      <w:r>
        <w:rPr>
          <w:bCs/>
          <w:b/>
        </w:rPr>
        <w:t xml:space="preserve">H</w:t>
      </w:r>
      <w:r>
        <w:t xml:space="preserve">) Leading edge analysis of the most enriched KEGG metabolite set from (G). Negative values indicate relative enrichment associated with BAY treatment compared to hypoxia treatment (as in (E)). Abbreviations: PYR, pyruvate; SUC, succinate; PEP, phosphoenolpyruvate; CIT, citrate; AKG, α-ketoglutarate; MAL, malate; ACO, aconitate; FUM, fumarate. (</w:t>
      </w:r>
      <w:r>
        <w:rPr>
          <w:bCs/>
          <w:b/>
        </w:rPr>
        <w:t xml:space="preserve">I</w:t>
      </w:r>
      <w:r>
        <w:t xml:space="preserve">-</w:t>
      </w:r>
      <w:r>
        <w:rPr>
          <w:bCs/>
          <w:b/>
        </w:rPr>
        <w:t xml:space="preserve">K</w:t>
      </w:r>
      <w:r>
        <w:t xml:space="preserve">) Intracellular NAD</w:t>
      </w:r>
      <w:r>
        <w:rPr>
          <w:vertAlign w:val="superscript"/>
        </w:rPr>
        <w:t xml:space="preserve">+</w:t>
      </w:r>
      <w:r>
        <w:t xml:space="preserve">, NADH, and their ratio were determined by enzymatic assay (n = 5). Black * indicate a significant effect of hypoxia, colored * indicate a significant effect of treatment within a given oxygen tension as indicated by the color. Comparisons for fluxes (A-C) and NAD(H) measurements (I-K) were performed using a mixed-effects linear model with replicate as a random effect. Adjusted p-values for the indicated comparisons were determined using Tukey’s</w:t>
      </w:r>
      <w:r>
        <w:t xml:space="preserve"> </w:t>
      </w:r>
      <w:r>
        <w:rPr>
          <w:iCs/>
          <w:i/>
        </w:rPr>
        <w:t xml:space="preserve">post hoc</w:t>
      </w:r>
      <w:r>
        <w:t xml:space="preserve"> </w:t>
      </w:r>
      <w:r>
        <w:t xml:space="preserve">test.</w:t>
      </w:r>
    </w:p>
    <w:p>
      <w:pPr>
        <w:pStyle w:val="BodyText"/>
      </w:pPr>
      <w:r>
        <w:t xml:space="preserve">Figure 7:</w:t>
      </w:r>
      <w:r>
        <w:t xml:space="preserve"> </w:t>
      </w:r>
      <w:r>
        <w:rPr>
          <w:bCs/>
          <w:b/>
        </w:rPr>
        <w:t xml:space="preserve">Transcriptomic analysis of molidustat treamtent in normoxia and hypoxia.</w:t>
      </w:r>
      <w:r>
        <w:t xml:space="preserve"> </w:t>
      </w:r>
      <w:r>
        <w:t xml:space="preserve">(</w:t>
      </w:r>
      <w:r>
        <w:rPr>
          <w:bCs/>
          <w:b/>
        </w:rPr>
        <w:t xml:space="preserve">A</w:t>
      </w:r>
      <w:r>
        <w:t xml:space="preserve">) Principle components analysis of transcriptional changes following 72 h of treatment with 0.5% oxygen or molidustat (BAY), separately or together (n = 4). (</w:t>
      </w:r>
      <w:r>
        <w:rPr>
          <w:bCs/>
          <w:b/>
        </w:rPr>
        <w:t xml:space="preserve">B</w:t>
      </w:r>
      <w:r>
        <w:t xml:space="preserve">) Volcano plot of the differential effects of hypoxia and molidustat (BAY) treatment on intracellular metabolites. (</w:t>
      </w:r>
      <w:r>
        <w:rPr>
          <w:bCs/>
          <w:b/>
        </w:rPr>
        <w:t xml:space="preserve">C</w:t>
      </w:r>
      <w:r>
        <w:t xml:space="preserve">) Representative transcripts from (B). (</w:t>
      </w:r>
      <w:r>
        <w:rPr>
          <w:bCs/>
          <w:b/>
        </w:rPr>
        <w:t xml:space="preserve">D</w:t>
      </w:r>
      <w:r>
        <w:t xml:space="preserve">) Gene set enrichment analysis of transcripts from (B). (</w:t>
      </w:r>
      <w:r>
        <w:rPr>
          <w:bCs/>
          <w:b/>
        </w:rPr>
        <w:t xml:space="preserve">E</w:t>
      </w:r>
      <w:r>
        <w:t xml:space="preserve">) Transcription factor enrichment analysis suggests mechanisms for differential regulation of gene expression following hypoxia or BAY treatment. (</w:t>
      </w:r>
      <w:r>
        <w:rPr>
          <w:bCs/>
          <w:b/>
        </w:rPr>
        <w:t xml:space="preserve">F</w:t>
      </w:r>
      <w:r>
        <w:t xml:space="preserve">) Relative change in MYC protein levels after 72 h of treatment (n = 4) and a representative immunoblot. Comparisons were performed using a mixed-effects linear model with replicate as a random effect. Adjusted p-values for the indicated comparisons were determined using Tukey’s</w:t>
      </w:r>
      <w:r>
        <w:t xml:space="preserve"> </w:t>
      </w:r>
      <w:r>
        <w:rPr>
          <w:iCs/>
          <w:i/>
        </w:rPr>
        <w:t xml:space="preserve">post hoc</w:t>
      </w:r>
      <w:r>
        <w:t xml:space="preserve"> </w:t>
      </w:r>
      <w:r>
        <w:t xml:space="preserve">test. Black * indicate a significant effect of treatment, colored * indicate a significant effect of oxygen within a given treatment as indicated by the color.</w:t>
      </w:r>
    </w:p>
    <w:p>
      <w:r>
        <w:br w:type="page"/>
      </w:r>
    </w:p>
    <w:bookmarkEnd w:id="35"/>
    <w:bookmarkStart w:id="43" w:name="figures"/>
    <w:p>
      <w:pPr>
        <w:pStyle w:val="Heading1"/>
      </w:pPr>
      <w:r>
        <w:t xml:space="preserve">Figures</w:t>
      </w:r>
    </w:p>
    <w:p>
      <w:pPr>
        <w:pStyle w:val="CaptionedFigure"/>
      </w:pPr>
      <w:r>
        <w:drawing>
          <wp:inline>
            <wp:extent cx="5257800" cy="6616700"/>
            <wp:effectExtent b="0" l="0" r="0" t="0"/>
            <wp:docPr descr="Figure 1: Extracellular fluxes of lung fibroblasts in hypoxia. (A) Growth curves of lung fibroblasts (LFs) cultured in 21% and 0.5% oxygen (n = 8). (B) Growth rates were determined by linear fitting of log-transformed growth curves. (C) Cell viability, assessed by acridine orange plus propidium iodide staining, did not differ between 21% and 0.5% oxygen culture conditions (n = 3 technical replicates). (D) Representative immunoblot of LF protein lysates collected at the indicated times. (E, F) Relative change in HIF-1α (E) and LDHA (F) protein levels compared to 21% oxygen time 0 (n = 4). (G, H) Relative changes in GLUT1 (G) and LDHA (H) mRNA levels compared to 21% oxygen time 0 (n = 4). (I, J) Extracellular fluxes of the indicated metabolites (n = 8). Data are mean ± SEM. Comparisons were performed using Student’s paired t-test and p &lt; 0.05 indicated by *. Flux probability values were not corrected for multiple comparisons. Abbreviations as noted in the text." title="" id="1" name="Picture"/>
            <a:graphic>
              <a:graphicData uri="http://schemas.openxmlformats.org/drawingml/2006/picture">
                <pic:pic>
                  <pic:nvPicPr>
                    <pic:cNvPr descr="/Users/will/Dropbox%20(Partners%20HealthCare)/Copeland.2021.hypoxia.flux/inst/manuscript/figures/m1.pdf" id="0" name="Picture"/>
                    <pic:cNvPicPr>
                      <a:picLocks noChangeArrowheads="1" noChangeAspect="1"/>
                    </pic:cNvPicPr>
                  </pic:nvPicPr>
                  <pic:blipFill>
                    <a:blip r:embed="rId36"/>
                    <a:stretch>
                      <a:fillRect/>
                    </a:stretch>
                  </pic:blipFill>
                  <pic:spPr bwMode="auto">
                    <a:xfrm>
                      <a:off x="0" y="0"/>
                      <a:ext cx="5257800" cy="6616700"/>
                    </a:xfrm>
                    <a:prstGeom prst="rect">
                      <a:avLst/>
                    </a:prstGeom>
                    <a:noFill/>
                    <a:ln w="9525">
                      <a:noFill/>
                      <a:headEnd/>
                      <a:tailEnd/>
                    </a:ln>
                  </pic:spPr>
                </pic:pic>
              </a:graphicData>
            </a:graphic>
          </wp:inline>
        </w:drawing>
      </w:r>
    </w:p>
    <w:p>
      <w:pPr>
        <w:pStyle w:val="ImageCaption"/>
      </w:pPr>
      <w:r>
        <w:t xml:space="preserve">Figure 1:</w:t>
      </w:r>
      <w:r>
        <w:t xml:space="preserve"> </w:t>
      </w:r>
      <w:r>
        <w:rPr>
          <w:bCs/>
          <w:b/>
        </w:rPr>
        <w:t xml:space="preserve">Extracellular fluxes of lung fibroblasts in hypoxia.</w:t>
      </w:r>
      <w:r>
        <w:t xml:space="preserve"> </w:t>
      </w:r>
      <w:r>
        <w:t xml:space="preserve">(</w:t>
      </w:r>
      <w:r>
        <w:rPr>
          <w:bCs/>
          <w:b/>
        </w:rPr>
        <w:t xml:space="preserve">A</w:t>
      </w:r>
      <w:r>
        <w:t xml:space="preserve">) Growth curves of lung fibroblasts (LFs) cultured in 21% and 0.5% oxygen (n = 8). (</w:t>
      </w:r>
      <w:r>
        <w:rPr>
          <w:bCs/>
          <w:b/>
        </w:rPr>
        <w:t xml:space="preserve">B</w:t>
      </w:r>
      <w:r>
        <w:t xml:space="preserve">) Growth rates were determined by linear fitting of log-transformed growth curves. (</w:t>
      </w:r>
      <w:r>
        <w:rPr>
          <w:bCs/>
          <w:b/>
        </w:rPr>
        <w:t xml:space="preserve">C</w:t>
      </w:r>
      <w:r>
        <w:t xml:space="preserve">) Cell viability, assessed by acridine orange plus propidium iodide staining, did not differ between 21% and 0.5% oxygen culture conditions (n = 3 technical replicates). (</w:t>
      </w:r>
      <w:r>
        <w:rPr>
          <w:bCs/>
          <w:b/>
        </w:rPr>
        <w:t xml:space="preserve">D</w:t>
      </w:r>
      <w:r>
        <w:t xml:space="preserve">) Representative immunoblot of LF protein lysates collected at the indicated times. (</w:t>
      </w:r>
      <w:r>
        <w:rPr>
          <w:bCs/>
          <w:b/>
        </w:rPr>
        <w:t xml:space="preserve">E</w:t>
      </w:r>
      <w:r>
        <w:t xml:space="preserve">,</w:t>
      </w:r>
      <w:r>
        <w:t xml:space="preserve"> </w:t>
      </w:r>
      <w:r>
        <w:rPr>
          <w:bCs/>
          <w:b/>
        </w:rPr>
        <w:t xml:space="preserve">F</w:t>
      </w:r>
      <w:r>
        <w:t xml:space="preserve">) Relative change in HIF-1α (E) and LDHA (F) protein levels compared to 21% oxygen time 0 (n = 4). (</w:t>
      </w:r>
      <w:r>
        <w:rPr>
          <w:bCs/>
          <w:b/>
        </w:rPr>
        <w:t xml:space="preserve">G</w:t>
      </w:r>
      <w:r>
        <w:t xml:space="preserve">,</w:t>
      </w:r>
      <w:r>
        <w:t xml:space="preserve"> </w:t>
      </w:r>
      <w:r>
        <w:rPr>
          <w:bCs/>
          <w:b/>
        </w:rPr>
        <w:t xml:space="preserve">H</w:t>
      </w:r>
      <w:r>
        <w:t xml:space="preserve">) Relative changes in GLUT1 (G) and LDHA (H) mRNA levels compared to 21% oxygen time 0 (n = 4). (</w:t>
      </w:r>
      <w:r>
        <w:rPr>
          <w:bCs/>
          <w:b/>
        </w:rPr>
        <w:t xml:space="preserve">I</w:t>
      </w:r>
      <w:r>
        <w:t xml:space="preserve">,</w:t>
      </w:r>
      <w:r>
        <w:t xml:space="preserve"> </w:t>
      </w:r>
      <w:r>
        <w:rPr>
          <w:bCs/>
          <w:b/>
        </w:rPr>
        <w:t xml:space="preserve">J</w:t>
      </w:r>
      <w:r>
        <w:t xml:space="preserve">) Extracellular fluxes of the indicated metabolites (n = 8). Data are mean ± SEM. Comparisons were performed using Student’s paired</w:t>
      </w:r>
      <w:r>
        <w:t xml:space="preserve"> </w:t>
      </w:r>
      <w:r>
        <w:rPr>
          <w:iCs/>
          <w:i/>
        </w:rPr>
        <w:t xml:space="preserve">t</w:t>
      </w:r>
      <w:r>
        <w:t xml:space="preserve">-test and p &lt; 0.05 indicated by *. Flux probability values were not corrected for multiple comparisons. Abbreviations as noted in the text.</w:t>
      </w:r>
    </w:p>
    <w:p>
      <w:r>
        <w:br w:type="page"/>
      </w:r>
    </w:p>
    <w:p>
      <w:pPr>
        <w:pStyle w:val="CaptionedFigure"/>
      </w:pPr>
      <w:r>
        <w:drawing>
          <wp:inline>
            <wp:extent cx="5308600" cy="6629400"/>
            <wp:effectExtent b="0" l="0" r="0" t="0"/>
            <wp:docPr descr="Figure 2: Prolyl hydroxylase inhibition of lung fibroblasts in normoxia. (A) Growth curves of lung fibroblasts (LFs) cultured in 21% oxygen and treated with molidustat (BAY, 10 μM) or vehicle (DMSO, 0.1%) (n = 8). (B) Growth rates were determined by linear fitting of log-transformed growth curves. (C) Representative immunoblot of LF protein lysates collected at the indicated times. (D, E) Relative change in HIF-1α (D) and LDHA (E) protein levels compared to DMSO time 0. (F, G) Relative changes in GLUT1 (F) and LDHA (G) mRNA levels compared to DMSO time 0. (H, I) Extracellular fluxes of the indicated metabolites (n = 8). Data are mean ± SEM. Comparisons were performed using Student’s paired t-test and p &lt; 0.05 indicated by *. Flux probability values were not corrected for multiple comparisons. Abbreviations as noted in the text." title="" id="1" name="Picture"/>
            <a:graphic>
              <a:graphicData uri="http://schemas.openxmlformats.org/drawingml/2006/picture">
                <pic:pic>
                  <pic:nvPicPr>
                    <pic:cNvPr descr="/Users/will/Dropbox%20(Partners%20HealthCare)/Copeland.2021.hypoxia.flux/inst/manuscript/figures/m2.pdf" id="0" name="Picture"/>
                    <pic:cNvPicPr>
                      <a:picLocks noChangeArrowheads="1" noChangeAspect="1"/>
                    </pic:cNvPicPr>
                  </pic:nvPicPr>
                  <pic:blipFill>
                    <a:blip r:embed="rId37"/>
                    <a:stretch>
                      <a:fillRect/>
                    </a:stretch>
                  </pic:blipFill>
                  <pic:spPr bwMode="auto">
                    <a:xfrm>
                      <a:off x="0" y="0"/>
                      <a:ext cx="5308600" cy="6629400"/>
                    </a:xfrm>
                    <a:prstGeom prst="rect">
                      <a:avLst/>
                    </a:prstGeom>
                    <a:noFill/>
                    <a:ln w="9525">
                      <a:noFill/>
                      <a:headEnd/>
                      <a:tailEnd/>
                    </a:ln>
                  </pic:spPr>
                </pic:pic>
              </a:graphicData>
            </a:graphic>
          </wp:inline>
        </w:drawing>
      </w:r>
    </w:p>
    <w:p>
      <w:pPr>
        <w:pStyle w:val="ImageCaption"/>
      </w:pPr>
      <w:r>
        <w:t xml:space="preserve">Figure 2:</w:t>
      </w:r>
      <w:r>
        <w:t xml:space="preserve"> </w:t>
      </w:r>
      <w:r>
        <w:rPr>
          <w:bCs/>
          <w:b/>
        </w:rPr>
        <w:t xml:space="preserve">Prolyl hydroxylase inhibition of lung fibroblasts in normoxia.</w:t>
      </w:r>
      <w:r>
        <w:t xml:space="preserve"> </w:t>
      </w:r>
      <w:r>
        <w:t xml:space="preserve">(</w:t>
      </w:r>
      <w:r>
        <w:rPr>
          <w:bCs/>
          <w:b/>
        </w:rPr>
        <w:t xml:space="preserve">A</w:t>
      </w:r>
      <w:r>
        <w:t xml:space="preserve">) Growth curves of lung fibroblasts (LFs) cultured in 21% oxygen and treated with molidustat (BAY, 10 μM) or vehicle (DMSO, 0.1%) (n = 8). (</w:t>
      </w:r>
      <w:r>
        <w:rPr>
          <w:bCs/>
          <w:b/>
        </w:rPr>
        <w:t xml:space="preserve">B</w:t>
      </w:r>
      <w:r>
        <w:t xml:space="preserve">) Growth rates were determined by linear fitting of log-transformed growth curves. (</w:t>
      </w:r>
      <w:r>
        <w:rPr>
          <w:bCs/>
          <w:b/>
        </w:rPr>
        <w:t xml:space="preserve">C</w:t>
      </w:r>
      <w:r>
        <w:t xml:space="preserve">) Representative immunoblot of LF protein lysates collected at the indicated times. (</w:t>
      </w:r>
      <w:r>
        <w:rPr>
          <w:bCs/>
          <w:b/>
        </w:rPr>
        <w:t xml:space="preserve">D</w:t>
      </w:r>
      <w:r>
        <w:t xml:space="preserve">,</w:t>
      </w:r>
      <w:r>
        <w:t xml:space="preserve"> </w:t>
      </w:r>
      <w:r>
        <w:rPr>
          <w:bCs/>
          <w:b/>
        </w:rPr>
        <w:t xml:space="preserve">E</w:t>
      </w:r>
      <w:r>
        <w:t xml:space="preserve">) Relative change in HIF-1α (D) and LDHA (E) protein levels compared to DMSO time 0. (</w:t>
      </w:r>
      <w:r>
        <w:rPr>
          <w:bCs/>
          <w:b/>
        </w:rPr>
        <w:t xml:space="preserve">F</w:t>
      </w:r>
      <w:r>
        <w:t xml:space="preserve">,</w:t>
      </w:r>
      <w:r>
        <w:t xml:space="preserve"> </w:t>
      </w:r>
      <w:r>
        <w:rPr>
          <w:bCs/>
          <w:b/>
        </w:rPr>
        <w:t xml:space="preserve">G</w:t>
      </w:r>
      <w:r>
        <w:t xml:space="preserve">) Relative changes in GLUT1 (F) and LDHA (G) mRNA levels compared to DMSO time 0. (</w:t>
      </w:r>
      <w:r>
        <w:rPr>
          <w:bCs/>
          <w:b/>
        </w:rPr>
        <w:t xml:space="preserve">H</w:t>
      </w:r>
      <w:r>
        <w:t xml:space="preserve">,</w:t>
      </w:r>
      <w:r>
        <w:t xml:space="preserve"> </w:t>
      </w:r>
      <w:r>
        <w:rPr>
          <w:bCs/>
          <w:b/>
        </w:rPr>
        <w:t xml:space="preserve">I</w:t>
      </w:r>
      <w:r>
        <w:t xml:space="preserve">) Extracellular fluxes of the indicated metabolites (n = 8). Data are mean ± SEM. Comparisons were performed using Student’s paired</w:t>
      </w:r>
      <w:r>
        <w:t xml:space="preserve"> </w:t>
      </w:r>
      <w:r>
        <w:rPr>
          <w:iCs/>
          <w:i/>
        </w:rPr>
        <w:t xml:space="preserve">t</w:t>
      </w:r>
      <w:r>
        <w:t xml:space="preserve">-test and p &lt; 0.05 indicated by *. Flux probability values were not corrected for multiple comparisons. Abbreviations as noted in the text.</w:t>
      </w:r>
    </w:p>
    <w:p>
      <w:r>
        <w:br w:type="page"/>
      </w:r>
    </w:p>
    <w:p>
      <w:pPr>
        <w:pStyle w:val="CaptionedFigure"/>
      </w:pPr>
      <w:r>
        <w:drawing>
          <wp:inline>
            <wp:extent cx="5270500" cy="4648200"/>
            <wp:effectExtent b="0" l="0" r="0" t="0"/>
            <wp:docPr descr="Figure 3: Stable isotope tracing of lung fibroblasts. (A) Fraction of pyruvate labeling following treatment of lung fibroblasts (LFs) with [U-13C6] glucose. (B) Rate values determined from asymptotic regression fit of the data from (A). (C) Isotopic labeling of key intracellular metabolites after 72 h of treatment with the indicated tracers. Data are the mean ± SEM of 4 biological replicates. FBP, fructose bisphosphate; 3PG, 3-phosphoglycerate; AKG, α-ketoglutarate." title="" id="1" name="Picture"/>
            <a:graphic>
              <a:graphicData uri="http://schemas.openxmlformats.org/drawingml/2006/picture">
                <pic:pic>
                  <pic:nvPicPr>
                    <pic:cNvPr descr="/Users/will/Dropbox%20(Partners%20HealthCare)/Copeland.2021.hypoxia.flux/inst/manuscript/figures/m3.pdf" id="0" name="Picture"/>
                    <pic:cNvPicPr>
                      <a:picLocks noChangeArrowheads="1" noChangeAspect="1"/>
                    </pic:cNvPicPr>
                  </pic:nvPicPr>
                  <pic:blipFill>
                    <a:blip r:embed="rId38"/>
                    <a:stretch>
                      <a:fillRect/>
                    </a:stretch>
                  </pic:blipFill>
                  <pic:spPr bwMode="auto">
                    <a:xfrm>
                      <a:off x="0" y="0"/>
                      <a:ext cx="5270500" cy="4648200"/>
                    </a:xfrm>
                    <a:prstGeom prst="rect">
                      <a:avLst/>
                    </a:prstGeom>
                    <a:noFill/>
                    <a:ln w="9525">
                      <a:noFill/>
                      <a:headEnd/>
                      <a:tailEnd/>
                    </a:ln>
                  </pic:spPr>
                </pic:pic>
              </a:graphicData>
            </a:graphic>
          </wp:inline>
        </w:drawing>
      </w:r>
    </w:p>
    <w:p>
      <w:pPr>
        <w:pStyle w:val="ImageCaption"/>
      </w:pPr>
      <w:r>
        <w:t xml:space="preserve">Figure 3:</w:t>
      </w:r>
      <w:r>
        <w:t xml:space="preserve"> </w:t>
      </w:r>
      <w:r>
        <w:rPr>
          <w:bCs/>
          <w:b/>
        </w:rPr>
        <w:t xml:space="preserve">Stable isotope tracing of lung fibroblasts.</w:t>
      </w:r>
      <w:r>
        <w:t xml:space="preserve"> </w:t>
      </w:r>
      <w:r>
        <w:t xml:space="preserve">(</w:t>
      </w:r>
      <w:r>
        <w:rPr>
          <w:bCs/>
          <w:b/>
        </w:rPr>
        <w:t xml:space="preserve">A</w:t>
      </w:r>
      <w:r>
        <w:t xml:space="preserve">) Fraction of pyruvate labeling following treatment of lung fibroblasts (LFs) with [U-</w:t>
      </w:r>
      <w:r>
        <w:rPr>
          <w:vertAlign w:val="superscript"/>
        </w:rPr>
        <w:t xml:space="preserve">13</w:t>
      </w:r>
      <w:r>
        <w:t xml:space="preserve">C</w:t>
      </w:r>
      <w:r>
        <w:rPr>
          <w:vertAlign w:val="subscript"/>
        </w:rPr>
        <w:t xml:space="preserve">6</w:t>
      </w:r>
      <w:r>
        <w:t xml:space="preserve">] glucose. (</w:t>
      </w:r>
      <w:r>
        <w:rPr>
          <w:bCs/>
          <w:b/>
        </w:rPr>
        <w:t xml:space="preserve">B</w:t>
      </w:r>
      <w:r>
        <w:t xml:space="preserve">) Rate values determined from asymptotic regression fit of the data from (A). (</w:t>
      </w:r>
      <w:r>
        <w:rPr>
          <w:bCs/>
          <w:b/>
        </w:rPr>
        <w:t xml:space="preserve">C</w:t>
      </w:r>
      <w:r>
        <w:t xml:space="preserve">) Isotopic labeling of key intracellular metabolites after 72 h of treatment with the indicated tracers. Data are the mean ± SEM of 4 biological replicates. FBP, fructose bisphosphate; 3PG, 3-phosphoglycerate; AKG, α-ketoglutarate.</w:t>
      </w:r>
    </w:p>
    <w:p>
      <w:r>
        <w:br w:type="page"/>
      </w:r>
    </w:p>
    <w:p>
      <w:pPr>
        <w:pStyle w:val="CaptionedFigure"/>
      </w:pPr>
      <w:r>
        <w:drawing>
          <wp:inline>
            <wp:extent cx="6400800" cy="3393045"/>
            <wp:effectExtent b="0" l="0" r="0" t="0"/>
            <wp:docPr descr="Figure 4: Metabolic flux maps of lung fibroblasts. (A) Ratio of metabolic fluxes in 0.5% oxygen compared to 21% oxygen. (B) Ratio of metabolic fluxes in cells treated with molidustat (BAY) compared to DMSO vehicle control. Fluxes with non-overlapping confidence intervals are highlighted to indicate significant changes. Arrow weight corresponds to absolute flux in hypoxia- or BAY-treated cells." title="" id="1" name="Picture"/>
            <a:graphic>
              <a:graphicData uri="http://schemas.openxmlformats.org/drawingml/2006/picture">
                <pic:pic>
                  <pic:nvPicPr>
                    <pic:cNvPr descr="/Users/will/Dropbox%20(Partners%20HealthCare)/Copeland.2021.hypoxia.flux/inst/manuscript/figures/m4.pdf" id="0" name="Picture"/>
                    <pic:cNvPicPr>
                      <a:picLocks noChangeArrowheads="1" noChangeAspect="1"/>
                    </pic:cNvPicPr>
                  </pic:nvPicPr>
                  <pic:blipFill>
                    <a:blip r:embed="rId39"/>
                    <a:stretch>
                      <a:fillRect/>
                    </a:stretch>
                  </pic:blipFill>
                  <pic:spPr bwMode="auto">
                    <a:xfrm>
                      <a:off x="0" y="0"/>
                      <a:ext cx="6400800" cy="3393045"/>
                    </a:xfrm>
                    <a:prstGeom prst="rect">
                      <a:avLst/>
                    </a:prstGeom>
                    <a:noFill/>
                    <a:ln w="9525">
                      <a:noFill/>
                      <a:headEnd/>
                      <a:tailEnd/>
                    </a:ln>
                  </pic:spPr>
                </pic:pic>
              </a:graphicData>
            </a:graphic>
          </wp:inline>
        </w:drawing>
      </w:r>
    </w:p>
    <w:p>
      <w:pPr>
        <w:pStyle w:val="ImageCaption"/>
      </w:pPr>
      <w:r>
        <w:t xml:space="preserve">Figure 4:</w:t>
      </w:r>
      <w:r>
        <w:t xml:space="preserve"> </w:t>
      </w:r>
      <w:r>
        <w:rPr>
          <w:bCs/>
          <w:b/>
        </w:rPr>
        <w:t xml:space="preserve">Metabolic flux maps of lung fibroblasts.</w:t>
      </w:r>
      <w:r>
        <w:t xml:space="preserve"> </w:t>
      </w:r>
      <w:r>
        <w:t xml:space="preserve">(</w:t>
      </w:r>
      <w:r>
        <w:rPr>
          <w:bCs/>
          <w:b/>
        </w:rPr>
        <w:t xml:space="preserve">A</w:t>
      </w:r>
      <w:r>
        <w:t xml:space="preserve">) Ratio of metabolic fluxes in 0.5% oxygen compared to 21% oxygen. (</w:t>
      </w:r>
      <w:r>
        <w:rPr>
          <w:bCs/>
          <w:b/>
        </w:rPr>
        <w:t xml:space="preserve">B</w:t>
      </w:r>
      <w:r>
        <w:t xml:space="preserve">) Ratio of metabolic fluxes in cells treated with molidustat (BAY) compared to DMSO vehicle control. Fluxes with non-overlapping confidence intervals are highlighted to indicate significant changes. Arrow weight corresponds to absolute flux in hypoxia- or BAY-treated cells.</w:t>
      </w:r>
    </w:p>
    <w:p>
      <w:r>
        <w:br w:type="page"/>
      </w:r>
    </w:p>
    <w:p>
      <w:pPr>
        <w:pStyle w:val="CaptionedFigure"/>
      </w:pPr>
      <w:r>
        <w:drawing>
          <wp:inline>
            <wp:extent cx="4521200" cy="2730500"/>
            <wp:effectExtent b="0" l="0" r="0" t="0"/>
            <wp:docPr descr="Figure 5: PHD inhibition increases lactate uptake and oxidation. Mass isotopomer distributions of key metabolites following labeling with [U-13C3] lactate (2 mM) for 72 h indicates increased lactate uptake and oxidation in hypoxia or with molidustat (BAY) treatment." title="" id="1" name="Picture"/>
            <a:graphic>
              <a:graphicData uri="http://schemas.openxmlformats.org/drawingml/2006/picture">
                <pic:pic>
                  <pic:nvPicPr>
                    <pic:cNvPr descr="/Users/will/Dropbox%20(Partners%20HealthCare)/Copeland.2021.hypoxia.flux/inst/manuscript/figures/m5.pdf" id="0" name="Picture"/>
                    <pic:cNvPicPr>
                      <a:picLocks noChangeArrowheads="1" noChangeAspect="1"/>
                    </pic:cNvPicPr>
                  </pic:nvPicPr>
                  <pic:blipFill>
                    <a:blip r:embed="rId40"/>
                    <a:stretch>
                      <a:fillRect/>
                    </a:stretch>
                  </pic:blipFill>
                  <pic:spPr bwMode="auto">
                    <a:xfrm>
                      <a:off x="0" y="0"/>
                      <a:ext cx="4521200" cy="2730500"/>
                    </a:xfrm>
                    <a:prstGeom prst="rect">
                      <a:avLst/>
                    </a:prstGeom>
                    <a:noFill/>
                    <a:ln w="9525">
                      <a:noFill/>
                      <a:headEnd/>
                      <a:tailEnd/>
                    </a:ln>
                  </pic:spPr>
                </pic:pic>
              </a:graphicData>
            </a:graphic>
          </wp:inline>
        </w:drawing>
      </w:r>
    </w:p>
    <w:p>
      <w:pPr>
        <w:pStyle w:val="ImageCaption"/>
      </w:pPr>
      <w:r>
        <w:t xml:space="preserve">Figure 5:</w:t>
      </w:r>
      <w:r>
        <w:t xml:space="preserve"> </w:t>
      </w:r>
      <w:r>
        <w:rPr>
          <w:bCs/>
          <w:b/>
        </w:rPr>
        <w:t xml:space="preserve">PHD inhibition increases lactate uptake and oxidation.</w:t>
      </w:r>
      <w:r>
        <w:t xml:space="preserve"> </w:t>
      </w:r>
      <w:r>
        <w:t xml:space="preserve">Mass isotopomer distributions of key metabolites following labeling with [U-</w:t>
      </w:r>
      <w:r>
        <w:rPr>
          <w:vertAlign w:val="superscript"/>
        </w:rPr>
        <w:t xml:space="preserve">13</w:t>
      </w:r>
      <w:r>
        <w:t xml:space="preserve">C</w:t>
      </w:r>
      <w:r>
        <w:rPr>
          <w:vertAlign w:val="subscript"/>
        </w:rPr>
        <w:t xml:space="preserve">3</w:t>
      </w:r>
      <w:r>
        <w:t xml:space="preserve">] lactate (2 mM) for 72 h indicates increased lactate uptake and oxidation in hypoxia or with molidustat (BAY) treatment.</w:t>
      </w:r>
    </w:p>
    <w:p>
      <w:r>
        <w:br w:type="page"/>
      </w:r>
    </w:p>
    <w:p>
      <w:pPr>
        <w:pStyle w:val="CaptionedFigure"/>
      </w:pPr>
      <w:r>
        <w:drawing>
          <wp:inline>
            <wp:extent cx="5118100" cy="8470900"/>
            <wp:effectExtent b="0" l="0" r="0" t="0"/>
            <wp:docPr descr="Figure 6: Metabolomic analysis of molidustat treamtent in normoxia and hypoxia. (A-C) Hypoxia inhibits the effects of HIF-1α stabilization on glycolysis. Lung fibroblasts (LFs) were cultured in standard growth medium and treated with molidustat (BAY, 10 μM) or vehicle (DMSO, 0.1%) in 21% or 0.5% oxygen conditions (n = 4). (A) Growth rates were determined by linear fitting of log-transformed growth curves. (B-C) Extracellular fluxes of glucose (B) and lactate (C). (D) Principle components analysis of intracellular metabolites following 72 h of treatment described above suggests a dominant effect of hypoxia over PHD inhibition on the metabolome (n = 4). (E) Volcano plot of the differential effects of hypoxia and molidustat (BAY) treatment on intracellular metabolites. (F) Representative metabolites from (E) reveal different patterns of metabolic effects. (G) Metabolite set enrichment analysis of metabolites from (E). KEGG pathways with unadjusted p-values &lt; 0.05 are shown. (H) Leading edge analysis of the most enriched KEGG metabolite set from (G). Negative values indicate relative enrichment associated with BAY treatment compared to hypoxia treatment (as in (E)). Abbreviations: PYR, pyruvate; SUC, succinate; PEP, phosphoenolpyruvate; CIT, citrate; AKG, α-ketoglutarate; MAL, malate; ACO, aconitate; FUM, fumarate. (I-K) Intracellular NAD+, NADH, and their ratio were determined by enzymatic assay (n = 5). Black * indicate a significant effect of hypoxia, colored * indicate a significant effect of treatment within a given oxygen tension as indicated by the color. Comparisons for fluxes (A-C) and NAD(H) measurements (I-K) were performed using a mixed-effects linear model with replicate as a random effect. Adjusted p-values for the indicated comparisons were determined using Tukey’s post hoc test." title="" id="1" name="Picture"/>
            <a:graphic>
              <a:graphicData uri="http://schemas.openxmlformats.org/drawingml/2006/picture">
                <pic:pic>
                  <pic:nvPicPr>
                    <pic:cNvPr descr="/Users/will/Dropbox%20(Partners%20HealthCare)/Copeland.2021.hypoxia.flux/inst/manuscript/figures/m6.pdf" id="0" name="Picture"/>
                    <pic:cNvPicPr>
                      <a:picLocks noChangeArrowheads="1" noChangeAspect="1"/>
                    </pic:cNvPicPr>
                  </pic:nvPicPr>
                  <pic:blipFill>
                    <a:blip r:embed="rId41"/>
                    <a:stretch>
                      <a:fillRect/>
                    </a:stretch>
                  </pic:blipFill>
                  <pic:spPr bwMode="auto">
                    <a:xfrm>
                      <a:off x="0" y="0"/>
                      <a:ext cx="5118100" cy="8470900"/>
                    </a:xfrm>
                    <a:prstGeom prst="rect">
                      <a:avLst/>
                    </a:prstGeom>
                    <a:noFill/>
                    <a:ln w="9525">
                      <a:noFill/>
                      <a:headEnd/>
                      <a:tailEnd/>
                    </a:ln>
                  </pic:spPr>
                </pic:pic>
              </a:graphicData>
            </a:graphic>
          </wp:inline>
        </w:drawing>
      </w:r>
    </w:p>
    <w:p>
      <w:pPr>
        <w:pStyle w:val="ImageCaption"/>
      </w:pPr>
      <w:r>
        <w:t xml:space="preserve">Figure 6:</w:t>
      </w:r>
      <w:r>
        <w:t xml:space="preserve"> </w:t>
      </w:r>
      <w:r>
        <w:rPr>
          <w:bCs/>
          <w:b/>
        </w:rPr>
        <w:t xml:space="preserve">Metabolomic analysis of molidustat treamtent in normoxia and hypoxia.</w:t>
      </w:r>
      <w:r>
        <w:t xml:space="preserve"> </w:t>
      </w:r>
      <w:r>
        <w:t xml:space="preserve">(</w:t>
      </w:r>
      <w:r>
        <w:rPr>
          <w:bCs/>
          <w:b/>
        </w:rPr>
        <w:t xml:space="preserve">A</w:t>
      </w:r>
      <w:r>
        <w:t xml:space="preserve">-</w:t>
      </w:r>
      <w:r>
        <w:rPr>
          <w:bCs/>
          <w:b/>
        </w:rPr>
        <w:t xml:space="preserve">C</w:t>
      </w:r>
      <w:r>
        <w:t xml:space="preserve">) Hypoxia inhibits the effects of HIF-1α stabilization on glycolysis. Lung fibroblasts (LFs) were cultured in standard growth medium and treated with molidustat (BAY, 10 μM) or vehicle (DMSO, 0.1%) in 21% or 0.5% oxygen conditions (n = 4). (A) Growth rates were determined by linear fitting of log-transformed growth curves. (</w:t>
      </w:r>
      <w:r>
        <w:rPr>
          <w:bCs/>
          <w:b/>
        </w:rPr>
        <w:t xml:space="preserve">B</w:t>
      </w:r>
      <w:r>
        <w:t xml:space="preserve">-</w:t>
      </w:r>
      <w:r>
        <w:rPr>
          <w:bCs/>
          <w:b/>
        </w:rPr>
        <w:t xml:space="preserve">C</w:t>
      </w:r>
      <w:r>
        <w:t xml:space="preserve">) Extracellular fluxes of glucose (B) and lactate (C). (</w:t>
      </w:r>
      <w:r>
        <w:rPr>
          <w:bCs/>
          <w:b/>
        </w:rPr>
        <w:t xml:space="preserve">D</w:t>
      </w:r>
      <w:r>
        <w:t xml:space="preserve">) Principle components analysis of intracellular metabolites following 72 h of treatment described above suggests a dominant effect of hypoxia over PHD inhibition on the metabolome (n = 4). (</w:t>
      </w:r>
      <w:r>
        <w:rPr>
          <w:bCs/>
          <w:b/>
        </w:rPr>
        <w:t xml:space="preserve">E</w:t>
      </w:r>
      <w:r>
        <w:t xml:space="preserve">) Volcano plot of the differential effects of hypoxia and molidustat (BAY) treatment on intracellular metabolites. (</w:t>
      </w:r>
      <w:r>
        <w:rPr>
          <w:bCs/>
          <w:b/>
        </w:rPr>
        <w:t xml:space="preserve">F</w:t>
      </w:r>
      <w:r>
        <w:t xml:space="preserve">) Representative metabolites from (E) reveal different patterns of metabolic effects. (</w:t>
      </w:r>
      <w:r>
        <w:rPr>
          <w:bCs/>
          <w:b/>
        </w:rPr>
        <w:t xml:space="preserve">G</w:t>
      </w:r>
      <w:r>
        <w:t xml:space="preserve">) Metabolite set enrichment analysis of metabolites from (E). KEGG pathways with unadjusted p-values &lt; 0.05 are shown. (</w:t>
      </w:r>
      <w:r>
        <w:rPr>
          <w:bCs/>
          <w:b/>
        </w:rPr>
        <w:t xml:space="preserve">H</w:t>
      </w:r>
      <w:r>
        <w:t xml:space="preserve">) Leading edge analysis of the most enriched KEGG metabolite set from (G). Negative values indicate relative enrichment associated with BAY treatment compared to hypoxia treatment (as in (E)). Abbreviations: PYR, pyruvate; SUC, succinate; PEP, phosphoenolpyruvate; CIT, citrate; AKG, α-ketoglutarate; MAL, malate; ACO, aconitate; FUM, fumarate. (</w:t>
      </w:r>
      <w:r>
        <w:rPr>
          <w:bCs/>
          <w:b/>
        </w:rPr>
        <w:t xml:space="preserve">I</w:t>
      </w:r>
      <w:r>
        <w:t xml:space="preserve">-</w:t>
      </w:r>
      <w:r>
        <w:rPr>
          <w:bCs/>
          <w:b/>
        </w:rPr>
        <w:t xml:space="preserve">K</w:t>
      </w:r>
      <w:r>
        <w:t xml:space="preserve">) Intracellular NAD</w:t>
      </w:r>
      <w:r>
        <w:rPr>
          <w:vertAlign w:val="superscript"/>
        </w:rPr>
        <w:t xml:space="preserve">+</w:t>
      </w:r>
      <w:r>
        <w:t xml:space="preserve">, NADH, and their ratio were determined by enzymatic assay (n = 5). Black * indicate a significant effect of hypoxia, colored * indicate a significant effect of treatment within a given oxygen tension as indicated by the color. Comparisons for fluxes (A-C) and NAD(H) measurements (I-K) were performed using a mixed-effects linear model with replicate as a random effect. Adjusted p-values for the indicated comparisons were determined using Tukey’s</w:t>
      </w:r>
      <w:r>
        <w:t xml:space="preserve"> </w:t>
      </w:r>
      <w:r>
        <w:rPr>
          <w:iCs/>
          <w:i/>
        </w:rPr>
        <w:t xml:space="preserve">post hoc</w:t>
      </w:r>
      <w:r>
        <w:t xml:space="preserve"> </w:t>
      </w:r>
      <w:r>
        <w:t xml:space="preserve">test.</w:t>
      </w:r>
    </w:p>
    <w:p>
      <w:r>
        <w:br w:type="page"/>
      </w:r>
    </w:p>
    <w:p>
      <w:pPr>
        <w:pStyle w:val="CaptionedFigure"/>
      </w:pPr>
      <w:r>
        <w:drawing>
          <wp:inline>
            <wp:extent cx="6324600" cy="5334000"/>
            <wp:effectExtent b="0" l="0" r="0" t="0"/>
            <wp:docPr descr="Figure 7: Transcriptomic analysis of molidustat treamtent in normoxia and hypoxia. (A) Principle components analysis of transcriptional changes following 72 h of treatment with 0.5% oxygen or molidustat (BAY), separately or together (n = 4). (B) Volcano plot of the differential effects of hypoxia and molidustat (BAY) treatment on intracellular metabolites. (C) Representative transcripts from (B). (D) Gene set enrichment analysis of transcripts from (B). (E) Transcription factor enrichment analysis suggests mechanisms for differential regulation of gene expression following hypoxia or BAY treatment. (F) Relative change in MYC protein levels after 72 h of treatment (n = 4) and a representative immunoblot. Comparisons were performed using a mixed-effects linear model with replicate as a random effect. Adjusted p-values for the indicated comparisons were determined using Tukey’s post hoc test. Black * indicate a significant effect of treatment, colored * indicate a significant effect of oxygen within a given treatment as indicated by the color." title="" id="1" name="Picture"/>
            <a:graphic>
              <a:graphicData uri="http://schemas.openxmlformats.org/drawingml/2006/picture">
                <pic:pic>
                  <pic:nvPicPr>
                    <pic:cNvPr descr="/Users/will/Dropbox%20(Partners%20HealthCare)/Copeland.2021.hypoxia.flux/inst/manuscript/figures/m7.pdf" id="0" name="Picture"/>
                    <pic:cNvPicPr>
                      <a:picLocks noChangeArrowheads="1" noChangeAspect="1"/>
                    </pic:cNvPicPr>
                  </pic:nvPicPr>
                  <pic:blipFill>
                    <a:blip r:embed="rId42"/>
                    <a:stretch>
                      <a:fillRect/>
                    </a:stretch>
                  </pic:blipFill>
                  <pic:spPr bwMode="auto">
                    <a:xfrm>
                      <a:off x="0" y="0"/>
                      <a:ext cx="6324600" cy="5334000"/>
                    </a:xfrm>
                    <a:prstGeom prst="rect">
                      <a:avLst/>
                    </a:prstGeom>
                    <a:noFill/>
                    <a:ln w="9525">
                      <a:noFill/>
                      <a:headEnd/>
                      <a:tailEnd/>
                    </a:ln>
                  </pic:spPr>
                </pic:pic>
              </a:graphicData>
            </a:graphic>
          </wp:inline>
        </w:drawing>
      </w:r>
    </w:p>
    <w:p>
      <w:pPr>
        <w:pStyle w:val="ImageCaption"/>
      </w:pPr>
      <w:r>
        <w:t xml:space="preserve">Figure 7:</w:t>
      </w:r>
      <w:r>
        <w:t xml:space="preserve"> </w:t>
      </w:r>
      <w:r>
        <w:rPr>
          <w:bCs/>
          <w:b/>
        </w:rPr>
        <w:t xml:space="preserve">Transcriptomic analysis of molidustat treamtent in normoxia and hypoxia.</w:t>
      </w:r>
      <w:r>
        <w:t xml:space="preserve"> </w:t>
      </w:r>
      <w:r>
        <w:t xml:space="preserve">(</w:t>
      </w:r>
      <w:r>
        <w:rPr>
          <w:bCs/>
          <w:b/>
        </w:rPr>
        <w:t xml:space="preserve">A</w:t>
      </w:r>
      <w:r>
        <w:t xml:space="preserve">) Principle components analysis of transcriptional changes following 72 h of treatment with 0.5% oxygen or molidustat (BAY), separately or together (n = 4). (</w:t>
      </w:r>
      <w:r>
        <w:rPr>
          <w:bCs/>
          <w:b/>
        </w:rPr>
        <w:t xml:space="preserve">B</w:t>
      </w:r>
      <w:r>
        <w:t xml:space="preserve">) Volcano plot of the differential effects of hypoxia and molidustat (BAY) treatment on intracellular metabolites. (</w:t>
      </w:r>
      <w:r>
        <w:rPr>
          <w:bCs/>
          <w:b/>
        </w:rPr>
        <w:t xml:space="preserve">C</w:t>
      </w:r>
      <w:r>
        <w:t xml:space="preserve">) Representative transcripts from (B). (</w:t>
      </w:r>
      <w:r>
        <w:rPr>
          <w:bCs/>
          <w:b/>
        </w:rPr>
        <w:t xml:space="preserve">D</w:t>
      </w:r>
      <w:r>
        <w:t xml:space="preserve">) Gene set enrichment analysis of transcripts from (B). (</w:t>
      </w:r>
      <w:r>
        <w:rPr>
          <w:bCs/>
          <w:b/>
        </w:rPr>
        <w:t xml:space="preserve">E</w:t>
      </w:r>
      <w:r>
        <w:t xml:space="preserve">) Transcription factor enrichment analysis suggests mechanisms for differential regulation of gene expression following hypoxia or BAY treatment. (</w:t>
      </w:r>
      <w:r>
        <w:rPr>
          <w:bCs/>
          <w:b/>
        </w:rPr>
        <w:t xml:space="preserve">F</w:t>
      </w:r>
      <w:r>
        <w:t xml:space="preserve">) Relative change in MYC protein levels after 72 h of treatment (n = 4) and a representative immunoblot. Comparisons were performed using a mixed-effects linear model with replicate as a random effect. Adjusted p-values for the indicated comparisons were determined using Tukey’s</w:t>
      </w:r>
      <w:r>
        <w:t xml:space="preserve"> </w:t>
      </w:r>
      <w:r>
        <w:rPr>
          <w:iCs/>
          <w:i/>
        </w:rPr>
        <w:t xml:space="preserve">post hoc</w:t>
      </w:r>
      <w:r>
        <w:t xml:space="preserve"> </w:t>
      </w:r>
      <w:r>
        <w:t xml:space="preserve">test. Black * indicate a significant effect of treatment, colored * indicate a significant effect of oxygen within a given treatment as indicated by the color.</w:t>
      </w:r>
    </w:p>
    <w:p>
      <w:r>
        <w:br w:type="page"/>
      </w:r>
    </w:p>
    <w:bookmarkEnd w:id="43"/>
    <w:bookmarkStart w:id="75" w:name="star-methods"/>
    <w:p>
      <w:pPr>
        <w:pStyle w:val="Heading1"/>
      </w:pPr>
      <w:r>
        <w:t xml:space="preserve">STAR Methods</w:t>
      </w:r>
    </w:p>
    <w:bookmarkStart w:id="48" w:name="resource-availability"/>
    <w:p>
      <w:pPr>
        <w:pStyle w:val="Heading2"/>
      </w:pPr>
      <w:r>
        <w:t xml:space="preserve">Resource Availability</w:t>
      </w:r>
    </w:p>
    <w:bookmarkStart w:id="44" w:name="lead-contact"/>
    <w:p>
      <w:pPr>
        <w:pStyle w:val="Heading3"/>
      </w:pPr>
      <w:r>
        <w:t xml:space="preserve">Lead Contact</w:t>
      </w:r>
    </w:p>
    <w:p>
      <w:pPr>
        <w:pStyle w:val="FirstParagraph"/>
      </w:pPr>
      <w:r>
        <w:t xml:space="preserve">Further information and requests for resources and reagents should be directed to and will be fulfilled by the lead contact, William Oldham (</w:t>
      </w:r>
      <w:hyperlink r:id="rId20">
        <w:r>
          <w:rPr>
            <w:rStyle w:val="Hyperlink"/>
          </w:rPr>
          <w:t xml:space="preserve">woldham@bwh.harvard.edu</w:t>
        </w:r>
      </w:hyperlink>
      <w:r>
        <w:t xml:space="preserve">).</w:t>
      </w:r>
    </w:p>
    <w:bookmarkEnd w:id="44"/>
    <w:bookmarkStart w:id="45" w:name="materials-availability"/>
    <w:p>
      <w:pPr>
        <w:pStyle w:val="Heading3"/>
      </w:pPr>
      <w:r>
        <w:t xml:space="preserve">Materials Availability</w:t>
      </w:r>
    </w:p>
    <w:p>
      <w:pPr>
        <w:pStyle w:val="FirstParagraph"/>
      </w:pPr>
      <w:r>
        <w:t xml:space="preserve">This study did not generate new unique reagents.</w:t>
      </w:r>
    </w:p>
    <w:bookmarkEnd w:id="45"/>
    <w:bookmarkStart w:id="47" w:name="data-and-code-availability"/>
    <w:p>
      <w:pPr>
        <w:pStyle w:val="Heading3"/>
      </w:pPr>
      <w:r>
        <w:t xml:space="preserve">Data and code availability</w:t>
      </w:r>
    </w:p>
    <w:p>
      <w:pPr>
        <w:pStyle w:val="FirstParagraph"/>
      </w:pPr>
      <w:r>
        <w:t xml:space="preserve">The original data and analysis code are available as a reproducible research compendium formatted as an R package available at OldhamLab/Copeland.2021.hypoxia.flux (</w:t>
      </w:r>
      <w:hyperlink r:id="rId46">
        <w:r>
          <w:rPr>
            <w:rStyle w:val="Hyperlink"/>
          </w:rPr>
          <w:t xml:space="preserve">https://github.com/oldhamlab/Copeland.2021.hypoxia.flux</w:t>
        </w:r>
      </w:hyperlink>
      <w:r>
        <w:t xml:space="preserve">). RNA-seq data has been deposited in the NIH Short Read Archive (PRJNA721596).</w:t>
      </w:r>
    </w:p>
    <w:bookmarkEnd w:id="47"/>
    <w:bookmarkEnd w:id="48"/>
    <w:bookmarkStart w:id="51" w:name="experimental-model-details"/>
    <w:p>
      <w:pPr>
        <w:pStyle w:val="Heading2"/>
      </w:pPr>
      <w:r>
        <w:t xml:space="preserve">Experimental Model Details</w:t>
      </w:r>
    </w:p>
    <w:bookmarkStart w:id="49" w:name="lung-fibrolbasts"/>
    <w:p>
      <w:pPr>
        <w:pStyle w:val="Heading3"/>
      </w:pPr>
      <w:r>
        <w:t xml:space="preserve">Lung fibrolbasts</w:t>
      </w:r>
    </w:p>
    <w:p>
      <w:pPr>
        <w:pStyle w:val="FirstParagraph"/>
      </w:pPr>
      <w:r>
        <w:t xml:space="preserve">Primary normal human lung fibroblasts (LFs) were purchased from Lonza (CC-2512) and cultured in FGM-2 (Lonza CC-3132) in a standard tissue culture incubator in 5% CO</w:t>
      </w:r>
      <w:r>
        <w:rPr>
          <w:vertAlign w:val="subscript"/>
        </w:rPr>
        <w:t xml:space="preserve">2</w:t>
      </w:r>
      <w:r>
        <w:t xml:space="preserve"> </w:t>
      </w:r>
      <w:r>
        <w:t xml:space="preserve">at 37 °C. Cells from two donors were used in these studies: #33652 (56 y.o., male) and #29132 (19 y.o., female). Cell authentication was performed by the vendor.</w:t>
      </w:r>
    </w:p>
    <w:bookmarkEnd w:id="49"/>
    <w:bookmarkStart w:id="50" w:name="pulmonary-artery-smooth-muscle-cells"/>
    <w:p>
      <w:pPr>
        <w:pStyle w:val="Heading3"/>
      </w:pPr>
      <w:r>
        <w:t xml:space="preserve">Pulmonary artery smooth muscle cells</w:t>
      </w:r>
    </w:p>
    <w:p>
      <w:pPr>
        <w:pStyle w:val="FirstParagraph"/>
      </w:pPr>
      <w:r>
        <w:t xml:space="preserve">Primary human pulmonary artery smooth muscle cells were purchased from Lonza (CC-2581) and cultured in SmGM-2 (Lonza CC-3182) in a standard tissue culture incubator in 5% CO</w:t>
      </w:r>
      <w:r>
        <w:rPr>
          <w:vertAlign w:val="subscript"/>
        </w:rPr>
        <w:t xml:space="preserve">2</w:t>
      </w:r>
      <w:r>
        <w:t xml:space="preserve"> </w:t>
      </w:r>
      <w:r>
        <w:t xml:space="preserve">at 37 °C. Cells from multiple donors were used in these studies: #30020 (64 y.o., male), #27662 (35 y.o., male), #26698 (51 y.o., male), and #19828 (51 y.o., male). Cell authentication was performed by the vendor.</w:t>
      </w:r>
    </w:p>
    <w:bookmarkEnd w:id="50"/>
    <w:bookmarkEnd w:id="51"/>
    <w:bookmarkStart w:id="72" w:name="method-details"/>
    <w:p>
      <w:pPr>
        <w:pStyle w:val="Heading2"/>
      </w:pPr>
      <w:r>
        <w:t xml:space="preserve">Method Details</w:t>
      </w:r>
    </w:p>
    <w:bookmarkStart w:id="52" w:name="metabolic-flux-protocol"/>
    <w:p>
      <w:pPr>
        <w:pStyle w:val="Heading3"/>
      </w:pPr>
      <w:r>
        <w:t xml:space="preserve">Metabolic flux protocol</w:t>
      </w:r>
    </w:p>
    <w:p>
      <w:pPr>
        <w:pStyle w:val="FirstParagraph"/>
      </w:pPr>
      <w:r>
        <w:t xml:space="preserve">For extracellular flux measurements, cells were seeded in either standard growth medium or MCDB131 medium without glucose, glutamine, or phenol red (genDEPOT) supplemented with 2% dialyzed fetal bovine serum (Mediatech) and naturally labeled glucose and glutamine (</w:t>
      </w:r>
      <w:r>
        <w:t xml:space="preserve">“</w:t>
      </w:r>
      <w:r>
        <w:t xml:space="preserve">light</w:t>
      </w:r>
      <w:r>
        <w:t xml:space="preserve">”</w:t>
      </w:r>
      <w:r>
        <w:t xml:space="preserve"> </w:t>
      </w:r>
      <w:r>
        <w:t xml:space="preserve">labeling medium). For LFs, glucose was supplemented at 8 mM and glutamine was supplemented at 1 mM. For PASMCs, glucose was supplemented at 5.55 mM and glutamine was supplemented at 10 mM. These concentrations match the concentrations of these substrates determined in standard growth medium. Preliminary experiments were performed to identify the optimal cell seeding density, exponential growth phase, and labeling duration consistent with metabolic and isotopic steady state. On Day -1, 25,000 cells were seeded in a 35 mm dish in</w:t>
      </w:r>
      <w:r>
        <w:t xml:space="preserve"> </w:t>
      </w:r>
      <w:r>
        <w:t xml:space="preserve">“</w:t>
      </w:r>
      <w:r>
        <w:t xml:space="preserve">light</w:t>
      </w:r>
      <w:r>
        <w:t xml:space="preserve">”</w:t>
      </w:r>
      <w:r>
        <w:t xml:space="preserve"> </w:t>
      </w:r>
      <w:r>
        <w:t xml:space="preserve">labeling medium. Hypoxia-treated cells were transferred to a tissue culture glovebox set to 0.5% oxygen and 5% CO</w:t>
      </w:r>
      <w:r>
        <w:rPr>
          <w:vertAlign w:val="subscript"/>
        </w:rPr>
        <w:t xml:space="preserve">2</w:t>
      </w:r>
      <w:r>
        <w:t xml:space="preserve"> </w:t>
      </w:r>
      <w:r>
        <w:t xml:space="preserve">(Coy Lab Products). Medium was supplemented with DMSO 0.1% or BAY (10 μM) for DMSO and BAY treatment conditions. On Day 0, cells were washed with PBS and the medium was changed to either</w:t>
      </w:r>
      <w:r>
        <w:t xml:space="preserve"> </w:t>
      </w:r>
      <w:r>
        <w:t xml:space="preserve">“</w:t>
      </w:r>
      <w:r>
        <w:t xml:space="preserve">light</w:t>
      </w:r>
      <w:r>
        <w:t xml:space="preserve">”</w:t>
      </w:r>
      <w:r>
        <w:t xml:space="preserve"> </w:t>
      </w:r>
      <w:r>
        <w:t xml:space="preserve">medium for flux measurements or</w:t>
      </w:r>
      <w:r>
        <w:t xml:space="preserve"> </w:t>
      </w:r>
      <w:r>
        <w:t xml:space="preserve">“</w:t>
      </w:r>
      <w:r>
        <w:t xml:space="preserve">heavy</w:t>
      </w:r>
      <w:r>
        <w:t xml:space="preserve">”</w:t>
      </w:r>
      <w:r>
        <w:t xml:space="preserve"> </w:t>
      </w:r>
      <w:r>
        <w:t xml:space="preserve">medium for tracer experiments. For LFs, samples were collected on Day 0 and every 24 h for 72 h. For PASMCs, samples were collected on Day 0 and every 12 h for 48 h. Medium and cell lysates were collected at each time point for intra- and extracellular metabolite measurements and total DNA quantification. Dishes without cells were weighed daily to correct for evaporative medium losses and to empirically determine degradation and accumulation rates of metabolites. Medium samples and cell lysates for DNA measurement were stored at -80 °C until analysis. Each individual experiment included triplicate wells for each treatment and time point, and each experiment was repeated 4-8 times.</w:t>
      </w:r>
    </w:p>
    <w:bookmarkEnd w:id="52"/>
    <w:bookmarkStart w:id="53" w:name="cell-count"/>
    <w:p>
      <w:pPr>
        <w:pStyle w:val="Heading3"/>
      </w:pPr>
      <w:r>
        <w:t xml:space="preserve">Cell count</w:t>
      </w:r>
    </w:p>
    <w:p>
      <w:pPr>
        <w:pStyle w:val="FirstParagraph"/>
      </w:pPr>
      <w:r>
        <w:t xml:space="preserve">Direct cell counts of trypsizined cell suspensions in PBS were obtained following staining with propidium iodide and acridine orange using a LUNA-FL fluorescence cell counter (Logos Biosystems). Indirect cell counts for flux measurements were interpolated from total DNA quantified using the Quant-iT PicoGreen dsDNA Assay Kit (Thermo). Cells were washed once with two volumes of PBS, lysed with Tris-EDTA buffer containing 2% Triton X-100, and collected by scraping. Total DNA in 10 μL of lysate was determined by adding 100 μL of 1X PicoGreen dye in Tris-EDTA buffer and interpolating the fluorescence intensity with a standard curve generated using the λ DNA standard. Cell counts were interpolated from a standard curve of DNA obtained from known cell numbers seeded in basal medium (</w:t>
      </w:r>
      <w:r>
        <w:rPr>
          <w:bCs/>
          <w:b/>
        </w:rPr>
        <w:t xml:space="preserve">Figure S1A</w:t>
      </w:r>
      <w:r>
        <w:t xml:space="preserve">). No difference in total cellular DNA was identified between normoxia and hypoxia cultures (</w:t>
      </w:r>
      <w:r>
        <w:rPr>
          <w:bCs/>
          <w:b/>
        </w:rPr>
        <w:t xml:space="preserve">Figure S1B</w:t>
      </w:r>
      <w:r>
        <w:t xml:space="preserve">).</w:t>
      </w:r>
    </w:p>
    <w:bookmarkEnd w:id="53"/>
    <w:bookmarkStart w:id="54" w:name="immunoblots"/>
    <w:p>
      <w:pPr>
        <w:pStyle w:val="Heading3"/>
      </w:pPr>
      <w:r>
        <w:t xml:space="preserve">Immunoblots</w:t>
      </w:r>
    </w:p>
    <w:p>
      <w:pPr>
        <w:pStyle w:val="FirstParagraph"/>
      </w:pPr>
      <w:r>
        <w:t xml:space="preserve">Cells were washed with one volume of PBS and collected by scraping in PBS. Cell suspensions were centrifuged at 5,000 ×</w:t>
      </w:r>
      <w:r>
        <w:rPr>
          <w:iCs/>
          <w:i/>
        </w:rPr>
        <w:t xml:space="preserve">g</w:t>
      </w:r>
      <w:r>
        <w:t xml:space="preserve"> </w:t>
      </w:r>
      <w:r>
        <w:t xml:space="preserve">for 5 min at 4 °C. Pellets were lysed in buffer containing Tris 10 mM, pH 7.4, NaCl 150 mM, EDTA 1 mM, EGTA 1 mM, Triton X-100 1% v/v, NP-40 0.5% v/v, and Halt Protease Inhibitor Cocktail (Thermo). Protein concentrations were determined by BCA Protein Assay (Thermo). Lysates were normalized for protein concentration and subjected to SDS-PAGE separation on stain-free tris-glycine gels (Bio-Rad), cross-linked and imaged with the Chemidoc system (Bio-Rad), transferred to PVDF membranes with the Trans-Blot Turbo transfer system (Bio-Rad), imaged, blocked in 5% blocking buffer (Bio-Rad), blotted in primary and secondary antibodies, and developed using WesternBright ECL (Advansta). Band signal intensity was normalized to total protein per lane as determined from the stain-free gel or membrane images.</w:t>
      </w:r>
    </w:p>
    <w:bookmarkEnd w:id="54"/>
    <w:bookmarkStart w:id="55" w:name="rt-qpcr"/>
    <w:p>
      <w:pPr>
        <w:pStyle w:val="Heading3"/>
      </w:pPr>
      <w:r>
        <w:t xml:space="preserve">RT-qPCR</w:t>
      </w:r>
    </w:p>
    <w:p>
      <w:pPr>
        <w:pStyle w:val="FirstParagraph"/>
      </w:pPr>
      <w:r>
        <w:t xml:space="preserve">Total RNA was isolated from cells with the RNeasy Mini Kit (Qiagen). cDNA was synthesized from 0.25-1.00 ng RNA with the High Capacity cDNA Reverse Transcription Kit (Applied Biosystems). RT-qPCR analysis was performed with an Applied Biosystems 7500 Fast Real Time PCR System with TaqMan Universal PCR Master Mix and pre-designed TaqMan gene expression assays (Life Technologies). Relative expression levels were calculated using the comparative cycle threshold method referenced to</w:t>
      </w:r>
      <w:r>
        <w:t xml:space="preserve"> </w:t>
      </w:r>
      <w:r>
        <w:rPr>
          <w:iCs/>
          <w:i/>
        </w:rPr>
        <w:t xml:space="preserve">ACTB</w:t>
      </w:r>
      <w:r>
        <w:t xml:space="preserve">.</w:t>
      </w:r>
    </w:p>
    <w:bookmarkEnd w:id="55"/>
    <w:bookmarkStart w:id="56" w:name="glucose-assay"/>
    <w:p>
      <w:pPr>
        <w:pStyle w:val="Heading3"/>
      </w:pPr>
      <w:r>
        <w:t xml:space="preserve">Glucose assay</w:t>
      </w:r>
    </w:p>
    <w:p>
      <w:pPr>
        <w:pStyle w:val="FirstParagraph"/>
      </w:pPr>
      <w:r>
        <w:t xml:space="preserve">Medium samples were diluted 10-fold in PBS. Glucose concentration was determined using the Glucose Colorimetric Assay Kit (Cayman) according to the manufacturer’s protocol. Standards were prepared in PBS.</w:t>
      </w:r>
    </w:p>
    <w:bookmarkEnd w:id="56"/>
    <w:bookmarkStart w:id="57" w:name="lactate-assay"/>
    <w:p>
      <w:pPr>
        <w:pStyle w:val="Heading3"/>
      </w:pPr>
      <w:r>
        <w:t xml:space="preserve">Lactate assay</w:t>
      </w:r>
    </w:p>
    <w:p>
      <w:pPr>
        <w:pStyle w:val="FirstParagraph"/>
      </w:pPr>
      <w:r>
        <w:t xml:space="preserve">Medium samples were diluted 10-fold in PBS. Glucose concentration was determined using the ʟ-Lactate Assay Kit (Cayman). Medium samples did not require deproteinization, otherwise the samples were analyzed according to the manufacturer’s protocol. Standards were prepared in PBS.</w:t>
      </w:r>
    </w:p>
    <w:bookmarkEnd w:id="57"/>
    <w:bookmarkStart w:id="58" w:name="pyruvate-assay"/>
    <w:p>
      <w:pPr>
        <w:pStyle w:val="Heading3"/>
      </w:pPr>
      <w:r>
        <w:t xml:space="preserve">Pyruvate assay</w:t>
      </w:r>
    </w:p>
    <w:p>
      <w:pPr>
        <w:pStyle w:val="FirstParagraph"/>
      </w:pPr>
      <w:r>
        <w:t xml:space="preserve">Pyruvate was measured using either an enzymatic assay (most samples) or an HPLC-based assay (medium from 0.2% oxygen experiments). For the enzymatic assay, medium samples were diluted 20-fold in PBS. Pyruvate concentration was determined using the Pyruvate Assay Kit (Cayman). Medium samples did not require deproteinization, otherwise the samples were analyzed according to the manufacturer’s protocol. Standards were prepared in PBS. For the HPLC assay, 2-oxovaleric acid was added to medium samples as an internal standard. Samples were subsequently deproteinized with 2 volumes of ice-cold acetone. Supernatants were evaporated to &lt; 50% of the starting volume at 43 °C in a SpeedVac concentrator (Thermo Savant) and reconstituted to the starting volume with HPLC-grade water prior to derivatization. Samples were derivatized 1:1 by volume with</w:t>
      </w:r>
      <w:r>
        <w:t xml:space="preserve"> </w:t>
      </w:r>
      <w:r>
        <w:rPr>
          <w:iCs/>
          <w:i/>
        </w:rPr>
        <w:t xml:space="preserve">o</w:t>
      </w:r>
      <w:r>
        <w:t xml:space="preserve">-phenylenediamine (25 mM in 2 M HCl) for 30 min at 80 °C. Derivatized pyruvate was separated with a Poroshell HPH C-18 column (2.1 × 100 mm, 2.7 μm) on an Infinity II high-performance liquid chromatography system with fluorescence detection of OPD-derivatized α-keto acids as described previously</w:t>
      </w:r>
      <w:r>
        <w:t xml:space="preserve"> </w:t>
      </w:r>
      <w:r>
        <w:t xml:space="preserve">(</w:t>
      </w:r>
      <w:hyperlink w:anchor="ref-RN730">
        <w:r>
          <w:rPr>
            <w:rStyle w:val="Hyperlink"/>
          </w:rPr>
          <w:t xml:space="preserve">Guarino et al., 2019</w:t>
        </w:r>
      </w:hyperlink>
      <w:r>
        <w:t xml:space="preserve">)</w:t>
      </w:r>
      <w:r>
        <w:t xml:space="preserve">.</w:t>
      </w:r>
    </w:p>
    <w:bookmarkEnd w:id="58"/>
    <w:bookmarkStart w:id="59" w:name="amino-acid-assay"/>
    <w:p>
      <w:pPr>
        <w:pStyle w:val="Heading3"/>
      </w:pPr>
      <w:r>
        <w:t xml:space="preserve">Amino acid assay</w:t>
      </w:r>
    </w:p>
    <w:p>
      <w:pPr>
        <w:pStyle w:val="FirstParagraph"/>
      </w:pPr>
      <w:r>
        <w:t xml:space="preserve">Medium amino acid concentrations were determined following the addition of norvaline and sarcosine internal standards and deproteinization with 2 volumes of ice-cold acetone. Supernatants were evaporated to &lt; 50% of the starting volume at 43 °C in a SpeedVac concentrator (Thermo Savant) and reconstituted to the starting volume with HPLC-grade water prior to analysis. Amino acids in deproteinized medium were derivatized with</w:t>
      </w:r>
      <w:r>
        <w:t xml:space="preserve"> </w:t>
      </w:r>
      <w:r>
        <w:rPr>
          <w:iCs/>
          <w:i/>
        </w:rPr>
        <w:t xml:space="preserve">o</w:t>
      </w:r>
      <w:r>
        <w:t xml:space="preserve">-phthalaldehyde (OPA) and 9-fluorenylmethylchloroformate (FMOC) immediately prior to separation with a Poroshell HPH-C18 column (4.6 × 100 mm, 2.7 μm) on an Infinity II high-performance liquid chromatography system with ultraviolet and fluorescence detection of OPA- and FMOC-derivatized amino acids, respectively, according to the manufacturer’s protocol (Agilent)</w:t>
      </w:r>
      <w:r>
        <w:t xml:space="preserve"> </w:t>
      </w:r>
      <w:r>
        <w:t xml:space="preserve">(</w:t>
      </w:r>
      <w:hyperlink w:anchor="ref-RN1294">
        <w:r>
          <w:rPr>
            <w:rStyle w:val="Hyperlink"/>
          </w:rPr>
          <w:t xml:space="preserve">Long, 2017</w:t>
        </w:r>
      </w:hyperlink>
      <w:r>
        <w:t xml:space="preserve">)</w:t>
      </w:r>
      <w:r>
        <w:t xml:space="preserve">.</w:t>
      </w:r>
    </w:p>
    <w:bookmarkEnd w:id="59"/>
    <w:bookmarkStart w:id="60" w:name="flux-calculations"/>
    <w:p>
      <w:pPr>
        <w:pStyle w:val="Heading3"/>
      </w:pPr>
      <w:r>
        <w:t xml:space="preserve">Flux calculations</w:t>
      </w:r>
    </w:p>
    <w:p>
      <w:pPr>
        <w:pStyle w:val="FirstParagraph"/>
      </w:pPr>
      <w:r>
        <w:t xml:space="preserve">The growth rate (</w:t>
      </w:r>
      <m:oMath>
        <m:r>
          <m:t>μ</m:t>
        </m:r>
      </m:oMath>
      <w:r>
        <w:t xml:space="preserve">) and flux (</w:t>
      </w:r>
      <w:r>
        <w:rPr>
          <w:iCs/>
          <w:i/>
        </w:rPr>
        <w:t xml:space="preserve">v</w:t>
      </w:r>
      <w:r>
        <w:t xml:space="preserve">) for each measured metabolite were defined as follows</w:t>
      </w:r>
      <w:r>
        <w:t xml:space="preserve"> </w:t>
      </w:r>
      <w:r>
        <w:t xml:space="preserve">(</w:t>
      </w:r>
      <w:hyperlink w:anchor="ref-RN1523">
        <w:r>
          <w:rPr>
            <w:rStyle w:val="Hyperlink"/>
          </w:rPr>
          <w:t xml:space="preserve">Murphy and Young, 2013</w:t>
        </w:r>
      </w:hyperlink>
      <w:r>
        <w:t xml:space="preserve">)</w:t>
      </w:r>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r>
                      <m:t>d</m:t>
                    </m:r>
                    <m:r>
                      <m:t>X</m:t>
                    </m:r>
                  </m:num>
                  <m:den>
                    <m:r>
                      <m:t>d</m:t>
                    </m:r>
                    <m:r>
                      <m:t>t</m:t>
                    </m:r>
                  </m:den>
                </m:f>
              </m:e>
              <m:e>
                <m:r>
                  <m:rPr>
                    <m:sty m:val="p"/>
                  </m:rPr>
                  <m:t>=</m:t>
                </m:r>
                <m:r>
                  <m:t>μ</m:t>
                </m:r>
                <m:r>
                  <m:t>X</m:t>
                </m:r>
                <m:r>
                  <m:t>  </m:t>
                </m:r>
                <m:d>
                  <m:dPr>
                    <m:begChr m:val="("/>
                    <m:endChr m:val=")"/>
                    <m:grow/>
                  </m:dPr>
                  <m:e>
                    <m:r>
                      <m:t>1</m:t>
                    </m:r>
                  </m:e>
                </m:d>
              </m:e>
            </m:mr>
            <m:mr>
              <m:e>
                <m:f>
                  <m:fPr>
                    <m:type m:val="bar"/>
                  </m:fPr>
                  <m:num>
                    <m:r>
                      <m:t>d</m:t>
                    </m:r>
                    <m:r>
                      <m:t>M</m:t>
                    </m:r>
                  </m:num>
                  <m:den>
                    <m:r>
                      <m:t>d</m:t>
                    </m:r>
                    <m:r>
                      <m:t>t</m:t>
                    </m:r>
                  </m:den>
                </m:f>
              </m:e>
              <m:e>
                <m:r>
                  <m:rPr>
                    <m:sty m:val="p"/>
                  </m:rPr>
                  <m:t>=</m:t>
                </m:r>
                <m:r>
                  <m:rPr>
                    <m:sty m:val="p"/>
                  </m:rPr>
                  <m:t>−</m:t>
                </m:r>
                <m:r>
                  <m:t>k</m:t>
                </m:r>
                <m:r>
                  <m:t>M</m:t>
                </m:r>
                <m:r>
                  <m:rPr>
                    <m:sty m:val="p"/>
                  </m:rPr>
                  <m:t>+</m:t>
                </m:r>
                <m:r>
                  <m:t>v</m:t>
                </m:r>
                <m:r>
                  <m:t>X</m:t>
                </m:r>
                <m:r>
                  <m:t>  </m:t>
                </m:r>
                <m:d>
                  <m:dPr>
                    <m:begChr m:val="("/>
                    <m:endChr m:val=")"/>
                    <m:grow/>
                  </m:dPr>
                  <m:e>
                    <m:r>
                      <m:t>2</m:t>
                    </m:r>
                  </m:e>
                </m:d>
              </m:e>
            </m:mr>
          </m:m>
        </m:oMath>
      </m:oMathPara>
    </w:p>
    <w:p>
      <w:pPr>
        <w:pStyle w:val="FirstParagraph"/>
      </w:pPr>
      <w:r>
        <w:t xml:space="preserve">where</w:t>
      </w:r>
      <w:r>
        <w:t xml:space="preserve"> </w:t>
      </w:r>
      <w:r>
        <w:rPr>
          <w:iCs/>
          <w:i/>
        </w:rPr>
        <w:t xml:space="preserve">X</w:t>
      </w:r>
      <w:r>
        <w:t xml:space="preserve"> </w:t>
      </w:r>
      <w:r>
        <w:t xml:space="preserve">is the cell density,</w:t>
      </w:r>
      <w:r>
        <w:t xml:space="preserve"> </w:t>
      </w:r>
      <w:r>
        <w:rPr>
          <w:iCs/>
          <w:i/>
        </w:rPr>
        <w:t xml:space="preserve">k</w:t>
      </w:r>
      <w:r>
        <w:t xml:space="preserve"> </w:t>
      </w:r>
      <w:r>
        <w:t xml:space="preserve">is the first-order degradation or accumulation rate, and</w:t>
      </w:r>
      <w:r>
        <w:t xml:space="preserve"> </w:t>
      </w:r>
      <w:r>
        <w:rPr>
          <w:iCs/>
          <w:i/>
        </w:rPr>
        <w:t xml:space="preserve">M</w:t>
      </w:r>
      <w:r>
        <w:t xml:space="preserve"> </w:t>
      </w:r>
      <w:r>
        <w:t xml:space="preserve">is the mass of the metabolite. These equations are solved as follows:</w:t>
      </w:r>
    </w:p>
    <w:p>
      <w:pPr>
        <w:pStyle w:val="BodyText"/>
      </w:pPr>
      <m:oMathPara>
        <m:oMathParaPr>
          <m:jc m:val="center"/>
        </m:oMathParaPr>
        <m:oMath>
          <m:m>
            <m:mPr>
              <m:baseJc m:val="center"/>
              <m:plcHide m:val="1"/>
              <m:mcs>
                <m:mc>
                  <m:mcPr>
                    <m:mcJc m:val="right"/>
                    <m:count m:val="1"/>
                  </m:mcPr>
                </m:mc>
                <m:mc>
                  <m:mcPr>
                    <m:mcJc m:val="left"/>
                    <m:count m:val="1"/>
                  </m:mcPr>
                </m:mc>
              </m:mcs>
            </m:mPr>
            <m:mr>
              <m:e>
                <m:r>
                  <m:t>X</m:t>
                </m:r>
              </m:e>
              <m:e>
                <m:r>
                  <m:rPr>
                    <m:sty m:val="p"/>
                  </m:rPr>
                  <m:t>=</m:t>
                </m:r>
                <m:sSub>
                  <m:e>
                    <m:r>
                      <m:t>X</m:t>
                    </m:r>
                  </m:e>
                  <m:sub>
                    <m:r>
                      <m:t>0</m:t>
                    </m:r>
                  </m:sub>
                </m:sSub>
                <m:sSup>
                  <m:e>
                    <m:r>
                      <m:t>e</m:t>
                    </m:r>
                  </m:e>
                  <m:sup>
                    <m:r>
                      <m:t>μ</m:t>
                    </m:r>
                    <m:r>
                      <m:t>t</m:t>
                    </m:r>
                  </m:sup>
                </m:sSup>
                <m:r>
                  <m:t>  </m:t>
                </m:r>
                <m:d>
                  <m:dPr>
                    <m:begChr m:val="("/>
                    <m:endChr m:val=")"/>
                    <m:grow/>
                  </m:dPr>
                  <m:e>
                    <m:r>
                      <m:t>3</m:t>
                    </m:r>
                  </m:e>
                </m:d>
              </m:e>
            </m:mr>
            <m:mr>
              <m:e>
                <m:r>
                  <m:t>M</m:t>
                </m:r>
                <m:sSup>
                  <m:e>
                    <m:r>
                      <m:t>e</m:t>
                    </m:r>
                  </m:e>
                  <m:sup>
                    <m:r>
                      <m:t>k</m:t>
                    </m:r>
                    <m:r>
                      <m:t>t</m:t>
                    </m:r>
                  </m:sup>
                </m:sSup>
              </m:e>
              <m:e>
                <m:r>
                  <m:rPr>
                    <m:sty m:val="p"/>
                  </m:rPr>
                  <m:t>=</m:t>
                </m:r>
                <m:f>
                  <m:fPr>
                    <m:type m:val="bar"/>
                  </m:fPr>
                  <m:num>
                    <m:r>
                      <m:t>v</m:t>
                    </m:r>
                    <m:sSub>
                      <m:e>
                        <m:r>
                          <m:t>X</m:t>
                        </m:r>
                      </m:e>
                      <m:sub>
                        <m:r>
                          <m:t>0</m:t>
                        </m:r>
                      </m:sub>
                    </m:sSub>
                  </m:num>
                  <m:den>
                    <m:r>
                      <m:t>μ</m:t>
                    </m:r>
                    <m:r>
                      <m:rPr>
                        <m:sty m:val="p"/>
                      </m:rPr>
                      <m:t>+</m:t>
                    </m:r>
                    <m:r>
                      <m:t>k</m:t>
                    </m:r>
                  </m:den>
                </m:f>
                <m:d>
                  <m:dPr>
                    <m:begChr m:val="("/>
                    <m:endChr m:val=")"/>
                    <m:grow/>
                  </m:dPr>
                  <m:e>
                    <m:sSup>
                      <m:e>
                        <m:r>
                          <m:t>e</m:t>
                        </m:r>
                      </m:e>
                      <m:sup>
                        <m:d>
                          <m:dPr>
                            <m:begChr m:val="("/>
                            <m:endChr m:val=")"/>
                            <m:grow/>
                          </m:dPr>
                          <m:e>
                            <m:r>
                              <m:t>μ</m:t>
                            </m:r>
                            <m:r>
                              <m:rPr>
                                <m:sty m:val="p"/>
                              </m:rPr>
                              <m:t>+</m:t>
                            </m:r>
                            <m:r>
                              <m:t>k</m:t>
                            </m:r>
                          </m:e>
                        </m:d>
                        <m:r>
                          <m:t>t</m:t>
                        </m:r>
                      </m:sup>
                    </m:sSup>
                    <m:r>
                      <m:rPr>
                        <m:sty m:val="p"/>
                      </m:rPr>
                      <m:t>−</m:t>
                    </m:r>
                    <m:r>
                      <m:t>1</m:t>
                    </m:r>
                  </m:e>
                </m:d>
                <m:r>
                  <m:rPr>
                    <m:sty m:val="p"/>
                  </m:rPr>
                  <m:t>+</m:t>
                </m:r>
                <m:sSub>
                  <m:e>
                    <m:r>
                      <m:t>M</m:t>
                    </m:r>
                  </m:e>
                  <m:sub>
                    <m:r>
                      <m:t>0</m:t>
                    </m:r>
                  </m:sub>
                </m:sSub>
                <m:r>
                  <m:t>  </m:t>
                </m:r>
                <m:d>
                  <m:dPr>
                    <m:begChr m:val="("/>
                    <m:endChr m:val=")"/>
                    <m:grow/>
                  </m:dPr>
                  <m:e>
                    <m:r>
                      <m:t>4</m:t>
                    </m:r>
                  </m:e>
                </m:d>
              </m:e>
            </m:mr>
          </m:m>
        </m:oMath>
      </m:oMathPara>
    </w:p>
    <w:p>
      <w:pPr>
        <w:pStyle w:val="FirstParagraph"/>
      </w:pPr>
      <w:r>
        <w:t xml:space="preserve">Growth rate (</w:t>
      </w:r>
      <m:oMath>
        <m:r>
          <m:t>μ</m:t>
        </m:r>
      </m:oMath>
      <w:r>
        <w:t xml:space="preserve">) and cell count at time 0 (</w:t>
      </w:r>
      <m:oMath>
        <m:sSub>
          <m:e>
            <m:r>
              <m:t>X</m:t>
            </m:r>
          </m:e>
          <m:sub>
            <m:r>
              <m:t>0</m:t>
            </m:r>
          </m:sub>
        </m:sSub>
      </m:oMath>
      <w:r>
        <w:t xml:space="preserve">) were determined by robust linear modeling of the logarithm of cell count as a function of time (</w:t>
      </w:r>
      <m:oMath>
        <m:r>
          <m:t>t</m:t>
        </m:r>
      </m:oMath>
      <w:r>
        <w:t xml:space="preserve">). Metabolite mass was calculated from the measured metabolite concentrations and predicted well volume accounting for evaporative losses (</w:t>
      </w:r>
      <w:r>
        <w:rPr>
          <w:bCs/>
          <w:b/>
        </w:rPr>
        <w:t xml:space="preserve">Figure S1C</w:t>
      </w:r>
      <w:r>
        <w:t xml:space="preserve">). First-order degradation and accumulation rates were obtained from robust linear modeling of metabolite mass</w:t>
      </w:r>
      <w:r>
        <w:t xml:space="preserve"> </w:t>
      </w:r>
      <w:r>
        <w:rPr>
          <w:iCs/>
          <w:i/>
        </w:rPr>
        <w:t xml:space="preserve">v</w:t>
      </w:r>
      <w:r>
        <w:t xml:space="preserve">. time in unconditioned culture medium. Rates that significantly differed from 0 using Student’s</w:t>
      </w:r>
      <w:r>
        <w:t xml:space="preserve"> </w:t>
      </w:r>
      <w:r>
        <w:rPr>
          <w:iCs/>
          <w:i/>
        </w:rPr>
        <w:t xml:space="preserve">t</w:t>
      </w:r>
      <w:r>
        <w:t xml:space="preserve">-test were incorporated into the flux calculations. Final fluxes were obtained by robust linear modeling of</w:t>
      </w:r>
      <w:r>
        <w:t xml:space="preserve"> </w:t>
      </w:r>
      <m:oMath>
        <m:r>
          <m:t>M</m:t>
        </m:r>
        <m:sSup>
          <m:e>
            <m:r>
              <m:t>e</m:t>
            </m:r>
          </m:e>
          <m:sup>
            <m:r>
              <m:t>k</m:t>
            </m:r>
            <m:r>
              <m:t>t</m:t>
            </m:r>
          </m:sup>
        </m:sSup>
      </m:oMath>
      <w:r>
        <w:t xml:space="preserve"> </w:t>
      </w:r>
      <w:r>
        <w:rPr>
          <w:iCs/>
          <w:i/>
        </w:rPr>
        <w:t xml:space="preserve">versus</w:t>
      </w:r>
      <w:r>
        <w:t xml:space="preserve"> </w:t>
      </w:r>
      <m:oMath>
        <m:d>
          <m:dPr>
            <m:begChr m:val="("/>
            <m:endChr m:val=")"/>
            <m:grow/>
          </m:dPr>
          <m:e>
            <m:sSup>
              <m:e>
                <m:r>
                  <m:t>e</m:t>
                </m:r>
              </m:e>
              <m:sup>
                <m:d>
                  <m:dPr>
                    <m:begChr m:val="("/>
                    <m:endChr m:val=")"/>
                    <m:grow/>
                  </m:dPr>
                  <m:e>
                    <m:r>
                      <m:t>μ</m:t>
                    </m:r>
                    <m:r>
                      <m:rPr>
                        <m:sty m:val="p"/>
                      </m:rPr>
                      <m:t>+</m:t>
                    </m:r>
                    <m:r>
                      <m:t>k</m:t>
                    </m:r>
                  </m:e>
                </m:d>
                <m:r>
                  <m:t>t</m:t>
                </m:r>
              </m:sup>
            </m:sSup>
            <m:r>
              <m:rPr>
                <m:sty m:val="p"/>
              </m:rPr>
              <m:t>−</m:t>
            </m:r>
            <m:r>
              <m:t>1</m:t>
            </m:r>
          </m:e>
        </m:d>
      </m:oMath>
      <w:r>
        <w:t xml:space="preserve"> </w:t>
      </w:r>
      <w:r>
        <w:t xml:space="preserve">to determine the slope from which</w:t>
      </w:r>
      <w:r>
        <w:t xml:space="preserve"> </w:t>
      </w:r>
      <m:oMath>
        <m:r>
          <m:t>v</m:t>
        </m:r>
      </m:oMath>
      <w:r>
        <w:t xml:space="preserve"> </w:t>
      </w:r>
      <w:r>
        <w:t xml:space="preserve">was calculated using equation (4).</w:t>
      </w:r>
    </w:p>
    <w:bookmarkEnd w:id="60"/>
    <w:bookmarkStart w:id="66" w:name="metabolomics"/>
    <w:p>
      <w:pPr>
        <w:pStyle w:val="Heading3"/>
      </w:pPr>
      <w:r>
        <w:t xml:space="preserve">Metabolomics</w:t>
      </w:r>
    </w:p>
    <w:bookmarkStart w:id="61" w:name="metabolite-extraction"/>
    <w:p>
      <w:pPr>
        <w:pStyle w:val="Heading4"/>
      </w:pPr>
      <w:r>
        <w:t xml:space="preserve">Metabolite extraction</w:t>
      </w:r>
    </w:p>
    <w:p>
      <w:pPr>
        <w:pStyle w:val="FirstParagraph"/>
      </w:pPr>
      <w:r>
        <w:t xml:space="preserve">Intracellular metabolites were obtained after washing cells with 2 volumes of ice-cold PBS and floating on liquid nitrogen. Plates were stored at -80 °C until extraction. Metabolites were extracted with 1 mL 80% MeOH pre-cooled to -80 °C containing 10 nmol [D</w:t>
      </w:r>
      <w:r>
        <w:rPr>
          <w:vertAlign w:val="subscript"/>
        </w:rPr>
        <w:t xml:space="preserve">8</w:t>
      </w:r>
      <w:r>
        <w:t xml:space="preserve">]-valine as an internal standard (Cambridge Isotope Labs). Insoluble material was removed by centrifugation at 21,000 ×</w:t>
      </w:r>
      <w:r>
        <w:rPr>
          <w:iCs/>
          <w:i/>
        </w:rPr>
        <w:t xml:space="preserve">g</w:t>
      </w:r>
      <w:r>
        <w:t xml:space="preserve"> </w:t>
      </w:r>
      <w:r>
        <w:t xml:space="preserve">for 15 min at 4 °C. The supernatant was evaporated to dryness at 42 °C using a SpeedVac concentrator (Thermo Savant). Samples were resuspended in 35 μL LC-MS-grade water prior to analysis.</w:t>
      </w:r>
    </w:p>
    <w:bookmarkEnd w:id="61"/>
    <w:bookmarkStart w:id="62" w:name="acquisition-parameters"/>
    <w:p>
      <w:pPr>
        <w:pStyle w:val="Heading4"/>
      </w:pPr>
      <w:r>
        <w:t xml:space="preserve">Acquisition parameters</w:t>
      </w:r>
    </w:p>
    <w:p>
      <w:pPr>
        <w:pStyle w:val="FirstParagraph"/>
      </w:pPr>
      <w:r>
        <w:t xml:space="preserve">LC-MS analysis was performed on a Vanquish ultra-high-performance liquid chromatography system coupled to a Q Exactive orbitrap mass spectrometer by a HESI-II electrospray ionization probe (Thermo). External mass calibration was performed weekly. Metabolite samples (2.5 μL) were separated using a ZIC-pHILIC stationary phase (2.1 × 150 mm, 5 μm) (Merck). The autosampler temperature was 4 °C and the column compartment was maintained at 25 °C. Mobile phase A was 20 mM ammonium carbonate and 0.1% ammonium hydroxide. Mobile phase B was acetonitrile. The flow rate was 0.1 mL/min. Solvent was introduced to the mass spectrometer</w:t>
      </w:r>
      <w:r>
        <w:t xml:space="preserve"> </w:t>
      </w:r>
      <w:r>
        <w:rPr>
          <w:iCs/>
          <w:i/>
        </w:rPr>
        <w:t xml:space="preserve">via</w:t>
      </w:r>
      <w:r>
        <w:t xml:space="preserve"> </w:t>
      </w:r>
      <w:r>
        <w:t xml:space="preserve">electrospray ionization with the following source parameters: sheath gas 40, auxiliary gas 15, sweep gas 1, spray voltage +3.0 kV for positive mode and -3.1 kV for negative mode, capillary temperature 275 °C, S-lens RF level 40, and probe temperature 350 °C. Data were acquired and peaks integrated using TraceFinder 4.1 (Thermo).</w:t>
      </w:r>
    </w:p>
    <w:bookmarkEnd w:id="62"/>
    <w:bookmarkStart w:id="64" w:name="stable-isotope-quantification"/>
    <w:p>
      <w:pPr>
        <w:pStyle w:val="Heading4"/>
      </w:pPr>
      <w:r>
        <w:t xml:space="preserve">Stable isotope quantification</w:t>
      </w:r>
    </w:p>
    <w:p>
      <w:pPr>
        <w:pStyle w:val="FirstParagraph"/>
      </w:pPr>
      <w:r>
        <w:t xml:space="preserve">All metabolites except fructose 2,6-bisphosphate (FBP) and 3-phosphoglycerate (3PG) were measured using the following mobile phase gradient: 0 min, 80% B; 5 min, 80% B; 30 min, 20% B; 31 min, 80% B; 42 min, 80% B. The mass spectrometer was operated in selected ion monitoring mode with an m/</w:t>
      </w:r>
      <w:r>
        <w:rPr>
          <w:iCs/>
          <w:i/>
        </w:rPr>
        <w:t xml:space="preserve">z</w:t>
      </w:r>
      <w:r>
        <w:t xml:space="preserve"> </w:t>
      </w:r>
      <w:r>
        <w:t xml:space="preserve">window width of 9.0 centered 1.003355-times half the number of carbon atoms in the target metabolite. The resolution was set at 70,000 and AGC target was 1 × 10</w:t>
      </w:r>
      <w:r>
        <w:rPr>
          <w:vertAlign w:val="superscript"/>
        </w:rPr>
        <w:t xml:space="preserve">5</w:t>
      </w:r>
      <w:r>
        <w:t xml:space="preserve"> </w:t>
      </w:r>
      <w:r>
        <w:t xml:space="preserve">ions. Peak areas were corrected for quadrupole bias as previously described</w:t>
      </w:r>
      <w:r>
        <w:t xml:space="preserve"> </w:t>
      </w:r>
      <w:r>
        <w:t xml:space="preserve">(</w:t>
      </w:r>
      <w:hyperlink w:anchor="ref-RN1063">
        <w:r>
          <w:rPr>
            <w:rStyle w:val="Hyperlink"/>
          </w:rPr>
          <w:t xml:space="preserve">Kim et al., 2015</w:t>
        </w:r>
      </w:hyperlink>
      <w:r>
        <w:t xml:space="preserve">)</w:t>
      </w:r>
      <w:r>
        <w:t xml:space="preserve">. Mass isotope distributions for FBP and 3PG were calculated from full scan chromatograms as described below. Raw mass isotopomer distributions were corrected for natural isotope abundance using a custom R package (mzrtools,</w:t>
      </w:r>
      <w:r>
        <w:t xml:space="preserve"> </w:t>
      </w:r>
      <w:hyperlink r:id="rId63">
        <w:r>
          <w:rPr>
            <w:rStyle w:val="Hyperlink"/>
          </w:rPr>
          <w:t xml:space="preserve">https://github.com/oldhamlab/mzrtools</w:t>
        </w:r>
      </w:hyperlink>
      <w:r>
        <w:t xml:space="preserve">) employing the method of Fernandez,</w:t>
      </w:r>
      <w:r>
        <w:t xml:space="preserve"> </w:t>
      </w:r>
      <w:r>
        <w:rPr>
          <w:iCs/>
          <w:i/>
        </w:rPr>
        <w:t xml:space="preserve">et al.</w:t>
      </w:r>
      <w:r>
        <w:t xml:space="preserve"> </w:t>
      </w:r>
      <w:r>
        <w:t xml:space="preserve">(</w:t>
      </w:r>
      <w:hyperlink w:anchor="ref-RN557">
        <w:r>
          <w:rPr>
            <w:rStyle w:val="Hyperlink"/>
          </w:rPr>
          <w:t xml:space="preserve">Fernandez et al., 1996</w:t>
        </w:r>
      </w:hyperlink>
      <w:r>
        <w:t xml:space="preserve">)</w:t>
      </w:r>
      <w:r>
        <w:t xml:space="preserve">.</w:t>
      </w:r>
    </w:p>
    <w:bookmarkEnd w:id="64"/>
    <w:bookmarkStart w:id="65" w:name="metabolomic-profiling"/>
    <w:p>
      <w:pPr>
        <w:pStyle w:val="Heading4"/>
      </w:pPr>
      <w:r>
        <w:t xml:space="preserve">Metabolomic profiling</w:t>
      </w:r>
    </w:p>
    <w:p>
      <w:pPr>
        <w:pStyle w:val="FirstParagraph"/>
      </w:pPr>
      <w:r>
        <w:t xml:space="preserve">For metabolomic profiling and quantification of isotopic enrichment for FBP and 3PG, the following mobile phase gradient was used: 0 min, 80% B; 20 min, 20% B; 20.5 min, 80% B; 28 min, 80% B; 42 min, 80% B. The mass spectrometer was operated in polarity switching full scan mode from 70-1000 m/</w:t>
      </w:r>
      <w:r>
        <w:rPr>
          <w:iCs/>
          <w:i/>
        </w:rPr>
        <w:t xml:space="preserve">z</w:t>
      </w:r>
      <w:r>
        <w:t xml:space="preserve">. Resolution was set to 70,000 and the AGC target was 1x10</w:t>
      </w:r>
      <w:r>
        <w:rPr>
          <w:vertAlign w:val="superscript"/>
        </w:rPr>
        <w:t xml:space="preserve">6</w:t>
      </w:r>
      <w:r>
        <w:t xml:space="preserve"> </w:t>
      </w:r>
      <w:r>
        <w:t xml:space="preserve">ions. Peak identifications were based on an in-house library of authentic metabolite standards previously analyzed utilizing this method. For metabolomics studies, pooled quality control (QC) samples were injected at the beginning, end, and between every four samples of the run. Raw peak areas for each metabolite were corrected for instrument drift using a cubic spline model of QC peak areas. Low quality features were removed on the basis of a relative standard deviation greater than 0.2 in the QC samples and a dispersion ratio greater than 0.4</w:t>
      </w:r>
      <w:r>
        <w:t xml:space="preserve"> </w:t>
      </w:r>
      <w:r>
        <w:t xml:space="preserve">(</w:t>
      </w:r>
      <w:hyperlink w:anchor="ref-RN3077">
        <w:r>
          <w:rPr>
            <w:rStyle w:val="Hyperlink"/>
          </w:rPr>
          <w:t xml:space="preserve">Broadhurst et al., 2018</w:t>
        </w:r>
      </w:hyperlink>
      <w:r>
        <w:t xml:space="preserve">)</w:t>
      </w:r>
      <w:r>
        <w:t xml:space="preserve">. Missing values were imputed using random forrest. Samples peak areas were normalized using probabilistic quotient normalization</w:t>
      </w:r>
      <w:r>
        <w:t xml:space="preserve"> </w:t>
      </w:r>
      <w:r>
        <w:t xml:space="preserve">(</w:t>
      </w:r>
      <w:hyperlink w:anchor="ref-RN3094">
        <w:r>
          <w:rPr>
            <w:rStyle w:val="Hyperlink"/>
          </w:rPr>
          <w:t xml:space="preserve">Dieterle et al., 2006</w:t>
        </w:r>
      </w:hyperlink>
      <w:r>
        <w:t xml:space="preserve">)</w:t>
      </w:r>
      <w:r>
        <w:t xml:space="preserve">. Differentially regulated metabolites were identified using limma</w:t>
      </w:r>
      <w:r>
        <w:t xml:space="preserve"> </w:t>
      </w:r>
      <w:r>
        <w:t xml:space="preserve">(</w:t>
      </w:r>
      <w:hyperlink w:anchor="ref-limma">
        <w:r>
          <w:rPr>
            <w:rStyle w:val="Hyperlink"/>
          </w:rPr>
          <w:t xml:space="preserve">Ritchie et al., 2015</w:t>
        </w:r>
      </w:hyperlink>
      <w:r>
        <w:t xml:space="preserve">)</w:t>
      </w:r>
      <w:r>
        <w:t xml:space="preserve">. Metabolite set enrichment analysis was performed using the fgsea package with metabolite pathways downloaded using multiGSEA</w:t>
      </w:r>
      <w:r>
        <w:t xml:space="preserve"> </w:t>
      </w:r>
      <w:r>
        <w:t xml:space="preserve">(</w:t>
      </w:r>
      <w:hyperlink w:anchor="ref-fgsea">
        <w:r>
          <w:rPr>
            <w:rStyle w:val="Hyperlink"/>
          </w:rPr>
          <w:t xml:space="preserve">Korotkevich et al., 2019</w:t>
        </w:r>
      </w:hyperlink>
      <w:r>
        <w:t xml:space="preserve">;</w:t>
      </w:r>
      <w:r>
        <w:t xml:space="preserve"> </w:t>
      </w:r>
      <w:hyperlink w:anchor="ref-multiGSEA">
        <w:r>
          <w:rPr>
            <w:rStyle w:val="Hyperlink"/>
          </w:rPr>
          <w:t xml:space="preserve">Sebastian and Hackermüller, 2020</w:t>
        </w:r>
      </w:hyperlink>
      <w:r>
        <w:t xml:space="preserve">)</w:t>
      </w:r>
      <w:r>
        <w:t xml:space="preserve">.</w:t>
      </w:r>
    </w:p>
    <w:bookmarkEnd w:id="65"/>
    <w:bookmarkEnd w:id="66"/>
    <w:bookmarkStart w:id="67" w:name="biomass-determination"/>
    <w:p>
      <w:pPr>
        <w:pStyle w:val="Heading3"/>
      </w:pPr>
      <w:r>
        <w:t xml:space="preserve">Biomass determination</w:t>
      </w:r>
    </w:p>
    <w:p>
      <w:pPr>
        <w:pStyle w:val="FirstParagraph"/>
      </w:pPr>
      <w:r>
        <w:t xml:space="preserve">The dry weight of LFs was determined to be 493 pg/cell. The dry weight of PASMCs was determined to be 396 pg/cell. These values were estimated by washing 3 × 10</w:t>
      </w:r>
      <w:r>
        <w:rPr>
          <w:vertAlign w:val="superscript"/>
        </w:rPr>
        <w:t xml:space="preserve">6</w:t>
      </w:r>
      <w:r>
        <w:t xml:space="preserve"> </w:t>
      </w:r>
      <w:r>
        <w:t xml:space="preserve">cells twice in PBS and thrice in ice-cold acetone prior to drying overnight in a SpeedVac. The composition of the dry cell mass was estimated from the literature</w:t>
      </w:r>
      <w:r>
        <w:t xml:space="preserve"> </w:t>
      </w:r>
      <w:r>
        <w:t xml:space="preserve">(</w:t>
      </w:r>
      <w:hyperlink w:anchor="ref-RN1741">
        <w:r>
          <w:rPr>
            <w:rStyle w:val="Hyperlink"/>
          </w:rPr>
          <w:t xml:space="preserve">Quek et al., 2010</w:t>
        </w:r>
      </w:hyperlink>
      <w:r>
        <w:t xml:space="preserve">;</w:t>
      </w:r>
      <w:r>
        <w:t xml:space="preserve"> </w:t>
      </w:r>
      <w:hyperlink w:anchor="ref-RN2005">
        <w:r>
          <w:rPr>
            <w:rStyle w:val="Hyperlink"/>
          </w:rPr>
          <w:t xml:space="preserve">Sheikh et al., 2005</w:t>
        </w:r>
      </w:hyperlink>
      <w:r>
        <w:t xml:space="preserve">)</w:t>
      </w:r>
      <w:r>
        <w:t xml:space="preserve">, and stoichiometric coefficients were determined as described</w:t>
      </w:r>
      <w:r>
        <w:t xml:space="preserve"> </w:t>
      </w:r>
      <w:r>
        <w:t xml:space="preserve">(</w:t>
      </w:r>
      <w:hyperlink w:anchor="ref-RN1522">
        <w:r>
          <w:rPr>
            <w:rStyle w:val="Hyperlink"/>
          </w:rPr>
          <w:t xml:space="preserve">Murphy et al., 2013</w:t>
        </w:r>
      </w:hyperlink>
      <w:r>
        <w:t xml:space="preserve">;</w:t>
      </w:r>
      <w:r>
        <w:t xml:space="preserve"> </w:t>
      </w:r>
      <w:hyperlink w:anchor="ref-RN2517">
        <w:r>
          <w:rPr>
            <w:rStyle w:val="Hyperlink"/>
          </w:rPr>
          <w:t xml:space="preserve">Zamorano et al., 2010</w:t>
        </w:r>
      </w:hyperlink>
      <w:r>
        <w:t xml:space="preserve">)</w:t>
      </w:r>
      <w:r>
        <w:t xml:space="preserve">.</w:t>
      </w:r>
    </w:p>
    <w:bookmarkEnd w:id="67"/>
    <w:bookmarkStart w:id="68" w:name="metabolic-flux-analysis"/>
    <w:p>
      <w:pPr>
        <w:pStyle w:val="Heading3"/>
      </w:pPr>
      <w:r>
        <w:t xml:space="preserve">Metabolic flux analysis</w:t>
      </w:r>
    </w:p>
    <w:p>
      <w:pPr>
        <w:pStyle w:val="FirstParagraph"/>
      </w:pPr>
      <w:r>
        <w:t xml:space="preserve">Metabolic flux analysis was performed using the elementary metabolite unit-based software package INCA</w:t>
      </w:r>
      <w:r>
        <w:t xml:space="preserve"> </w:t>
      </w:r>
      <w:r>
        <w:t xml:space="preserve">(</w:t>
      </w:r>
      <w:hyperlink w:anchor="ref-RN2501">
        <w:r>
          <w:rPr>
            <w:rStyle w:val="Hyperlink"/>
          </w:rPr>
          <w:t xml:space="preserve">Young, 2014</w:t>
        </w:r>
      </w:hyperlink>
      <w:r>
        <w:t xml:space="preserve">)</w:t>
      </w:r>
      <w:r>
        <w:t xml:space="preserve">. Inputs to the model include the chemical reactions and atom transitions of central carbon metabolism, extracellular fluxes, the identity and composition of</w:t>
      </w:r>
      <w:r>
        <w:t xml:space="preserve"> </w:t>
      </w:r>
      <w:r>
        <w:rPr>
          <w:vertAlign w:val="superscript"/>
        </w:rPr>
        <w:t xml:space="preserve">13</w:t>
      </w:r>
      <w:r>
        <w:t xml:space="preserve">C-labeled tracers, and the MIDs of labeled intracellular metabolites. The metabolic network was adapted from previously published networks</w:t>
      </w:r>
      <w:r>
        <w:t xml:space="preserve"> </w:t>
      </w:r>
      <w:r>
        <w:t xml:space="preserve">(</w:t>
      </w:r>
      <w:hyperlink w:anchor="ref-RN1522">
        <w:r>
          <w:rPr>
            <w:rStyle w:val="Hyperlink"/>
          </w:rPr>
          <w:t xml:space="preserve">Murphy et al., 2013</w:t>
        </w:r>
      </w:hyperlink>
      <w:r>
        <w:t xml:space="preserve">;</w:t>
      </w:r>
      <w:r>
        <w:t xml:space="preserve"> </w:t>
      </w:r>
      <w:hyperlink w:anchor="ref-RN2266">
        <w:r>
          <w:rPr>
            <w:rStyle w:val="Hyperlink"/>
          </w:rPr>
          <w:t xml:space="preserve">Vacanti et al., 2014</w:t>
        </w:r>
      </w:hyperlink>
      <w:r>
        <w:t xml:space="preserve">)</w:t>
      </w:r>
      <w:r>
        <w:t xml:space="preserve"> </w:t>
      </w:r>
      <w:r>
        <w:t xml:space="preserve">and comprises 48 reactions representing glycolysis, the pentose phosphate pathway, the tricarboxylic acid cycle, anaplerotic pathways, serine metabolism, and biomass synthesis. The network includes seven extracellular substrates (aspartate, cystine, glucose, glutamine, glycine, pyruvate, serine) and five metabolic products (alanine, biomass, glutamate, lactate, lipid). Models were fit using three</w:t>
      </w:r>
      <w:r>
        <w:t xml:space="preserve"> </w:t>
      </w:r>
      <w:r>
        <w:rPr>
          <w:vertAlign w:val="superscript"/>
        </w:rPr>
        <w:t xml:space="preserve">13</w:t>
      </w:r>
      <w:r>
        <w:t xml:space="preserve">C-labeled tracers, [1,2-</w:t>
      </w:r>
      <w:r>
        <w:rPr>
          <w:vertAlign w:val="superscript"/>
        </w:rPr>
        <w:t xml:space="preserve">13</w:t>
      </w:r>
      <w:r>
        <w:t xml:space="preserve">C</w:t>
      </w:r>
      <w:r>
        <w:rPr>
          <w:vertAlign w:val="subscript"/>
        </w:rPr>
        <w:t xml:space="preserve">2</w:t>
      </w:r>
      <w:r>
        <w:t xml:space="preserve">] glucose, [U-</w:t>
      </w:r>
      <w:r>
        <w:rPr>
          <w:vertAlign w:val="superscript"/>
        </w:rPr>
        <w:t xml:space="preserve">13</w:t>
      </w:r>
      <w:r>
        <w:t xml:space="preserve">C</w:t>
      </w:r>
      <w:r>
        <w:rPr>
          <w:vertAlign w:val="subscript"/>
        </w:rPr>
        <w:t xml:space="preserve">6</w:t>
      </w:r>
      <w:r>
        <w:t xml:space="preserve">] glucose, and [U-</w:t>
      </w:r>
      <w:r>
        <w:rPr>
          <w:vertAlign w:val="superscript"/>
        </w:rPr>
        <w:t xml:space="preserve">13</w:t>
      </w:r>
      <w:r>
        <w:t xml:space="preserve">C</w:t>
      </w:r>
      <w:r>
        <w:rPr>
          <w:vertAlign w:val="subscript"/>
        </w:rPr>
        <w:t xml:space="preserve">5</w:t>
      </w:r>
      <w:r>
        <w:t xml:space="preserve">] glutamine. The MIDs of twelve metabolites (2-oxoglutarate, 3-phosphoglycerate, alanine, aspartate, citrate, fructose bisphosphate, glutamate, glutamine, lactate, malate, pyruvate, serine) were used to constrain intracellular fluxes. The following assumptions were made:</w:t>
      </w:r>
    </w:p>
    <w:p>
      <w:pPr>
        <w:numPr>
          <w:ilvl w:val="0"/>
          <w:numId w:val="1001"/>
        </w:numPr>
        <w:pStyle w:val="Compact"/>
      </w:pPr>
      <w:r>
        <w:t xml:space="preserve">Metabolism was at steady state.</w:t>
      </w:r>
    </w:p>
    <w:p>
      <w:pPr>
        <w:numPr>
          <w:ilvl w:val="0"/>
          <w:numId w:val="1001"/>
        </w:numPr>
        <w:pStyle w:val="Compact"/>
      </w:pPr>
      <w:r>
        <w:t xml:space="preserve">Labeled CO</w:t>
      </w:r>
      <w:r>
        <w:rPr>
          <w:vertAlign w:val="subscript"/>
        </w:rPr>
        <w:t xml:space="preserve">2</w:t>
      </w:r>
      <w:r>
        <w:t xml:space="preserve"> </w:t>
      </w:r>
      <w:r>
        <w:t xml:space="preserve">produced during decarboxylation reactions left the system and did not re-incorporate during carboxylation reactions.</w:t>
      </w:r>
    </w:p>
    <w:p>
      <w:pPr>
        <w:numPr>
          <w:ilvl w:val="0"/>
          <w:numId w:val="1001"/>
        </w:numPr>
        <w:pStyle w:val="Compact"/>
      </w:pPr>
      <w:r>
        <w:t xml:space="preserve">Protein turnover occurred at a negligible rate compared to glucose and glutamine consumption.</w:t>
      </w:r>
    </w:p>
    <w:p>
      <w:pPr>
        <w:numPr>
          <w:ilvl w:val="0"/>
          <w:numId w:val="1001"/>
        </w:numPr>
        <w:pStyle w:val="Compact"/>
      </w:pPr>
      <w:r>
        <w:t xml:space="preserve">Acetyl-CoA, aspartate, fumarate, malate, oxaloacetate, pyruvate existed in cytosolic and mitochondrial pools. Aspartate and malate were allowed to exchange freely between the compartments.</w:t>
      </w:r>
    </w:p>
    <w:p>
      <w:pPr>
        <w:numPr>
          <w:ilvl w:val="0"/>
          <w:numId w:val="1001"/>
        </w:numPr>
        <w:pStyle w:val="Compact"/>
      </w:pPr>
      <w:r>
        <w:t xml:space="preserve">The per cell biomass requirements of proliferating lung fibroblasts were similar to published estimated in other cells</w:t>
      </w:r>
      <w:r>
        <w:t xml:space="preserve"> </w:t>
      </w:r>
      <w:r>
        <w:t xml:space="preserve">(</w:t>
      </w:r>
      <w:hyperlink w:anchor="ref-RN1741">
        <w:r>
          <w:rPr>
            <w:rStyle w:val="Hyperlink"/>
          </w:rPr>
          <w:t xml:space="preserve">Quek et al., 2010</w:t>
        </w:r>
      </w:hyperlink>
      <w:r>
        <w:t xml:space="preserve">;</w:t>
      </w:r>
      <w:r>
        <w:t xml:space="preserve"> </w:t>
      </w:r>
      <w:hyperlink w:anchor="ref-RN2005">
        <w:r>
          <w:rPr>
            <w:rStyle w:val="Hyperlink"/>
          </w:rPr>
          <w:t xml:space="preserve">Sheikh et al., 2005</w:t>
        </w:r>
      </w:hyperlink>
      <w:r>
        <w:t xml:space="preserve">)</w:t>
      </w:r>
      <w:r>
        <w:t xml:space="preserve">.</w:t>
      </w:r>
    </w:p>
    <w:p>
      <w:pPr>
        <w:numPr>
          <w:ilvl w:val="0"/>
          <w:numId w:val="1001"/>
        </w:numPr>
        <w:pStyle w:val="Compact"/>
      </w:pPr>
      <w:r>
        <w:t xml:space="preserve">Dilution of alanine, aspartate, glutamate, glutamine, lactate, and pyruvate was allowed to occur through reversible exchange with unlabeled substrates in the medium as these metabolites were present in unconditioned medium or serum.</w:t>
      </w:r>
    </w:p>
    <w:p>
      <w:pPr>
        <w:numPr>
          <w:ilvl w:val="0"/>
          <w:numId w:val="1001"/>
        </w:numPr>
        <w:pStyle w:val="Compact"/>
      </w:pPr>
      <w:r>
        <w:t xml:space="preserve">Succinate and fumarate are symmetric molecules that have interchangeable orientations when metabolized by TCA cycle enzymes.</w:t>
      </w:r>
    </w:p>
    <w:p>
      <w:pPr>
        <w:pStyle w:val="FirstParagraph"/>
      </w:pPr>
      <w:r>
        <w:t xml:space="preserve">Flux estimation was repeated a minimum of 50 times from random initial values. Results were subjected to a χ</w:t>
      </w:r>
      <w:r>
        <w:rPr>
          <w:vertAlign w:val="superscript"/>
        </w:rPr>
        <w:t xml:space="preserve">2</w:t>
      </w:r>
      <w:r>
        <w:t xml:space="preserve"> </w:t>
      </w:r>
      <w:r>
        <w:t xml:space="preserve">statistical test to assess goodness-of-fit. Accurate 95% confidence intervals were computed for estimated parameters by evaluating the sensitivity of the sum-of-square residuals to parameter variations</w:t>
      </w:r>
      <w:r>
        <w:t xml:space="preserve"> </w:t>
      </w:r>
      <w:r>
        <w:t xml:space="preserve">(</w:t>
      </w:r>
      <w:hyperlink w:anchor="ref-RN60">
        <w:r>
          <w:rPr>
            <w:rStyle w:val="Hyperlink"/>
          </w:rPr>
          <w:t xml:space="preserve">Antoniewicz et al., 2006</w:t>
        </w:r>
      </w:hyperlink>
      <w:r>
        <w:t xml:space="preserve">;</w:t>
      </w:r>
      <w:r>
        <w:t xml:space="preserve"> </w:t>
      </w:r>
      <w:hyperlink w:anchor="ref-RN1522">
        <w:r>
          <w:rPr>
            <w:rStyle w:val="Hyperlink"/>
          </w:rPr>
          <w:t xml:space="preserve">Murphy et al., 2013</w:t>
        </w:r>
      </w:hyperlink>
      <w:r>
        <w:t xml:space="preserve">)</w:t>
      </w:r>
      <w:r>
        <w:t xml:space="preserve">.</w:t>
      </w:r>
    </w:p>
    <w:bookmarkEnd w:id="68"/>
    <w:bookmarkStart w:id="69" w:name="nadh-assay"/>
    <w:p>
      <w:pPr>
        <w:pStyle w:val="Heading3"/>
      </w:pPr>
      <w:r>
        <w:t xml:space="preserve">NAD(H) assay</w:t>
      </w:r>
    </w:p>
    <w:p>
      <w:pPr>
        <w:pStyle w:val="FirstParagraph"/>
      </w:pPr>
      <w:r>
        <w:t xml:space="preserve">Cellular NAD</w:t>
      </w:r>
      <w:r>
        <w:rPr>
          <w:vertAlign w:val="superscript"/>
        </w:rPr>
        <w:t xml:space="preserve">+</w:t>
      </w:r>
      <w:r>
        <w:t xml:space="preserve"> </w:t>
      </w:r>
      <w:r>
        <w:t xml:space="preserve">and NADH were measured using an enzymatic fluorimetric cycling assay based on the reduction of NAD</w:t>
      </w:r>
      <w:r>
        <w:rPr>
          <w:vertAlign w:val="superscript"/>
        </w:rPr>
        <w:t xml:space="preserve">+</w:t>
      </w:r>
      <w:r>
        <w:t xml:space="preserve"> </w:t>
      </w:r>
      <w:r>
        <w:t xml:space="preserve">to NADH by alcohol dehydrogenase (ADH) and subsequent electron transfer to generate the fluorescent molecule resorufin</w:t>
      </w:r>
      <w:r>
        <w:t xml:space="preserve"> </w:t>
      </w:r>
      <w:r>
        <w:t xml:space="preserve">(</w:t>
      </w:r>
      <w:hyperlink w:anchor="ref-RN1603">
        <w:r>
          <w:rPr>
            <w:rStyle w:val="Hyperlink"/>
          </w:rPr>
          <w:t xml:space="preserve">Oldham et al., 2015</w:t>
        </w:r>
      </w:hyperlink>
      <w:r>
        <w:t xml:space="preserve">)</w:t>
      </w:r>
      <w:r>
        <w:t xml:space="preserve">. Briefly, cells were washed twice with one volume PBS. Pyridine nucleotides were extracted on ice with buffer containing 50% by volume PBS and 50% lysis buffer (100 mM sodium carbonate, 20 mM sodium bicarbonate, 10 mM nicotinamide, 0.05% by volume Triton-X-100, 1% by mass dodecyltrimethylammonium bromide) and collected by scraping. Extracts were divided equally and 0.5 volume of 0.4 N HCl was added to one sample. Both extracts were heated at 65 °C for 15 min to degrade selectively either the oxidized (buffer) or reduced (HCl) nucleotides. The reaction was cooled on ice and quenched by adding 0.5 M Tris-OH to the acid-treated samples or 0.2 N HCl plus 0.25 M Tris-OH to the buffer samples. Samples were then diluted in reaction buffer (50 mM EDTA and 10 mM Tris, pH 7.06). Cell debris was pelleted by centrifugation, and 50 μL was incubated for 2 h with 100 μL reaction buffer containing 0.6 M EtOH, 0.5 mM phenazine methosulfate, 0.05 mM resazurin, and 0.1 mg/mL ADH. Fluorescence intensities were measured with a Spectramax Gemini XPS (Moelcular Devices) with excitation 540 nm, emission 588 nm, and 550 nm excitation cut-off filter. Sample intensities were compared to a standard curve generated from known concentrations of NADH. The ratio of fluorescence in buffer-extracted to acid-extracted samples corresponds to the NADH/NAD</w:t>
      </w:r>
      <w:r>
        <w:rPr>
          <w:vertAlign w:val="superscript"/>
        </w:rPr>
        <w:t xml:space="preserve">+</w:t>
      </w:r>
      <w:r>
        <w:t xml:space="preserve"> </w:t>
      </w:r>
      <w:r>
        <w:t xml:space="preserve">ratio. Absolute NADH and NAD</w:t>
      </w:r>
      <w:r>
        <w:rPr>
          <w:vertAlign w:val="superscript"/>
        </w:rPr>
        <w:t xml:space="preserve">+</w:t>
      </w:r>
      <w:r>
        <w:t xml:space="preserve"> </w:t>
      </w:r>
      <w:r>
        <w:t xml:space="preserve">were normalized to cell count from cells estimated from total DNA quantification as described above.</w:t>
      </w:r>
    </w:p>
    <w:bookmarkEnd w:id="69"/>
    <w:bookmarkStart w:id="71" w:name="rna-seq"/>
    <w:p>
      <w:pPr>
        <w:pStyle w:val="Heading3"/>
      </w:pPr>
      <w:r>
        <w:t xml:space="preserve">RNA-seq</w:t>
      </w:r>
    </w:p>
    <w:p>
      <w:pPr>
        <w:pStyle w:val="FirstParagraph"/>
      </w:pPr>
      <w:r>
        <w:t xml:space="preserve">RNA was collected from LFs treated for three days ± hypoxia ± BAY as described above. Four biological replicates were analyzed. Library construction and sequencing was performed by BGI Genomics using 100 bp paired end analysis and a read depth of 50M reads per sample. Sequences were deposited in the NIH SRA (PRJNA721596). Sequences were mapped to the human GRCh38 primary assembly and counts summarized using Rsubread</w:t>
      </w:r>
      <w:r>
        <w:t xml:space="preserve"> </w:t>
      </w:r>
      <w:r>
        <w:t xml:space="preserve">(</w:t>
      </w:r>
      <w:hyperlink w:anchor="ref-Rsubread">
        <w:r>
          <w:rPr>
            <w:rStyle w:val="Hyperlink"/>
          </w:rPr>
          <w:t xml:space="preserve">Liao et al., 2019</w:t>
        </w:r>
      </w:hyperlink>
      <w:r>
        <w:t xml:space="preserve">)</w:t>
      </w:r>
      <w:r>
        <w:t xml:space="preserve">. This data is available from the Oldham Lab GitHub repository (</w:t>
      </w:r>
      <w:hyperlink r:id="rId70">
        <w:r>
          <w:rPr>
            <w:rStyle w:val="Hyperlink"/>
          </w:rPr>
          <w:t xml:space="preserve">https://github.com/oldhamlab/rnaseq.lf.hypoxia.molidustat</w:t>
        </w:r>
      </w:hyperlink>
      <w:r>
        <w:t xml:space="preserve">). Differentially expressed transcripts were identified using DESeq2</w:t>
      </w:r>
      <w:r>
        <w:t xml:space="preserve"> </w:t>
      </w:r>
      <w:r>
        <w:t xml:space="preserve">(</w:t>
      </w:r>
      <w:hyperlink w:anchor="ref-DESeq2">
        <w:r>
          <w:rPr>
            <w:rStyle w:val="Hyperlink"/>
          </w:rPr>
          <w:t xml:space="preserve">Love et al., 2014</w:t>
        </w:r>
      </w:hyperlink>
      <w:r>
        <w:t xml:space="preserve">)</w:t>
      </w:r>
      <w:r>
        <w:t xml:space="preserve">. Gene set enrichment and transcription factor enrichment was performed using the fgsea and TFEA.ChIP R packages, respectively</w:t>
      </w:r>
      <w:r>
        <w:t xml:space="preserve"> </w:t>
      </w:r>
      <w:r>
        <w:t xml:space="preserve">(</w:t>
      </w:r>
      <w:hyperlink w:anchor="ref-fgsea">
        <w:r>
          <w:rPr>
            <w:rStyle w:val="Hyperlink"/>
          </w:rPr>
          <w:t xml:space="preserve">Korotkevich et al., 2019</w:t>
        </w:r>
      </w:hyperlink>
      <w:r>
        <w:t xml:space="preserve">;</w:t>
      </w:r>
      <w:r>
        <w:t xml:space="preserve"> </w:t>
      </w:r>
      <w:hyperlink w:anchor="ref-TFEA.ChIP">
        <w:r>
          <w:rPr>
            <w:rStyle w:val="Hyperlink"/>
          </w:rPr>
          <w:t xml:space="preserve">Puente-Santamaria et al., 2019</w:t>
        </w:r>
      </w:hyperlink>
      <w:r>
        <w:t xml:space="preserve">)</w:t>
      </w:r>
      <w:r>
        <w:t xml:space="preserve">.</w:t>
      </w:r>
    </w:p>
    <w:bookmarkEnd w:id="71"/>
    <w:bookmarkEnd w:id="72"/>
    <w:bookmarkStart w:id="73" w:name="quantification-and-statistical-analysis"/>
    <w:p>
      <w:pPr>
        <w:pStyle w:val="Heading2"/>
      </w:pPr>
      <w:r>
        <w:t xml:space="preserve">Quantification and Statistical Analysis</w:t>
      </w:r>
    </w:p>
    <w:p>
      <w:pPr>
        <w:pStyle w:val="FirstParagraph"/>
      </w:pPr>
      <w:r>
        <w:t xml:space="preserve">The raw data and annotated analysis code necessary to reproduce this manuscript are contained in an R package research compendium available from the Oldham Lab GitHub repository (</w:t>
      </w:r>
      <w:hyperlink r:id="rId46">
        <w:r>
          <w:rPr>
            <w:rStyle w:val="Hyperlink"/>
          </w:rPr>
          <w:t xml:space="preserve">https://github.com/oldhamlab/Copeland.2021.hypoxia.flux</w:t>
        </w:r>
      </w:hyperlink>
      <w:r>
        <w:t xml:space="preserve">). Data analysis, statistical comparisons, and visualization were performed in R</w:t>
      </w:r>
      <w:r>
        <w:t xml:space="preserve"> </w:t>
      </w:r>
      <w:r>
        <w:t xml:space="preserve">(</w:t>
      </w:r>
      <w:hyperlink w:anchor="ref-R-base">
        <w:r>
          <w:rPr>
            <w:rStyle w:val="Hyperlink"/>
          </w:rPr>
          <w:t xml:space="preserve">R Core Team, 2020</w:t>
        </w:r>
      </w:hyperlink>
      <w:r>
        <w:t xml:space="preserve">)</w:t>
      </w:r>
      <w:r>
        <w:t xml:space="preserve"> </w:t>
      </w:r>
      <w:r>
        <w:t xml:space="preserve">using the packages listed below. Experiments included technical and biological replicates as noted above. The number of biological replicates (n) is indicated in the figure legends. Summary data show the mean ± SEM. Outliers were identified using twice the median absolute deviation. Two group comparisons (</w:t>
      </w:r>
      <w:r>
        <w:rPr>
          <w:iCs/>
          <w:i/>
        </w:rPr>
        <w:t xml:space="preserve">e.g.</w:t>
      </w:r>
      <w:r>
        <w:t xml:space="preserve">, 21%</w:t>
      </w:r>
      <w:r>
        <w:t xml:space="preserve"> </w:t>
      </w:r>
      <w:r>
        <w:rPr>
          <w:iCs/>
          <w:i/>
        </w:rPr>
        <w:t xml:space="preserve">v.</w:t>
      </w:r>
      <w:r>
        <w:t xml:space="preserve"> </w:t>
      </w:r>
      <w:r>
        <w:t xml:space="preserve">0.5% oxygen) were performed using Student’s</w:t>
      </w:r>
      <w:r>
        <w:t xml:space="preserve"> </w:t>
      </w:r>
      <w:r>
        <w:rPr>
          <w:iCs/>
          <w:i/>
        </w:rPr>
        <w:t xml:space="preserve">t</w:t>
      </w:r>
      <w:r>
        <w:t xml:space="preserve">-test on log-transformed values with pairing among biological replicates. Multifactor comparisons (</w:t>
      </w:r>
      <w:r>
        <w:rPr>
          <w:iCs/>
          <w:i/>
        </w:rPr>
        <w:t xml:space="preserve">e.g.</w:t>
      </w:r>
      <w:r>
        <w:t xml:space="preserve">, BAY and oxygen) were performed using linear mixed-effects models with Tukey’s</w:t>
      </w:r>
      <w:r>
        <w:t xml:space="preserve"> </w:t>
      </w:r>
      <w:r>
        <w:rPr>
          <w:iCs/>
          <w:i/>
        </w:rPr>
        <w:t xml:space="preserve">post hoc</w:t>
      </w:r>
      <w:r>
        <w:t xml:space="preserve"> </w:t>
      </w:r>
      <w:r>
        <w:t xml:space="preserve">testing. Metabolomics and RNA-seq data were analyzed as described above. Probability values less than 0.05 were considered significant.</w:t>
      </w:r>
    </w:p>
    <w:p>
      <w:r>
        <w:br w:type="page"/>
      </w:r>
    </w:p>
    <w:bookmarkEnd w:id="73"/>
    <w:bookmarkStart w:id="74" w:name="key-resources-table"/>
    <w:p>
      <w:pPr>
        <w:pStyle w:val="Heading2"/>
      </w:pPr>
      <w:r>
        <w:t xml:space="preserve">Key Resources Table</w:t>
      </w:r>
    </w:p>
    <w:p>
      <w:pPr>
        <w:pStyle w:val="FirstParagraph"/>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REAGENT or RESOURCE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SOURCE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IDENTIFIER</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Antibodies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HIF-1α</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BD Biosciences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610958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c-MYC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Cell Signaling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D84C12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LDHA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Cell Signaling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HRP-α-Rabbit IgG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Cell Signaling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7074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HRP-α-Mouse IgG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Cell Signaling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7076</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Chemicals, peptides, and recombinant proteins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[1,2-</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vertAlign w:val="superscript"/>
                <w:sz w:val="18"/>
                <w:szCs w:val="18"/>
                <w:color w:val="000000"/>
              </w:rPr>
              <w:t xml:space="preserve">13</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vertAlign w:val="subscript"/>
                <w:sz w:val="18"/>
                <w:szCs w:val="18"/>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glucose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Cambridge Isotope Labs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CLM-504-PK</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[U-</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vertAlign w:val="superscript"/>
                <w:sz w:val="18"/>
                <w:szCs w:val="18"/>
                <w:color w:val="000000"/>
              </w:rPr>
              <w:t xml:space="preserve">13</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vertAlign w:val="subscript"/>
                <w:sz w:val="18"/>
                <w:szCs w:val="18"/>
                <w:color w:val="000000"/>
              </w:rPr>
              <w:t xml:space="preserve">6</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glucose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Cambridge Isotope Labs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CLM-1396-PK</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[U-</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vertAlign w:val="superscript"/>
                <w:sz w:val="18"/>
                <w:szCs w:val="18"/>
                <w:color w:val="000000"/>
              </w:rPr>
              <w:t xml:space="preserve">13</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vertAlign w:val="subscript"/>
                <w:sz w:val="18"/>
                <w:szCs w:val="18"/>
                <w:color w:val="000000"/>
              </w:rPr>
              <w:t xml:space="preserve">5</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glutamine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Cambridge Isotope Labs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CLM-1822-H-PK</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[U-</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vertAlign w:val="superscript"/>
                <w:sz w:val="18"/>
                <w:szCs w:val="18"/>
                <w:color w:val="000000"/>
              </w:rPr>
              <w:t xml:space="preserve">13</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vertAlign w:val="subscript"/>
                <w:sz w:val="18"/>
                <w:szCs w:val="18"/>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lactate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Sigma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485926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Molidustat (BAY-85-3934)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Cayman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15297</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Critical commercial assays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Glucose colorimetric assay kit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Cayman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10009582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ʟ-Lactate assay kit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Cayman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700510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Pyruvate assay kit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Cayman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700470</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Depositied data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Raw and analyzed data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This paper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https://github.com/oldhamlab/Copeland.2021.hypoxia.flux</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RNA-seq reads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This paper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SRA: PRJNA721596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Summarized RNA-seq data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This paper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https://github.com/oldhamlab/rnaseq.lf.hypoxia.molidustat</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Experimental models: Cell lines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Normal human lung fibroblasts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Lonza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CC-2512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Pulmonary artery smooth muscle cells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Lonza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CC-2581</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Oligonucleotides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ACTB (Hs03023943_g1)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Life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4351370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GLUT1 (Hs00892681_m1)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Life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4351370</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LDHA (Hs00855332_g1)</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Life Technologies</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4351370</w:t>
            </w:r>
          </w:p>
        </w:tc>
      </w:tr>
    </w:tbl>
    <w:p>
      <w:r>
        <w:br w:type="page"/>
      </w:r>
    </w:p>
    <w:bookmarkEnd w:id="74"/>
    <w:bookmarkEnd w:id="75"/>
    <w:bookmarkStart w:id="76" w:name="supplemental-items-titles"/>
    <w:p>
      <w:pPr>
        <w:pStyle w:val="Heading1"/>
      </w:pPr>
      <w:r>
        <w:t xml:space="preserve">Supplemental Items Titles</w:t>
      </w:r>
    </w:p>
    <w:p>
      <w:pPr>
        <w:pStyle w:val="FirstParagraph"/>
      </w:pPr>
      <w:r>
        <w:t xml:space="preserve">Table S1:</w:t>
      </w:r>
      <w:r>
        <w:t xml:space="preserve"> </w:t>
      </w:r>
      <w:r>
        <w:rPr>
          <w:bCs/>
          <w:b/>
        </w:rPr>
        <w:t xml:space="preserve">Lung fibroblast fluxes in 21% and 0.5% oxygen.</w:t>
      </w:r>
    </w:p>
    <w:p>
      <w:pPr>
        <w:pStyle w:val="BodyText"/>
      </w:pPr>
      <w:r>
        <w:t xml:space="preserve">Table S2:</w:t>
      </w:r>
      <w:r>
        <w:t xml:space="preserve"> </w:t>
      </w:r>
      <w:r>
        <w:rPr>
          <w:bCs/>
          <w:b/>
        </w:rPr>
        <w:t xml:space="preserve">Lung fibroblast fluxes following DMSO and BAY treatment.</w:t>
      </w:r>
    </w:p>
    <w:p>
      <w:pPr>
        <w:pStyle w:val="BodyText"/>
      </w:pPr>
      <w:r>
        <w:t xml:space="preserve">Table S3:</w:t>
      </w:r>
      <w:r>
        <w:t xml:space="preserve"> </w:t>
      </w:r>
      <w:r>
        <w:rPr>
          <w:bCs/>
          <w:b/>
        </w:rPr>
        <w:t xml:space="preserve">PASMC fluxes in 21% and 0.5% oxygen.</w:t>
      </w:r>
    </w:p>
    <w:p>
      <w:pPr>
        <w:pStyle w:val="BodyText"/>
      </w:pPr>
      <w:r>
        <w:t xml:space="preserve">Figure S1:</w:t>
      </w:r>
      <w:r>
        <w:t xml:space="preserve"> </w:t>
      </w:r>
      <w:r>
        <w:rPr>
          <w:bCs/>
          <w:b/>
        </w:rPr>
        <w:t xml:space="preserve">Supporting data for extracellular flux calculations.</w:t>
      </w:r>
    </w:p>
    <w:p>
      <w:pPr>
        <w:pStyle w:val="BodyText"/>
      </w:pPr>
      <w:r>
        <w:t xml:space="preserve">Figure S2:</w:t>
      </w:r>
      <w:r>
        <w:t xml:space="preserve"> </w:t>
      </w:r>
      <w:r>
        <w:rPr>
          <w:bCs/>
          <w:b/>
        </w:rPr>
        <w:t xml:space="preserve">Extracellular flux measurements in 0.2% oxygen.</w:t>
      </w:r>
    </w:p>
    <w:p>
      <w:pPr>
        <w:pStyle w:val="BodyText"/>
      </w:pPr>
      <w:r>
        <w:t xml:space="preserve">Figure S3:</w:t>
      </w:r>
      <w:r>
        <w:t xml:space="preserve"> </w:t>
      </w:r>
      <w:r>
        <w:rPr>
          <w:bCs/>
          <w:b/>
        </w:rPr>
        <w:t xml:space="preserve">Extracellular flux measurements in pulmonary artery smooth muscle cells in 0.5% oxygen.</w:t>
      </w:r>
    </w:p>
    <w:p>
      <w:pPr>
        <w:pStyle w:val="BodyText"/>
      </w:pPr>
      <w:r>
        <w:t xml:space="preserve">Figure S4:</w:t>
      </w:r>
      <w:r>
        <w:t xml:space="preserve"> </w:t>
      </w:r>
      <w:r>
        <w:rPr>
          <w:bCs/>
          <w:b/>
        </w:rPr>
        <w:t xml:space="preserve">Mass isotopomer distributions after 72 h of labeling in lung fibroblasts.</w:t>
      </w:r>
    </w:p>
    <w:p>
      <w:pPr>
        <w:pStyle w:val="BodyText"/>
      </w:pPr>
      <w:r>
        <w:t xml:space="preserve">Figure S5:</w:t>
      </w:r>
      <w:r>
        <w:t xml:space="preserve"> </w:t>
      </w:r>
      <w:r>
        <w:rPr>
          <w:bCs/>
          <w:b/>
        </w:rPr>
        <w:t xml:space="preserve">Mass isotopomer distributions after 72 h of labeling in pulmonary artery smooth muscle cells.</w:t>
      </w:r>
    </w:p>
    <w:p>
      <w:pPr>
        <w:pStyle w:val="BodyText"/>
      </w:pPr>
      <w:r>
        <w:t xml:space="preserve">Figure S6:</w:t>
      </w:r>
      <w:r>
        <w:t xml:space="preserve"> </w:t>
      </w:r>
      <w:r>
        <w:rPr>
          <w:bCs/>
          <w:b/>
        </w:rPr>
        <w:t xml:space="preserve">Isotopically non-stationary metabolic flux analysis.</w:t>
      </w:r>
    </w:p>
    <w:p>
      <w:r>
        <w:br w:type="page"/>
      </w:r>
    </w:p>
    <w:bookmarkEnd w:id="76"/>
    <w:bookmarkStart w:id="134" w:name="references"/>
    <w:p>
      <w:pPr>
        <w:pStyle w:val="Heading1"/>
      </w:pPr>
      <w:r>
        <w:t xml:space="preserve">References</w:t>
      </w:r>
    </w:p>
    <w:bookmarkStart w:id="133" w:name="refs"/>
    <w:bookmarkStart w:id="77" w:name="ref-RN60"/>
    <w:p>
      <w:pPr>
        <w:pStyle w:val="Bibliography"/>
      </w:pPr>
      <w:r>
        <w:t xml:space="preserve">Antoniewicz, M.R., Kelleher, J.K., and Stephanopoulos, G. (2006). Determination of confidence intervals of metabolic fluxes estimated from stable isotope measurements. Metab Eng</w:t>
      </w:r>
      <w:r>
        <w:t xml:space="preserve"> </w:t>
      </w:r>
      <w:r>
        <w:rPr>
          <w:iCs/>
          <w:i/>
        </w:rPr>
        <w:t xml:space="preserve">8</w:t>
      </w:r>
      <w:r>
        <w:t xml:space="preserve">, 324–337.</w:t>
      </w:r>
    </w:p>
    <w:bookmarkEnd w:id="77"/>
    <w:bookmarkStart w:id="78" w:name="ref-RN3117"/>
    <w:p>
      <w:pPr>
        <w:pStyle w:val="Bibliography"/>
      </w:pPr>
      <w:r>
        <w:t xml:space="preserve">Batie, M., Frost, J., Frost, M., Wilson, J.W., Schofield, P., and Rocha, S. (2019). Hypoxia induces rapid changes to histone methylation and reprograms chromatin. Science</w:t>
      </w:r>
      <w:r>
        <w:t xml:space="preserve"> </w:t>
      </w:r>
      <w:r>
        <w:rPr>
          <w:iCs/>
          <w:i/>
        </w:rPr>
        <w:t xml:space="preserve">363</w:t>
      </w:r>
      <w:r>
        <w:t xml:space="preserve">, 1222–1226.</w:t>
      </w:r>
    </w:p>
    <w:bookmarkEnd w:id="78"/>
    <w:bookmarkStart w:id="79" w:name="ref-RN3077"/>
    <w:p>
      <w:pPr>
        <w:pStyle w:val="Bibliography"/>
      </w:pPr>
      <w:r>
        <w:t xml:space="preserve">Broadhurst, D., Goodacre, R., Reinke, S.N., Kuligowski, J., Wilson, I.D., Lewis, M.R., and Dunn, W.B. (2018). Guidelines and considerations for the use of system suitability and quality control samples in mass spectrometry assays applied in untargeted clinical metabolomic studies. Metabolomics</w:t>
      </w:r>
      <w:r>
        <w:t xml:space="preserve"> </w:t>
      </w:r>
      <w:r>
        <w:rPr>
          <w:iCs/>
          <w:i/>
        </w:rPr>
        <w:t xml:space="preserve">14</w:t>
      </w:r>
      <w:r>
        <w:t xml:space="preserve">, 72.</w:t>
      </w:r>
    </w:p>
    <w:bookmarkEnd w:id="79"/>
    <w:bookmarkStart w:id="80" w:name="ref-RN2618"/>
    <w:p>
      <w:pPr>
        <w:pStyle w:val="Bibliography"/>
      </w:pPr>
      <w:r>
        <w:t xml:space="preserve">Chance, B., and Williams, G.R. (1955). Respiratory enzymes in oxidative phosphorylation. III. The steady state. J Biol Chem</w:t>
      </w:r>
      <w:r>
        <w:t xml:space="preserve"> </w:t>
      </w:r>
      <w:r>
        <w:rPr>
          <w:iCs/>
          <w:i/>
        </w:rPr>
        <w:t xml:space="preserve">217</w:t>
      </w:r>
      <w:r>
        <w:t xml:space="preserve">, 409–427.</w:t>
      </w:r>
    </w:p>
    <w:bookmarkEnd w:id="80"/>
    <w:bookmarkStart w:id="81" w:name="ref-RN295"/>
    <w:p>
      <w:pPr>
        <w:pStyle w:val="Bibliography"/>
      </w:pPr>
      <w:r>
        <w:t xml:space="preserve">Chandel, N.S., Maltepe, E., Goldwasser, E., Mathieu, C.E., Simon, M.C., and Schumacker, P.T. (1998). Mitochondrial reactive oxygen species trigger hypoxia-induced transcription. Proc Natl Acad Sci U S A</w:t>
      </w:r>
      <w:r>
        <w:t xml:space="preserve"> </w:t>
      </w:r>
      <w:r>
        <w:rPr>
          <w:iCs/>
          <w:i/>
        </w:rPr>
        <w:t xml:space="preserve">95</w:t>
      </w:r>
      <w:r>
        <w:t xml:space="preserve">, 11715–11720.</w:t>
      </w:r>
    </w:p>
    <w:bookmarkEnd w:id="81"/>
    <w:bookmarkStart w:id="82" w:name="ref-RN366"/>
    <w:p>
      <w:pPr>
        <w:pStyle w:val="Bibliography"/>
      </w:pPr>
      <w:r>
        <w:t xml:space="preserve">Contreras-Baeza, Y., Sandoval, P.Y., Alarcon, R., Galaz, A., Cortes-Molina, F., Alegria, K., Baeza-Lehnert, F., Arce-Molina, R., Guequen, A., Flores, C.A., et al. (2019). Monocarboxylate transporter 4 (MCT4) is a high affinity transporter capable of exporting lactate in high-lactate microenvironments. J Biol Chem</w:t>
      </w:r>
      <w:r>
        <w:t xml:space="preserve"> </w:t>
      </w:r>
      <w:r>
        <w:rPr>
          <w:iCs/>
          <w:i/>
        </w:rPr>
        <w:t xml:space="preserve">294</w:t>
      </w:r>
      <w:r>
        <w:t xml:space="preserve">, 20135–20147.</w:t>
      </w:r>
    </w:p>
    <w:bookmarkEnd w:id="82"/>
    <w:bookmarkStart w:id="83" w:name="ref-RN3094"/>
    <w:p>
      <w:pPr>
        <w:pStyle w:val="Bibliography"/>
      </w:pPr>
      <w:r>
        <w:t xml:space="preserve">Dieterle, F., Ross, A., Schlotterbeck, G., and Senn, H. (2006). Probabilistic quotient normalization as robust method to account for dilution of complex biological mixtures. Application in 1H NMR metabonomics. Anal Chem</w:t>
      </w:r>
      <w:r>
        <w:t xml:space="preserve"> </w:t>
      </w:r>
      <w:r>
        <w:rPr>
          <w:iCs/>
          <w:i/>
        </w:rPr>
        <w:t xml:space="preserve">78</w:t>
      </w:r>
      <w:r>
        <w:t xml:space="preserve">, 4281–4290.</w:t>
      </w:r>
    </w:p>
    <w:bookmarkEnd w:id="83"/>
    <w:bookmarkStart w:id="84" w:name="ref-RN2600"/>
    <w:p>
      <w:pPr>
        <w:pStyle w:val="Bibliography"/>
      </w:pPr>
      <w:r>
        <w:t xml:space="preserve">Faubert, B., Boily, G., Izreig, S., Griss, T., Samborska, B., Dong, Z., Dupuy, F., Chambers, C., Fuerth, B.J., Viollet, B., et al. (2013). AMPK is a negative regulator of the warburg effect and suppresses tumor growth in vivo. Cell Metab</w:t>
      </w:r>
      <w:r>
        <w:t xml:space="preserve"> </w:t>
      </w:r>
      <w:r>
        <w:rPr>
          <w:iCs/>
          <w:i/>
        </w:rPr>
        <w:t xml:space="preserve">17</w:t>
      </w:r>
      <w:r>
        <w:t xml:space="preserve">, 113–124.</w:t>
      </w:r>
    </w:p>
    <w:bookmarkEnd w:id="84"/>
    <w:bookmarkStart w:id="85" w:name="ref-RN545"/>
    <w:p>
      <w:pPr>
        <w:pStyle w:val="Bibliography"/>
      </w:pPr>
      <w:r>
        <w:t xml:space="preserve">Favaro, E., Bensaad, K., Chong, M.G., Tennant, D.A., Ferguson, D.J., Snell, C., Steers, G., Turley, H., Li, J.L., Gunther, U.L., et al. (2012). Glucose utilization via glycogen phosphorylase sustains proliferation and prevents premature senescence in cancer cells. Cell Metab</w:t>
      </w:r>
      <w:r>
        <w:t xml:space="preserve"> </w:t>
      </w:r>
      <w:r>
        <w:rPr>
          <w:iCs/>
          <w:i/>
        </w:rPr>
        <w:t xml:space="preserve">16</w:t>
      </w:r>
      <w:r>
        <w:t xml:space="preserve">, 751–764.</w:t>
      </w:r>
    </w:p>
    <w:bookmarkEnd w:id="85"/>
    <w:bookmarkStart w:id="86" w:name="ref-RN557"/>
    <w:p>
      <w:pPr>
        <w:pStyle w:val="Bibliography"/>
      </w:pPr>
      <w:r>
        <w:t xml:space="preserve">Fernandez, C.A., Des Rosiers, C., Previs, S.F., David, F., and Brunengraber, H. (1996). Correction of 13C mass isotopomer distributions for natural stable isotope abundance. J Mass Spectrom</w:t>
      </w:r>
      <w:r>
        <w:t xml:space="preserve"> </w:t>
      </w:r>
      <w:r>
        <w:rPr>
          <w:iCs/>
          <w:i/>
        </w:rPr>
        <w:t xml:space="preserve">31</w:t>
      </w:r>
      <w:r>
        <w:t xml:space="preserve">, 255–262.</w:t>
      </w:r>
    </w:p>
    <w:bookmarkEnd w:id="86"/>
    <w:bookmarkStart w:id="87" w:name="ref-RN580"/>
    <w:p>
      <w:pPr>
        <w:pStyle w:val="Bibliography"/>
      </w:pPr>
      <w:r>
        <w:t xml:space="preserve">Flamme, I., Oehme, F., Ellinghaus, P., Jeske, M., Keldenich, J., and Thuss, U. (2014). Mimicking hypoxia to treat anemia: HIF-stabilizer BAY 85-3934 (molidustat) stimulates erythropoietin production without hypertensive effects. PLoS One</w:t>
      </w:r>
      <w:r>
        <w:t xml:space="preserve"> </w:t>
      </w:r>
      <w:r>
        <w:rPr>
          <w:iCs/>
          <w:i/>
        </w:rPr>
        <w:t xml:space="preserve">9</w:t>
      </w:r>
      <w:r>
        <w:t xml:space="preserve">, e111838.</w:t>
      </w:r>
    </w:p>
    <w:bookmarkEnd w:id="87"/>
    <w:bookmarkStart w:id="88" w:name="ref-RN628"/>
    <w:p>
      <w:pPr>
        <w:pStyle w:val="Bibliography"/>
      </w:pPr>
      <w:r>
        <w:t xml:space="preserve">Gameiro, P.A., Yang, J., Metelo, A.M., Perez-Carro, R., Baker, R., Wang, Z., Arreola, A., Rathmell, W.K., Olumi, A., Lopez-Larrubia, P., et al. (2013). In vivo HIF-mediated reductive carboxylation is regulated by citrate levels and sensitizes VHL-deficient cells to glutamine deprivation. Cell Metab</w:t>
      </w:r>
      <w:r>
        <w:t xml:space="preserve"> </w:t>
      </w:r>
      <w:r>
        <w:rPr>
          <w:iCs/>
          <w:i/>
        </w:rPr>
        <w:t xml:space="preserve">17</w:t>
      </w:r>
      <w:r>
        <w:t xml:space="preserve">, 372–385.</w:t>
      </w:r>
    </w:p>
    <w:bookmarkEnd w:id="88"/>
    <w:bookmarkStart w:id="89" w:name="ref-RN634"/>
    <w:p>
      <w:pPr>
        <w:pStyle w:val="Bibliography"/>
      </w:pPr>
      <w:r>
        <w:t xml:space="preserve">Garcia-Bermudez, J., Baudrier, L., La, K., Zhu, X.G., Fidelin, J., Sviderskiy, V.O., Papagiannakopoulos, T., Molina, H., Snuderl, M., Lewis, C.A., et al. (2018). Aspartate is a limiting metabolite for cancer cell proliferation under hypoxia and in tumours. Nat Cell Biol</w:t>
      </w:r>
      <w:r>
        <w:t xml:space="preserve"> </w:t>
      </w:r>
      <w:r>
        <w:rPr>
          <w:iCs/>
          <w:i/>
        </w:rPr>
        <w:t xml:space="preserve">20</w:t>
      </w:r>
      <w:r>
        <w:t xml:space="preserve">, 775–781.</w:t>
      </w:r>
    </w:p>
    <w:bookmarkEnd w:id="89"/>
    <w:bookmarkStart w:id="90" w:name="ref-RN2619"/>
    <w:p>
      <w:pPr>
        <w:pStyle w:val="Bibliography"/>
      </w:pPr>
      <w:r>
        <w:t xml:space="preserve">Garofalo, O., Cox, D.W., and Bachelard, H.S. (1988). Brain levels of NADH and NAD+ under hypoxic and hypoglycaemic conditions in vitro. J Neurochem</w:t>
      </w:r>
      <w:r>
        <w:t xml:space="preserve"> </w:t>
      </w:r>
      <w:r>
        <w:rPr>
          <w:iCs/>
          <w:i/>
        </w:rPr>
        <w:t xml:space="preserve">51</w:t>
      </w:r>
      <w:r>
        <w:t xml:space="preserve">, 172–176.</w:t>
      </w:r>
    </w:p>
    <w:bookmarkEnd w:id="90"/>
    <w:bookmarkStart w:id="91" w:name="ref-RN713"/>
    <w:p>
      <w:pPr>
        <w:pStyle w:val="Bibliography"/>
      </w:pPr>
      <w:r>
        <w:t xml:space="preserve">Grassian, A.R., Parker, S.J., Davidson, S.M., Divakaruni, A.S., Green, C.R., Zhang, X., Slocum, K.L., Pu, M., Lin, F., Vickers, C., et al. (2014). IDH1 mutations alter citric acid cycle metabolism and increase dependence on oxidative mitochondrial metabolism. Cancer Res</w:t>
      </w:r>
      <w:r>
        <w:t xml:space="preserve"> </w:t>
      </w:r>
      <w:r>
        <w:rPr>
          <w:iCs/>
          <w:i/>
        </w:rPr>
        <w:t xml:space="preserve">74</w:t>
      </w:r>
      <w:r>
        <w:t xml:space="preserve">, 3317–3331.</w:t>
      </w:r>
    </w:p>
    <w:bookmarkEnd w:id="91"/>
    <w:bookmarkStart w:id="92" w:name="ref-RN730"/>
    <w:p>
      <w:pPr>
        <w:pStyle w:val="Bibliography"/>
      </w:pPr>
      <w:r>
        <w:t xml:space="preserve">Guarino, V.A., Oldham, W.M., Loscalzo, J., and Zhang, Y.Y. (2019). Reaction rate of pyruvate and hydrogen peroxide: Assessing antioxidant capacity of pyruvate under biological conditions. Sci Rep</w:t>
      </w:r>
      <w:r>
        <w:t xml:space="preserve"> </w:t>
      </w:r>
      <w:r>
        <w:rPr>
          <w:iCs/>
          <w:i/>
        </w:rPr>
        <w:t xml:space="preserve">9</w:t>
      </w:r>
      <w:r>
        <w:t xml:space="preserve">, 19568.</w:t>
      </w:r>
    </w:p>
    <w:bookmarkEnd w:id="92"/>
    <w:bookmarkStart w:id="93" w:name="ref-RN742"/>
    <w:p>
      <w:pPr>
        <w:pStyle w:val="Bibliography"/>
      </w:pPr>
      <w:r>
        <w:t xml:space="preserve">Guzy, R.D., Hoyos, B., Robin, E., Chen, H., Liu, L., Mansfield, K.D., Simon, M.C., Hammerling, U., and Schumacker, P.T. (2005). Mitochondrial complex III is required for hypoxia-induced ROS production and cellular oxygen sensing. Cell Metab</w:t>
      </w:r>
      <w:r>
        <w:t xml:space="preserve"> </w:t>
      </w:r>
      <w:r>
        <w:rPr>
          <w:iCs/>
          <w:i/>
        </w:rPr>
        <w:t xml:space="preserve">1</w:t>
      </w:r>
      <w:r>
        <w:t xml:space="preserve">, 401–408.</w:t>
      </w:r>
    </w:p>
    <w:bookmarkEnd w:id="93"/>
    <w:bookmarkStart w:id="94" w:name="ref-RN2756"/>
    <w:p>
      <w:pPr>
        <w:pStyle w:val="Bibliography"/>
      </w:pPr>
      <w:r>
        <w:t xml:space="preserve">Hui, S., Ghergurovich, J.M., Morscher, R.J., Jang, C., Teng, X., Lu, W., Esparza, L.A., Reya, T., Le, Z., Yanxiang Guo, J., et al. (2017). Glucose feeds the TCA cycle via circulating lactate. Nature</w:t>
      </w:r>
      <w:r>
        <w:t xml:space="preserve"> </w:t>
      </w:r>
      <w:r>
        <w:rPr>
          <w:iCs/>
          <w:i/>
        </w:rPr>
        <w:t xml:space="preserve">551</w:t>
      </w:r>
      <w:r>
        <w:t xml:space="preserve">, 115–118.</w:t>
      </w:r>
    </w:p>
    <w:bookmarkEnd w:id="94"/>
    <w:bookmarkStart w:id="95" w:name="ref-RN2718"/>
    <w:p>
      <w:pPr>
        <w:pStyle w:val="Bibliography"/>
      </w:pPr>
      <w:r>
        <w:t xml:space="preserve">Hui, S., Cowan, A.J., Zeng, X., Yang, L., TeSlaa, T., Li, X., Bartman, C., Zhang, Z., Jang, C., Wang, L., et al. (2020). Quantitative fluxomics of circulating metabolites. Cell Metab.</w:t>
      </w:r>
    </w:p>
    <w:bookmarkEnd w:id="95"/>
    <w:bookmarkStart w:id="96" w:name="ref-RN2611"/>
    <w:p>
      <w:pPr>
        <w:pStyle w:val="Bibliography"/>
      </w:pPr>
      <w:r>
        <w:t xml:space="preserve">Islam, M.S., Leissing, T.M., Chowdhury, R., Hopkinson, R.J., and Schofield, C.J. (2018). 2-oxoglutarate-dependent oxygenases. Annu Rev Biochem</w:t>
      </w:r>
      <w:r>
        <w:t xml:space="preserve"> </w:t>
      </w:r>
      <w:r>
        <w:rPr>
          <w:iCs/>
          <w:i/>
        </w:rPr>
        <w:t xml:space="preserve">87</w:t>
      </w:r>
      <w:r>
        <w:t xml:space="preserve">, 585–620.</w:t>
      </w:r>
    </w:p>
    <w:bookmarkEnd w:id="96"/>
    <w:bookmarkStart w:id="97" w:name="ref-RN953"/>
    <w:p>
      <w:pPr>
        <w:pStyle w:val="Bibliography"/>
      </w:pPr>
      <w:r>
        <w:t xml:space="preserve">Jain, I.H., Calvo, S.E., Markhard, A.L., Skinner, O.S., To, T.L., Ast, T., and Mootha, V.K. (2020). Genetic screen for cell fitness in high or low oxygen highlights mitochondrial and lipid metabolism. Cell</w:t>
      </w:r>
      <w:r>
        <w:t xml:space="preserve"> </w:t>
      </w:r>
      <w:r>
        <w:rPr>
          <w:iCs/>
          <w:i/>
        </w:rPr>
        <w:t xml:space="preserve">181</w:t>
      </w:r>
      <w:r>
        <w:t xml:space="preserve">, 716–727 e11.</w:t>
      </w:r>
    </w:p>
    <w:bookmarkEnd w:id="97"/>
    <w:bookmarkStart w:id="98" w:name="ref-RN964"/>
    <w:p>
      <w:pPr>
        <w:pStyle w:val="Bibliography"/>
      </w:pPr>
      <w:r>
        <w:t xml:space="preserve">Jazmin, L.J., and Young, J.D. (2013). Isotopically nonstationary 13C metabolic flux analysis. Methods Mol Biol</w:t>
      </w:r>
      <w:r>
        <w:t xml:space="preserve"> </w:t>
      </w:r>
      <w:r>
        <w:rPr>
          <w:iCs/>
          <w:i/>
        </w:rPr>
        <w:t xml:space="preserve">985</w:t>
      </w:r>
      <w:r>
        <w:t xml:space="preserve">, 367–390.</w:t>
      </w:r>
    </w:p>
    <w:bookmarkEnd w:id="98"/>
    <w:bookmarkStart w:id="99" w:name="ref-RN975"/>
    <w:p>
      <w:pPr>
        <w:pStyle w:val="Bibliography"/>
      </w:pPr>
      <w:r>
        <w:t xml:space="preserve">Jiang, L., Shestov, A.A., Swain, P., Yang, C., Parker, S.J., Wang, Q.A., Terada, L.S., Adams, N.D., McCabe, M.T., Pietrak, B., et al. (2016). Reductive carboxylation supports redox homeostasis during anchorage-independent growth. Nature</w:t>
      </w:r>
      <w:r>
        <w:t xml:space="preserve"> </w:t>
      </w:r>
      <w:r>
        <w:rPr>
          <w:iCs/>
          <w:i/>
        </w:rPr>
        <w:t xml:space="preserve">532</w:t>
      </w:r>
      <w:r>
        <w:t xml:space="preserve">, 255–258.</w:t>
      </w:r>
    </w:p>
    <w:bookmarkEnd w:id="99"/>
    <w:bookmarkStart w:id="100" w:name="ref-RN999"/>
    <w:p>
      <w:pPr>
        <w:pStyle w:val="Bibliography"/>
      </w:pPr>
      <w:r>
        <w:t xml:space="preserve">Kaelin, Jr., W. G., and Ratcliffe, P.J. (2008). Oxygen sensing by metazoans: The central role of the HIF hydroxylase pathway. Mol Cell</w:t>
      </w:r>
      <w:r>
        <w:t xml:space="preserve"> </w:t>
      </w:r>
      <w:r>
        <w:rPr>
          <w:iCs/>
          <w:i/>
        </w:rPr>
        <w:t xml:space="preserve">30</w:t>
      </w:r>
      <w:r>
        <w:t xml:space="preserve">, 393–402.</w:t>
      </w:r>
    </w:p>
    <w:bookmarkEnd w:id="100"/>
    <w:bookmarkStart w:id="101" w:name="ref-RN1063"/>
    <w:p>
      <w:pPr>
        <w:pStyle w:val="Bibliography"/>
      </w:pPr>
      <w:r>
        <w:t xml:space="preserve">Kim, D., Fiske, B.P., Birsoy, K., Freinkman, E., Kami, K., Possemato, R.L., Chudnovsky, Y., Pacold, M.E., Chen, W.W., Cantor, J.R., et al. (2015). SHMT2 drives glioma cell survival in ischaemia but imposes a dependence on glycine clearance. Nature</w:t>
      </w:r>
      <w:r>
        <w:t xml:space="preserve"> </w:t>
      </w:r>
      <w:r>
        <w:rPr>
          <w:iCs/>
          <w:i/>
        </w:rPr>
        <w:t xml:space="preserve">520</w:t>
      </w:r>
      <w:r>
        <w:t xml:space="preserve">, 363–367.</w:t>
      </w:r>
    </w:p>
    <w:bookmarkEnd w:id="101"/>
    <w:bookmarkStart w:id="102" w:name="ref-fgsea"/>
    <w:p>
      <w:pPr>
        <w:pStyle w:val="Bibliography"/>
      </w:pPr>
      <w:r>
        <w:t xml:space="preserve">Korotkevich, G., Sukhov, V., and Sergushichev, A. (2019). Fast gene set enrichment analysis. bioRxiv.</w:t>
      </w:r>
    </w:p>
    <w:bookmarkEnd w:id="102"/>
    <w:bookmarkStart w:id="103" w:name="ref-RN1198"/>
    <w:p>
      <w:pPr>
        <w:pStyle w:val="Bibliography"/>
      </w:pPr>
      <w:r>
        <w:t xml:space="preserve">Lee, P., Chandel, N.S., and Simon, M.C. (2020). Cellular adaptation to hypoxia through hypoxia inducible factors and beyond. Nat Rev Mol Cell Biol</w:t>
      </w:r>
      <w:r>
        <w:t xml:space="preserve"> </w:t>
      </w:r>
      <w:r>
        <w:rPr>
          <w:iCs/>
          <w:i/>
        </w:rPr>
        <w:t xml:space="preserve">21</w:t>
      </w:r>
      <w:r>
        <w:t xml:space="preserve">, 268–283.</w:t>
      </w:r>
    </w:p>
    <w:bookmarkEnd w:id="103"/>
    <w:bookmarkStart w:id="104" w:name="ref-RN1200"/>
    <w:p>
      <w:pPr>
        <w:pStyle w:val="Bibliography"/>
      </w:pPr>
      <w:r>
        <w:t xml:space="preserve">Lee, W.D., Mukha, D., Aizenshtein, E., and Shlomi, T. (2019). Spatial-fluxomics provides a subcellular-compartmentalized view of reductive glutamine metabolism in cancer cells. Nat Commun</w:t>
      </w:r>
      <w:r>
        <w:t xml:space="preserve"> </w:t>
      </w:r>
      <w:r>
        <w:rPr>
          <w:iCs/>
          <w:i/>
        </w:rPr>
        <w:t xml:space="preserve">10</w:t>
      </w:r>
      <w:r>
        <w:t xml:space="preserve">, 1351.</w:t>
      </w:r>
    </w:p>
    <w:bookmarkEnd w:id="104"/>
    <w:bookmarkStart w:id="105" w:name="ref-Rsubread"/>
    <w:p>
      <w:pPr>
        <w:pStyle w:val="Bibliography"/>
      </w:pPr>
      <w:r>
        <w:t xml:space="preserve">Liao, Y., Smyth, G.K., and Shi, W. (2019). The</w:t>
      </w:r>
      <w:r>
        <w:t xml:space="preserve"> </w:t>
      </w:r>
      <w:r>
        <w:t xml:space="preserve">R</w:t>
      </w:r>
      <w:r>
        <w:t xml:space="preserve"> </w:t>
      </w:r>
      <w:r>
        <w:t xml:space="preserve">package</w:t>
      </w:r>
      <w:r>
        <w:t xml:space="preserve"> </w:t>
      </w:r>
      <w:r>
        <w:t xml:space="preserve">Rsubread</w:t>
      </w:r>
      <w:r>
        <w:t xml:space="preserve"> </w:t>
      </w:r>
      <w:r>
        <w:t xml:space="preserve">is easier, faster, cheaper and better for alignment and quantification of</w:t>
      </w:r>
      <w:r>
        <w:t xml:space="preserve"> </w:t>
      </w:r>
      <w:r>
        <w:t xml:space="preserve">RNA</w:t>
      </w:r>
      <w:r>
        <w:t xml:space="preserve"> </w:t>
      </w:r>
      <w:r>
        <w:t xml:space="preserve">sequencing reads. Nucleic Acids Research</w:t>
      </w:r>
      <w:r>
        <w:t xml:space="preserve"> </w:t>
      </w:r>
      <w:r>
        <w:rPr>
          <w:iCs/>
          <w:i/>
        </w:rPr>
        <w:t xml:space="preserve">47</w:t>
      </w:r>
      <w:r>
        <w:t xml:space="preserve">, e47.</w:t>
      </w:r>
    </w:p>
    <w:bookmarkEnd w:id="105"/>
    <w:bookmarkStart w:id="106" w:name="ref-RN3112"/>
    <w:p>
      <w:pPr>
        <w:pStyle w:val="Bibliography"/>
      </w:pPr>
      <w:r>
        <w:t xml:space="preserve">Liberzon, A., Birger, C., Thorvaldsdottir, H., Ghandi, M., Mesirov, J.P., and Tamayo, P. (2015). The molecular signatures database (MSigDB) hallmark gene set collection. Cell Syst</w:t>
      </w:r>
      <w:r>
        <w:t xml:space="preserve"> </w:t>
      </w:r>
      <w:r>
        <w:rPr>
          <w:iCs/>
          <w:i/>
        </w:rPr>
        <w:t xml:space="preserve">1</w:t>
      </w:r>
      <w:r>
        <w:t xml:space="preserve">, 417–425.</w:t>
      </w:r>
    </w:p>
    <w:bookmarkEnd w:id="106"/>
    <w:bookmarkStart w:id="107" w:name="ref-RN1294"/>
    <w:p>
      <w:pPr>
        <w:pStyle w:val="Bibliography"/>
      </w:pPr>
      <w:r>
        <w:t xml:space="preserve">Long, W. (2017). Automated amino acid analysis using an agilent poroshell HPH-C18 column. Application Note, Agilent Technologies, Inc.</w:t>
      </w:r>
      <w:r>
        <w:t xml:space="preserve"> </w:t>
      </w:r>
      <w:r>
        <w:rPr>
          <w:iCs/>
          <w:i/>
        </w:rPr>
        <w:t xml:space="preserve">Publication Number 5991-5571EN</w:t>
      </w:r>
      <w:r>
        <w:t xml:space="preserve">, 1–10.</w:t>
      </w:r>
    </w:p>
    <w:bookmarkEnd w:id="107"/>
    <w:bookmarkStart w:id="108" w:name="ref-DESeq2"/>
    <w:p>
      <w:pPr>
        <w:pStyle w:val="Bibliography"/>
      </w:pPr>
      <w:r>
        <w:t xml:space="preserve">Love, M.I., Huber, W., and Anders, S. (2014). Moderated estimation of fold change and dispersion for RNA-seq data with DESeq2. Genome Biology</w:t>
      </w:r>
      <w:r>
        <w:t xml:space="preserve"> </w:t>
      </w:r>
      <w:r>
        <w:rPr>
          <w:iCs/>
          <w:i/>
        </w:rPr>
        <w:t xml:space="preserve">15</w:t>
      </w:r>
      <w:r>
        <w:t xml:space="preserve">, 550.</w:t>
      </w:r>
    </w:p>
    <w:bookmarkEnd w:id="108"/>
    <w:bookmarkStart w:id="109" w:name="ref-RN1384"/>
    <w:p>
      <w:pPr>
        <w:pStyle w:val="Bibliography"/>
      </w:pPr>
      <w:r>
        <w:t xml:space="preserve">Masson, N., Keeley, T.P., Giuntoli, B., White, M.D., Puerta, M.L., Perata, P., Hopkinson, R.J., Flashman, E., Licausi, F., and Ratcliffe, P.J. (2019). Conserved n-terminal cysteine dioxygenases transduce responses to hypoxia in animals and plants. Science</w:t>
      </w:r>
      <w:r>
        <w:t xml:space="preserve"> </w:t>
      </w:r>
      <w:r>
        <w:rPr>
          <w:iCs/>
          <w:i/>
        </w:rPr>
        <w:t xml:space="preserve">365</w:t>
      </w:r>
      <w:r>
        <w:t xml:space="preserve">, 65–69.</w:t>
      </w:r>
    </w:p>
    <w:bookmarkEnd w:id="109"/>
    <w:bookmarkStart w:id="110" w:name="ref-RN1438"/>
    <w:p>
      <w:pPr>
        <w:pStyle w:val="Bibliography"/>
      </w:pPr>
      <w:r>
        <w:t xml:space="preserve">Melendez-Rodriguez, F., Urrutia, A.A., Lorendeau, D., Rinaldi, G., Roche, O., Bogurcu-Seidel, N., Ortega Muelas, M., Mesa-Ciller, C., Turiel, G., Bouthelier, A., et al. (2019). HIF1alpha suppresses tumor cell proliferation through inhibition of aspartate biosynthesis. Cell Rep</w:t>
      </w:r>
      <w:r>
        <w:t xml:space="preserve"> </w:t>
      </w:r>
      <w:r>
        <w:rPr>
          <w:iCs/>
          <w:i/>
        </w:rPr>
        <w:t xml:space="preserve">26</w:t>
      </w:r>
      <w:r>
        <w:t xml:space="preserve">, 2257–2265 e4.</w:t>
      </w:r>
    </w:p>
    <w:bookmarkEnd w:id="110"/>
    <w:bookmarkStart w:id="111" w:name="ref-RN1447"/>
    <w:p>
      <w:pPr>
        <w:pStyle w:val="Bibliography"/>
      </w:pPr>
      <w:r>
        <w:t xml:space="preserve">Metallo, C.M., Gameiro, P.A., Bell, E.L., Mattaini, K.R., Yang, J., Hiller, K., Jewell, C.M., Johnson, Z.R., Irvine, D.J., Guarente, L., et al. (2011). Reductive glutamine metabolism by IDH1 mediates lipogenesis under hypoxia. Nature</w:t>
      </w:r>
      <w:r>
        <w:t xml:space="preserve"> </w:t>
      </w:r>
      <w:r>
        <w:rPr>
          <w:iCs/>
          <w:i/>
        </w:rPr>
        <w:t xml:space="preserve">481</w:t>
      </w:r>
      <w:r>
        <w:t xml:space="preserve">, 380–384.</w:t>
      </w:r>
    </w:p>
    <w:bookmarkEnd w:id="111"/>
    <w:bookmarkStart w:id="112" w:name="ref-RN1523"/>
    <w:p>
      <w:pPr>
        <w:pStyle w:val="Bibliography"/>
      </w:pPr>
      <w:r>
        <w:t xml:space="preserve">Murphy, T.A., and Young, J.D. (2013). ETA: Robust software for determination of cell specific rates from extracellular time courses. Biotechnol Bioeng</w:t>
      </w:r>
      <w:r>
        <w:t xml:space="preserve"> </w:t>
      </w:r>
      <w:r>
        <w:rPr>
          <w:iCs/>
          <w:i/>
        </w:rPr>
        <w:t xml:space="preserve">110</w:t>
      </w:r>
      <w:r>
        <w:t xml:space="preserve">, 1748–1758.</w:t>
      </w:r>
    </w:p>
    <w:bookmarkEnd w:id="112"/>
    <w:bookmarkStart w:id="113" w:name="ref-RN1522"/>
    <w:p>
      <w:pPr>
        <w:pStyle w:val="Bibliography"/>
      </w:pPr>
      <w:r>
        <w:t xml:space="preserve">Murphy, T.A., Dang, C.V., and Young, J.D. (2013). Isotopically nonstationary 13C flux analysis of myc-induced metabolic reprogramming in b-cells. Metab Eng</w:t>
      </w:r>
      <w:r>
        <w:t xml:space="preserve"> </w:t>
      </w:r>
      <w:r>
        <w:rPr>
          <w:iCs/>
          <w:i/>
        </w:rPr>
        <w:t xml:space="preserve">15</w:t>
      </w:r>
      <w:r>
        <w:t xml:space="preserve">, 206–217.</w:t>
      </w:r>
    </w:p>
    <w:bookmarkEnd w:id="113"/>
    <w:bookmarkStart w:id="114" w:name="ref-RN1603"/>
    <w:p>
      <w:pPr>
        <w:pStyle w:val="Bibliography"/>
      </w:pPr>
      <w:r>
        <w:t xml:space="preserve">Oldham, W.M., Clish, C.B., Yang, Y., and Loscalzo, J. (2015). Hypoxia-mediated increases in l-2-hydroxyglutarate coordinate the metabolic response to reductive stress. Cell Metab</w:t>
      </w:r>
      <w:r>
        <w:t xml:space="preserve"> </w:t>
      </w:r>
      <w:r>
        <w:rPr>
          <w:iCs/>
          <w:i/>
        </w:rPr>
        <w:t xml:space="preserve">22</w:t>
      </w:r>
      <w:r>
        <w:t xml:space="preserve">, 291–303.</w:t>
      </w:r>
    </w:p>
    <w:bookmarkEnd w:id="114"/>
    <w:bookmarkStart w:id="115" w:name="ref-RN1668"/>
    <w:p>
      <w:pPr>
        <w:pStyle w:val="Bibliography"/>
      </w:pPr>
      <w:r>
        <w:t xml:space="preserve">Pelletier, J., Bellot, G., Gounon, P., Lacas-Gervais, S., Pouyssegur, J., and Mazure, N.M. (2012). Glycogen synthesis is induced in hypoxia by the hypoxia-inducible factor and promotes cancer cell survival. Front Oncol</w:t>
      </w:r>
      <w:r>
        <w:t xml:space="preserve"> </w:t>
      </w:r>
      <w:r>
        <w:rPr>
          <w:iCs/>
          <w:i/>
        </w:rPr>
        <w:t xml:space="preserve">2</w:t>
      </w:r>
      <w:r>
        <w:t xml:space="preserve">, 18.</w:t>
      </w:r>
    </w:p>
    <w:bookmarkEnd w:id="115"/>
    <w:bookmarkStart w:id="116" w:name="ref-RN1678"/>
    <w:p>
      <w:pPr>
        <w:pStyle w:val="Bibliography"/>
      </w:pPr>
      <w:r>
        <w:t xml:space="preserve">Pescador, N., Villar, D., Cifuentes, D., Garcia-Rocha, M., Ortiz-Barahona, A., Vazquez, S., Ordonez, A., Cuevas, Y., Saez-Morales, D., Garcia-Bermejo, M.L., et al. (2010). Hypoxia promotes glycogen accumulation through hypoxia inducible factor (HIF)-mediated induction of glycogen synthase 1. PLoS One</w:t>
      </w:r>
      <w:r>
        <w:t xml:space="preserve"> </w:t>
      </w:r>
      <w:r>
        <w:rPr>
          <w:iCs/>
          <w:i/>
        </w:rPr>
        <w:t xml:space="preserve">5</w:t>
      </w:r>
      <w:r>
        <w:t xml:space="preserve">, e9644.</w:t>
      </w:r>
    </w:p>
    <w:bookmarkEnd w:id="116"/>
    <w:bookmarkStart w:id="117" w:name="ref-TFEA.ChIP"/>
    <w:p>
      <w:pPr>
        <w:pStyle w:val="Bibliography"/>
      </w:pPr>
      <w:r>
        <w:t xml:space="preserve">Puente-Santamaria, L., Wasserman, W., and del Peso, L. (2019). TFEA.ChIP: A tool kit for transcription factor binding site enrichment analysis capitalizing on ChIP-seq datasets. Bioinformatics.</w:t>
      </w:r>
    </w:p>
    <w:bookmarkEnd w:id="117"/>
    <w:bookmarkStart w:id="118" w:name="ref-RN1741"/>
    <w:p>
      <w:pPr>
        <w:pStyle w:val="Bibliography"/>
      </w:pPr>
      <w:r>
        <w:t xml:space="preserve">Quek, L.E., Dietmair, S., Kromer, J.O., and Nielsen, L.K. (2010). Metabolic flux analysis in mammalian cell culture. Metab Eng</w:t>
      </w:r>
      <w:r>
        <w:t xml:space="preserve"> </w:t>
      </w:r>
      <w:r>
        <w:rPr>
          <w:iCs/>
          <w:i/>
        </w:rPr>
        <w:t xml:space="preserve">12</w:t>
      </w:r>
      <w:r>
        <w:t xml:space="preserve">, 161–171.</w:t>
      </w:r>
    </w:p>
    <w:bookmarkEnd w:id="118"/>
    <w:bookmarkStart w:id="119" w:name="ref-R-base"/>
    <w:p>
      <w:pPr>
        <w:pStyle w:val="Bibliography"/>
      </w:pPr>
      <w:r>
        <w:t xml:space="preserve">R Core Team (2020). R: A language and environment for statistical computing (Vienna, Austria: R Foundation for Statistical Computing).</w:t>
      </w:r>
    </w:p>
    <w:bookmarkEnd w:id="119"/>
    <w:bookmarkStart w:id="120" w:name="ref-limma"/>
    <w:p>
      <w:pPr>
        <w:pStyle w:val="Bibliography"/>
      </w:pPr>
      <w:r>
        <w:t xml:space="preserve">Ritchie, M.E., Phipson, B., Wu, D., Hu, Y., Law, C.W., Shi, W., and Smyth, G.K. (2015).</w:t>
      </w:r>
      <w:r>
        <w:t xml:space="preserve"> </w:t>
      </w:r>
      <w:r>
        <w:t xml:space="preserve">limma</w:t>
      </w:r>
      <w:r>
        <w:t xml:space="preserve"> </w:t>
      </w:r>
      <w:r>
        <w:t xml:space="preserve">powers differential expression analyses for</w:t>
      </w:r>
      <w:r>
        <w:t xml:space="preserve"> </w:t>
      </w:r>
      <w:r>
        <w:t xml:space="preserve">RNA</w:t>
      </w:r>
      <w:r>
        <w:t xml:space="preserve">-sequencing and microarray studies. Nucleic Acids Research</w:t>
      </w:r>
      <w:r>
        <w:t xml:space="preserve"> </w:t>
      </w:r>
      <w:r>
        <w:rPr>
          <w:iCs/>
          <w:i/>
        </w:rPr>
        <w:t xml:space="preserve">43</w:t>
      </w:r>
      <w:r>
        <w:t xml:space="preserve">, e47.</w:t>
      </w:r>
    </w:p>
    <w:bookmarkEnd w:id="120"/>
    <w:bookmarkStart w:id="121" w:name="ref-RN1966"/>
    <w:p>
      <w:pPr>
        <w:pStyle w:val="Bibliography"/>
      </w:pPr>
      <w:r>
        <w:t xml:space="preserve">Scott, D.A., Richardson, A.D., Filipp, F.V., Knutzen, C.A., Chiang, G.G., Ronai, Z.A., Osterman, A.L., and Smith, J.W. (2011). Comparative metabolic flux profiling of melanoma cell lines: Beyond the warburg effect. J Biol Chem</w:t>
      </w:r>
      <w:r>
        <w:t xml:space="preserve"> </w:t>
      </w:r>
      <w:r>
        <w:rPr>
          <w:iCs/>
          <w:i/>
        </w:rPr>
        <w:t xml:space="preserve">286</w:t>
      </w:r>
      <w:r>
        <w:t xml:space="preserve">, 42626–42634.</w:t>
      </w:r>
    </w:p>
    <w:bookmarkEnd w:id="121"/>
    <w:bookmarkStart w:id="122" w:name="ref-multiGSEA"/>
    <w:p>
      <w:pPr>
        <w:pStyle w:val="Bibliography"/>
      </w:pPr>
      <w:r>
        <w:t xml:space="preserve">Sebastian, C., and Hackermüller, J. (2020).</w:t>
      </w:r>
      <w:r>
        <w:t xml:space="preserve"> </w:t>
      </w:r>
      <w:r>
        <w:t xml:space="preserve">multiGSEA</w:t>
      </w:r>
      <w:r>
        <w:t xml:space="preserve">:</w:t>
      </w:r>
      <w:r>
        <w:t xml:space="preserve"> </w:t>
      </w:r>
      <w:r>
        <w:t xml:space="preserve">A GSEA</w:t>
      </w:r>
      <w:r>
        <w:t xml:space="preserve">-based pathway enrichment analysis for multi-omics data. BMC Bioinformatics</w:t>
      </w:r>
      <w:r>
        <w:t xml:space="preserve"> </w:t>
      </w:r>
      <w:r>
        <w:rPr>
          <w:iCs/>
          <w:i/>
        </w:rPr>
        <w:t xml:space="preserve">21</w:t>
      </w:r>
      <w:r>
        <w:t xml:space="preserve">.</w:t>
      </w:r>
    </w:p>
    <w:bookmarkEnd w:id="122"/>
    <w:bookmarkStart w:id="123" w:name="ref-RN1980"/>
    <w:p>
      <w:pPr>
        <w:pStyle w:val="Bibliography"/>
      </w:pPr>
      <w:r>
        <w:t xml:space="preserve">Semenza, G.L. (2012). Hypoxia-inducible factors in physiology and medicine. Cell</w:t>
      </w:r>
      <w:r>
        <w:t xml:space="preserve"> </w:t>
      </w:r>
      <w:r>
        <w:rPr>
          <w:iCs/>
          <w:i/>
        </w:rPr>
        <w:t xml:space="preserve">148</w:t>
      </w:r>
      <w:r>
        <w:t xml:space="preserve">, 399–408.</w:t>
      </w:r>
    </w:p>
    <w:bookmarkEnd w:id="123"/>
    <w:bookmarkStart w:id="124" w:name="ref-RN2005"/>
    <w:p>
      <w:pPr>
        <w:pStyle w:val="Bibliography"/>
      </w:pPr>
      <w:r>
        <w:t xml:space="preserve">Sheikh, K., Forster, J., and Nielsen, L.K. (2005). Modeling hybridoma cell metabolism using a generic genome-scale metabolic model of mus musculus. Biotechnol Prog</w:t>
      </w:r>
      <w:r>
        <w:t xml:space="preserve"> </w:t>
      </w:r>
      <w:r>
        <w:rPr>
          <w:iCs/>
          <w:i/>
        </w:rPr>
        <w:t xml:space="preserve">21</w:t>
      </w:r>
      <w:r>
        <w:t xml:space="preserve">, 112–121.</w:t>
      </w:r>
    </w:p>
    <w:bookmarkEnd w:id="124"/>
    <w:bookmarkStart w:id="125" w:name="ref-RN2210"/>
    <w:p>
      <w:pPr>
        <w:pStyle w:val="Bibliography"/>
      </w:pPr>
      <w:r>
        <w:t xml:space="preserve">Tilton, W.M., Seaman, C., Carriero, D., and Piomelli, S. (1991). Regulation of glycolysis in the erythrocyte: Role of the lactate/pyruvate and NAD/NADH ratios. J Lab Clin Med</w:t>
      </w:r>
      <w:r>
        <w:t xml:space="preserve"> </w:t>
      </w:r>
      <w:r>
        <w:rPr>
          <w:iCs/>
          <w:i/>
        </w:rPr>
        <w:t xml:space="preserve">118</w:t>
      </w:r>
      <w:r>
        <w:t xml:space="preserve">, 146–152.</w:t>
      </w:r>
    </w:p>
    <w:bookmarkEnd w:id="125"/>
    <w:bookmarkStart w:id="126" w:name="ref-RN2266"/>
    <w:p>
      <w:pPr>
        <w:pStyle w:val="Bibliography"/>
      </w:pPr>
      <w:r>
        <w:t xml:space="preserve">Vacanti, N.M., Divakaruni, A.S., Green, C.R., Parker, S.J., Henry, R.R., Ciaraldi, T.P., Murphy, A.N., and Metallo, C.M. (2014). Regulation of substrate utilization by the mitochondrial pyruvate carrier. Mol Cell</w:t>
      </w:r>
      <w:r>
        <w:t xml:space="preserve"> </w:t>
      </w:r>
      <w:r>
        <w:rPr>
          <w:iCs/>
          <w:i/>
        </w:rPr>
        <w:t xml:space="preserve">56</w:t>
      </w:r>
      <w:r>
        <w:t xml:space="preserve">, 425–435.</w:t>
      </w:r>
    </w:p>
    <w:bookmarkEnd w:id="126"/>
    <w:bookmarkStart w:id="127" w:name="ref-RN2395"/>
    <w:p>
      <w:pPr>
        <w:pStyle w:val="Bibliography"/>
      </w:pPr>
      <w:r>
        <w:t xml:space="preserve">Wise, D.R., Ward, P.S., Shay, J.E., Cross, J.R., Gruber, J.J., Sachdeva, U.M., Platt, J.M., DeMatteo, R.G., Simon, M.C., and Thompson, C.B. (2011). Hypoxia promotes isocitrate dehydrogenase-dependent carboxylation of alpha-ketoglutarate to citrate to support cell growth and viability. Proc Natl Acad Sci U S A</w:t>
      </w:r>
      <w:r>
        <w:t xml:space="preserve"> </w:t>
      </w:r>
      <w:r>
        <w:rPr>
          <w:iCs/>
          <w:i/>
        </w:rPr>
        <w:t xml:space="preserve">108</w:t>
      </w:r>
      <w:r>
        <w:t xml:space="preserve">, 19611–19616.</w:t>
      </w:r>
    </w:p>
    <w:bookmarkEnd w:id="127"/>
    <w:bookmarkStart w:id="128" w:name="ref-RN2409"/>
    <w:p>
      <w:pPr>
        <w:pStyle w:val="Bibliography"/>
      </w:pPr>
      <w:r>
        <w:t xml:space="preserve">Xiao, W., and Loscalzo, J. (2020). Metabolic responses to reductive stress. Antioxid Redox Signal</w:t>
      </w:r>
      <w:r>
        <w:t xml:space="preserve"> </w:t>
      </w:r>
      <w:r>
        <w:rPr>
          <w:iCs/>
          <w:i/>
        </w:rPr>
        <w:t xml:space="preserve">32</w:t>
      </w:r>
      <w:r>
        <w:t xml:space="preserve">, 1330–1347.</w:t>
      </w:r>
    </w:p>
    <w:bookmarkEnd w:id="128"/>
    <w:bookmarkStart w:id="129" w:name="ref-RN3111"/>
    <w:p>
      <w:pPr>
        <w:pStyle w:val="Bibliography"/>
      </w:pPr>
      <w:r>
        <w:t xml:space="preserve">Yan, J., Goerne, T., Zelmer, A., Guzman, R., Kapfhammer, J.P., Wellmann, S., and Zhu, X. (2019). The RNA-binding protein RBM3 promotes neural stem cell (NSC) proliferation under hypoxia. Front Cell Dev Biol</w:t>
      </w:r>
      <w:r>
        <w:t xml:space="preserve"> </w:t>
      </w:r>
      <w:r>
        <w:rPr>
          <w:iCs/>
          <w:i/>
        </w:rPr>
        <w:t xml:space="preserve">7</w:t>
      </w:r>
      <w:r>
        <w:t xml:space="preserve">, 288.</w:t>
      </w:r>
    </w:p>
    <w:bookmarkEnd w:id="129"/>
    <w:bookmarkStart w:id="130" w:name="ref-RN2501"/>
    <w:p>
      <w:pPr>
        <w:pStyle w:val="Bibliography"/>
      </w:pPr>
      <w:r>
        <w:t xml:space="preserve">Young, J.D. (2014). INCA: A computational platform for isotopically non-stationary metabolic flux analysis. Bioinformatics</w:t>
      </w:r>
      <w:r>
        <w:t xml:space="preserve"> </w:t>
      </w:r>
      <w:r>
        <w:rPr>
          <w:iCs/>
          <w:i/>
        </w:rPr>
        <w:t xml:space="preserve">30</w:t>
      </w:r>
      <w:r>
        <w:t xml:space="preserve">, 1333–1335.</w:t>
      </w:r>
    </w:p>
    <w:bookmarkEnd w:id="130"/>
    <w:bookmarkStart w:id="131" w:name="ref-RN2517"/>
    <w:p>
      <w:pPr>
        <w:pStyle w:val="Bibliography"/>
      </w:pPr>
      <w:r>
        <w:t xml:space="preserve">Zamorano, F., Wouwer, A.V., and Bastin, G. (2010). A detailed metabolic flux analysis of an underdetermined network of CHO cells. J Biotechnol</w:t>
      </w:r>
      <w:r>
        <w:t xml:space="preserve"> </w:t>
      </w:r>
      <w:r>
        <w:rPr>
          <w:iCs/>
          <w:i/>
        </w:rPr>
        <w:t xml:space="preserve">150</w:t>
      </w:r>
      <w:r>
        <w:t xml:space="preserve">, 497–508.</w:t>
      </w:r>
    </w:p>
    <w:bookmarkEnd w:id="131"/>
    <w:bookmarkStart w:id="132" w:name="ref-RN2525"/>
    <w:p>
      <w:pPr>
        <w:pStyle w:val="Bibliography"/>
      </w:pPr>
      <w:r>
        <w:t xml:space="preserve">Zhang, H., Bosch-Marce, M., Shimoda, L.A., Tan, Y.S., Baek, J.H., Wesley, J.B., Gonzalez, F.J., and Semenza, G.L. (2008). Mitochondrial autophagy is an HIF-1-dependent adaptive metabolic response to hypoxia. J Biol Chem</w:t>
      </w:r>
      <w:r>
        <w:t xml:space="preserve"> </w:t>
      </w:r>
      <w:r>
        <w:rPr>
          <w:iCs/>
          <w:i/>
        </w:rPr>
        <w:t xml:space="preserve">283</w:t>
      </w:r>
      <w:r>
        <w:t xml:space="preserve">, 10892–10903.</w:t>
      </w:r>
    </w:p>
    <w:bookmarkEnd w:id="132"/>
    <w:bookmarkEnd w:id="133"/>
    <w:bookmarkEnd w:id="134"/>
    <w:sectPr w:rsidR="00DE058C" w:rsidSect="000650CF">
      <w:pgSz w:h="15840" w:w="12240"/>
      <w:pgMar w:bottom="1440" w:footer="720" w:gutter="0" w:header="720" w:left="1080" w:right="108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C726910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DA804E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5C9419D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5A20C3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BCCA0D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A9EAEC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70D29C5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6A18B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9AA9C7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67AA91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C1BCFE1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10290"/>
    <w:pPr>
      <w:spacing w:line="360" w:lineRule="auto"/>
    </w:pPr>
    <w:rPr>
      <w:rFonts w:asciiTheme="majorHAnsi" w:hAnsiTheme="majorHAnsi"/>
      <w:sz w:val="22"/>
    </w:rPr>
  </w:style>
  <w:style w:styleId="Heading1" w:type="paragraph">
    <w:name w:val="heading 1"/>
    <w:basedOn w:val="Normal"/>
    <w:next w:val="BodyText"/>
    <w:uiPriority w:val="9"/>
    <w:qFormat/>
    <w:rsid w:val="00515FCD"/>
    <w:pPr>
      <w:keepNext/>
      <w:keepLines/>
      <w:spacing w:after="0" w:before="480"/>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515FCD"/>
    <w:pPr>
      <w:keepNext/>
      <w:keepLines/>
      <w:spacing w:after="0" w:before="200"/>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515FCD"/>
    <w:pPr>
      <w:keepNext/>
      <w:keepLines/>
      <w:spacing w:after="0" w:before="200"/>
      <w:outlineLvl w:val="2"/>
    </w:pPr>
    <w:rPr>
      <w:rFonts w:cstheme="majorBidi" w:eastAsiaTheme="majorEastAsia"/>
      <w:b/>
      <w:bCs/>
      <w:szCs w:val="22"/>
    </w:rPr>
  </w:style>
  <w:style w:styleId="Heading4" w:type="paragraph">
    <w:name w:val="heading 4"/>
    <w:basedOn w:val="Normal"/>
    <w:next w:val="BodyText"/>
    <w:uiPriority w:val="9"/>
    <w:unhideWhenUsed/>
    <w:qFormat/>
    <w:rsid w:val="00515FCD"/>
    <w:pPr>
      <w:keepNext/>
      <w:keepLines/>
      <w:spacing w:after="0" w:before="200"/>
      <w:outlineLvl w:val="3"/>
    </w:pPr>
    <w:rPr>
      <w:rFonts w:cstheme="majorBidi" w:eastAsiaTheme="majorEastAsia"/>
      <w:bCs/>
      <w:i/>
      <w:szCs w:val="22"/>
    </w:rPr>
  </w:style>
  <w:style w:styleId="Heading5" w:type="paragraph">
    <w:name w:val="heading 5"/>
    <w:basedOn w:val="Normal"/>
    <w:next w:val="BodyText"/>
    <w:uiPriority w:val="9"/>
    <w:unhideWhenUsed/>
    <w:qFormat/>
    <w:rsid w:val="00515FCD"/>
    <w:pPr>
      <w:keepNext/>
      <w:keepLines/>
      <w:spacing w:after="0" w:before="200"/>
      <w:outlineLvl w:val="4"/>
    </w:pPr>
    <w:rPr>
      <w:rFonts w:cstheme="majorBidi" w:eastAsiaTheme="majorEastAsia"/>
      <w:iCs/>
      <w:szCs w:val="22"/>
    </w:rPr>
  </w:style>
  <w:style w:styleId="Heading6" w:type="paragraph">
    <w:name w:val="heading 6"/>
    <w:basedOn w:val="Normal"/>
    <w:next w:val="BodyText"/>
    <w:uiPriority w:val="9"/>
    <w:unhideWhenUsed/>
    <w:qFormat/>
    <w:rsid w:val="00515FCD"/>
    <w:pPr>
      <w:keepNext/>
      <w:keepLines/>
      <w:spacing w:after="0" w:before="200"/>
      <w:outlineLvl w:val="5"/>
    </w:pPr>
    <w:rPr>
      <w:rFonts w:cstheme="majorBidi" w:eastAsiaTheme="majorEastAsia"/>
      <w:szCs w:val="22"/>
    </w:rPr>
  </w:style>
  <w:style w:styleId="Heading7" w:type="paragraph">
    <w:name w:val="heading 7"/>
    <w:basedOn w:val="Normal"/>
    <w:next w:val="BodyText"/>
    <w:uiPriority w:val="9"/>
    <w:unhideWhenUsed/>
    <w:qFormat/>
    <w:pPr>
      <w:keepNext/>
      <w:keepLines/>
      <w:spacing w:after="0" w:before="200"/>
      <w:outlineLvl w:val="6"/>
    </w:pPr>
    <w:rPr>
      <w:rFonts w:cstheme="majorBidi" w:eastAsiaTheme="majorEastAsia"/>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cstheme="majorBidi" w:eastAsiaTheme="majorEastAsia"/>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cstheme="majorBidi" w:eastAsiaTheme="majorEastAsia"/>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515FCD"/>
    <w:pPr>
      <w:keepNext/>
      <w:keepLines/>
      <w:spacing w:after="24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681772"/>
    <w:pPr>
      <w:keepNext/>
      <w:keepLines/>
      <w:jc w:val="center"/>
    </w:pPr>
    <w:rPr>
      <w:rFonts w:asciiTheme="majorHAnsi" w:hAnsiTheme="majorHAnsi"/>
      <w:sz w:val="22"/>
    </w:rPr>
  </w:style>
  <w:style w:styleId="Date" w:type="paragraph">
    <w:name w:val="Date"/>
    <w:next w:val="BodyText"/>
    <w:qFormat/>
    <w:rsid w:val="00681772"/>
    <w:pPr>
      <w:keepNext/>
      <w:keepLines/>
      <w:jc w:val="center"/>
    </w:pPr>
    <w:rPr>
      <w:rFonts w:asciiTheme="majorHAnsi" w:hAnsiTheme="majorHAnsi"/>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300B28"/>
    <w:pPr>
      <w:spacing w:after="120"/>
    </w:pPr>
    <w:rPr>
      <w:b/>
    </w:rPr>
  </w:style>
  <w:style w:customStyle="1" w:styleId="TableCaption" w:type="paragraph">
    <w:name w:val="Table Caption"/>
    <w:basedOn w:val="Caption"/>
    <w:pPr>
      <w:keepNext/>
    </w:pPr>
  </w:style>
  <w:style w:customStyle="1" w:styleId="ImageCaption" w:type="paragraph">
    <w:name w:val="Image Caption"/>
    <w:basedOn w:val="Caption"/>
    <w:rsid w:val="0014005A"/>
    <w:pPr>
      <w:spacing w:line="240" w:lineRule="auto"/>
    </w:pPr>
    <w:rPr>
      <w:b w:val="0"/>
      <w:sz w:val="18"/>
    </w:rPr>
  </w:style>
  <w:style w:customStyle="1" w:styleId="Figure" w:type="paragraph">
    <w:name w:val="Figure"/>
    <w:basedOn w:val="Normal"/>
    <w:rsid w:val="00663598"/>
    <w:pPr>
      <w:jc w:val="center"/>
    </w:p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300B28"/>
    <w:rPr>
      <w:rFonts w:asciiTheme="majorHAnsi" w:hAnsiTheme="majorHAnsi"/>
      <w:b/>
      <w:sz w:val="22"/>
    </w:rPr>
  </w:style>
  <w:style w:customStyle="1" w:styleId="VerbatimChar" w:type="character">
    <w:name w:val="Verbatim Char"/>
    <w:basedOn w:val="CaptionChar"/>
    <w:link w:val="SourceCode"/>
    <w:rPr>
      <w:rFonts w:ascii="Consolas" w:hAnsi="Consolas"/>
      <w:b/>
      <w:sz w:val="22"/>
    </w:rPr>
  </w:style>
  <w:style w:customStyle="1" w:styleId="SectionNumber" w:type="character">
    <w:name w:val="Section Number"/>
    <w:basedOn w:val="CaptionChar"/>
    <w:rPr>
      <w:rFonts w:asciiTheme="majorHAnsi" w:hAnsiTheme="majorHAnsi"/>
      <w:b/>
      <w:sz w:val="22"/>
    </w:rPr>
  </w:style>
  <w:style w:styleId="FootnoteReference" w:type="character">
    <w:name w:val="footnote reference"/>
    <w:basedOn w:val="CaptionChar"/>
    <w:rPr>
      <w:rFonts w:asciiTheme="majorHAnsi" w:hAnsiTheme="majorHAnsi"/>
      <w:b/>
      <w:sz w:val="22"/>
      <w:vertAlign w:val="superscript"/>
    </w:rPr>
  </w:style>
  <w:style w:styleId="Hyperlink" w:type="character">
    <w:name w:val="Hyperlink"/>
    <w:basedOn w:val="CaptionChar"/>
    <w:rsid w:val="003F6A90"/>
    <w:rPr>
      <w:rFonts w:asciiTheme="majorHAnsi" w:hAnsiTheme="majorHAnsi"/>
      <w:b/>
      <w:color w:themeColor="accent2" w:themeShade="BF" w:val="943634"/>
      <w:sz w:val="22"/>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color w:val="204A87"/>
      <w:sz w:val="22"/>
      <w:shd w:color="auto" w:fill="F8F8F8" w:val="clear"/>
    </w:rPr>
  </w:style>
  <w:style w:customStyle="1" w:styleId="DataTypeTok" w:type="character">
    <w:name w:val="DataTypeTok"/>
    <w:basedOn w:val="VerbatimChar"/>
    <w:rPr>
      <w:rFonts w:ascii="Consolas" w:hAnsi="Consolas"/>
      <w:b/>
      <w:color w:val="204A87"/>
      <w:sz w:val="22"/>
      <w:shd w:color="auto" w:fill="F8F8F8" w:val="clear"/>
    </w:rPr>
  </w:style>
  <w:style w:customStyle="1" w:styleId="DecValTok" w:type="character">
    <w:name w:val="DecValTok"/>
    <w:basedOn w:val="VerbatimChar"/>
    <w:rPr>
      <w:rFonts w:ascii="Consolas" w:hAnsi="Consolas"/>
      <w:b/>
      <w:color w:val="0000CF"/>
      <w:sz w:val="22"/>
      <w:shd w:color="auto" w:fill="F8F8F8" w:val="clear"/>
    </w:rPr>
  </w:style>
  <w:style w:customStyle="1" w:styleId="BaseNTok" w:type="character">
    <w:name w:val="BaseNTok"/>
    <w:basedOn w:val="VerbatimChar"/>
    <w:rPr>
      <w:rFonts w:ascii="Consolas" w:hAnsi="Consolas"/>
      <w:b/>
      <w:color w:val="0000CF"/>
      <w:sz w:val="22"/>
      <w:shd w:color="auto" w:fill="F8F8F8" w:val="clear"/>
    </w:rPr>
  </w:style>
  <w:style w:customStyle="1" w:styleId="FloatTok" w:type="character">
    <w:name w:val="FloatTok"/>
    <w:basedOn w:val="VerbatimChar"/>
    <w:rPr>
      <w:rFonts w:ascii="Consolas" w:hAnsi="Consolas"/>
      <w:b/>
      <w:color w:val="0000CF"/>
      <w:sz w:val="22"/>
      <w:shd w:color="auto" w:fill="F8F8F8" w:val="clear"/>
    </w:rPr>
  </w:style>
  <w:style w:customStyle="1" w:styleId="ConstantTok" w:type="character">
    <w:name w:val="ConstantTok"/>
    <w:basedOn w:val="VerbatimChar"/>
    <w:rPr>
      <w:rFonts w:ascii="Consolas" w:hAnsi="Consolas"/>
      <w:b/>
      <w:color w:val="000000"/>
      <w:sz w:val="22"/>
      <w:shd w:color="auto" w:fill="F8F8F8" w:val="clear"/>
    </w:rPr>
  </w:style>
  <w:style w:customStyle="1" w:styleId="CharTok" w:type="character">
    <w:name w:val="CharTok"/>
    <w:basedOn w:val="VerbatimChar"/>
    <w:rPr>
      <w:rFonts w:ascii="Consolas" w:hAnsi="Consolas"/>
      <w:b/>
      <w:color w:val="4E9A06"/>
      <w:sz w:val="22"/>
      <w:shd w:color="auto" w:fill="F8F8F8" w:val="clear"/>
    </w:rPr>
  </w:style>
  <w:style w:customStyle="1" w:styleId="SpecialCharTok" w:type="character">
    <w:name w:val="SpecialCharTok"/>
    <w:basedOn w:val="VerbatimChar"/>
    <w:rPr>
      <w:rFonts w:ascii="Consolas" w:hAnsi="Consolas"/>
      <w:b/>
      <w:color w:val="000000"/>
      <w:sz w:val="22"/>
      <w:shd w:color="auto" w:fill="F8F8F8" w:val="clear"/>
    </w:rPr>
  </w:style>
  <w:style w:customStyle="1" w:styleId="StringTok" w:type="character">
    <w:name w:val="StringTok"/>
    <w:basedOn w:val="VerbatimChar"/>
    <w:rPr>
      <w:rFonts w:ascii="Consolas" w:hAnsi="Consolas"/>
      <w:b/>
      <w:color w:val="4E9A06"/>
      <w:sz w:val="22"/>
      <w:shd w:color="auto" w:fill="F8F8F8" w:val="clear"/>
    </w:rPr>
  </w:style>
  <w:style w:customStyle="1" w:styleId="VerbatimStringTok" w:type="character">
    <w:name w:val="VerbatimStringTok"/>
    <w:basedOn w:val="VerbatimChar"/>
    <w:rPr>
      <w:rFonts w:ascii="Consolas" w:hAnsi="Consolas"/>
      <w:b/>
      <w:color w:val="4E9A06"/>
      <w:sz w:val="22"/>
      <w:shd w:color="auto" w:fill="F8F8F8" w:val="clear"/>
    </w:rPr>
  </w:style>
  <w:style w:customStyle="1" w:styleId="SpecialStringTok" w:type="character">
    <w:name w:val="SpecialStringTok"/>
    <w:basedOn w:val="VerbatimChar"/>
    <w:rPr>
      <w:rFonts w:ascii="Consolas" w:hAnsi="Consolas"/>
      <w:b/>
      <w:color w:val="4E9A06"/>
      <w:sz w:val="22"/>
      <w:shd w:color="auto" w:fill="F8F8F8" w:val="clear"/>
    </w:rPr>
  </w:style>
  <w:style w:customStyle="1" w:styleId="ImportTok" w:type="character">
    <w:name w:val="ImportTok"/>
    <w:basedOn w:val="VerbatimChar"/>
    <w:rPr>
      <w:rFonts w:ascii="Consolas" w:hAnsi="Consolas"/>
      <w:b/>
      <w:sz w:val="22"/>
      <w:shd w:color="auto" w:fill="F8F8F8" w:val="clear"/>
    </w:rPr>
  </w:style>
  <w:style w:customStyle="1" w:styleId="CommentTok" w:type="character">
    <w:name w:val="CommentTok"/>
    <w:basedOn w:val="VerbatimChar"/>
    <w:rPr>
      <w:rFonts w:ascii="Consolas" w:hAnsi="Consolas"/>
      <w:b/>
      <w:i/>
      <w:color w:val="8F5902"/>
      <w:sz w:val="22"/>
      <w:shd w:color="auto" w:fill="F8F8F8" w:val="clear"/>
    </w:rPr>
  </w:style>
  <w:style w:customStyle="1" w:styleId="DocumentationTok" w:type="character">
    <w:name w:val="DocumentationTok"/>
    <w:basedOn w:val="VerbatimChar"/>
    <w:rPr>
      <w:rFonts w:ascii="Consolas" w:hAnsi="Consolas"/>
      <w:b w:val="0"/>
      <w:i/>
      <w:color w:val="8F5902"/>
      <w:sz w:val="22"/>
      <w:shd w:color="auto" w:fill="F8F8F8" w:val="clear"/>
    </w:rPr>
  </w:style>
  <w:style w:customStyle="1" w:styleId="AnnotationTok" w:type="character">
    <w:name w:val="AnnotationTok"/>
    <w:basedOn w:val="VerbatimChar"/>
    <w:rPr>
      <w:rFonts w:ascii="Consolas" w:hAnsi="Consolas"/>
      <w:b w:val="0"/>
      <w:i/>
      <w:color w:val="8F5902"/>
      <w:sz w:val="22"/>
      <w:shd w:color="auto" w:fill="F8F8F8" w:val="clear"/>
    </w:rPr>
  </w:style>
  <w:style w:customStyle="1" w:styleId="CommentVarTok" w:type="character">
    <w:name w:val="CommentVarTok"/>
    <w:basedOn w:val="VerbatimChar"/>
    <w:rPr>
      <w:rFonts w:ascii="Consolas" w:hAnsi="Consolas"/>
      <w:b w:val="0"/>
      <w:i/>
      <w:color w:val="8F5902"/>
      <w:sz w:val="22"/>
      <w:shd w:color="auto" w:fill="F8F8F8" w:val="clear"/>
    </w:rPr>
  </w:style>
  <w:style w:customStyle="1" w:styleId="OtherTok" w:type="character">
    <w:name w:val="OtherTok"/>
    <w:basedOn w:val="VerbatimChar"/>
    <w:rPr>
      <w:rFonts w:ascii="Consolas" w:hAnsi="Consolas"/>
      <w:b/>
      <w:color w:val="8F5902"/>
      <w:sz w:val="22"/>
      <w:shd w:color="auto" w:fill="F8F8F8" w:val="clear"/>
    </w:rPr>
  </w:style>
  <w:style w:customStyle="1" w:styleId="FunctionTok" w:type="character">
    <w:name w:val="FunctionTok"/>
    <w:basedOn w:val="VerbatimChar"/>
    <w:rPr>
      <w:rFonts w:ascii="Consolas" w:hAnsi="Consolas"/>
      <w:b/>
      <w:color w:val="000000"/>
      <w:sz w:val="22"/>
      <w:shd w:color="auto" w:fill="F8F8F8" w:val="clear"/>
    </w:rPr>
  </w:style>
  <w:style w:customStyle="1" w:styleId="VariableTok" w:type="character">
    <w:name w:val="VariableTok"/>
    <w:basedOn w:val="VerbatimChar"/>
    <w:rPr>
      <w:rFonts w:ascii="Consolas" w:hAnsi="Consolas"/>
      <w:b/>
      <w:color w:val="000000"/>
      <w:sz w:val="22"/>
      <w:shd w:color="auto" w:fill="F8F8F8" w:val="clear"/>
    </w:rPr>
  </w:style>
  <w:style w:customStyle="1" w:styleId="ControlFlowTok" w:type="character">
    <w:name w:val="ControlFlowTok"/>
    <w:basedOn w:val="VerbatimChar"/>
    <w:rPr>
      <w:rFonts w:ascii="Consolas" w:hAnsi="Consolas"/>
      <w:b w:val="0"/>
      <w:color w:val="204A87"/>
      <w:sz w:val="22"/>
      <w:shd w:color="auto" w:fill="F8F8F8" w:val="clear"/>
    </w:rPr>
  </w:style>
  <w:style w:customStyle="1" w:styleId="OperatorTok" w:type="character">
    <w:name w:val="OperatorTok"/>
    <w:basedOn w:val="VerbatimChar"/>
    <w:rPr>
      <w:rFonts w:ascii="Consolas" w:hAnsi="Consolas"/>
      <w:b w:val="0"/>
      <w:color w:val="CE5C00"/>
      <w:sz w:val="22"/>
      <w:shd w:color="auto" w:fill="F8F8F8" w:val="clear"/>
    </w:rPr>
  </w:style>
  <w:style w:customStyle="1" w:styleId="BuiltInTok" w:type="character">
    <w:name w:val="BuiltInTok"/>
    <w:basedOn w:val="VerbatimChar"/>
    <w:rPr>
      <w:rFonts w:ascii="Consolas" w:hAnsi="Consolas"/>
      <w:b/>
      <w:sz w:val="22"/>
      <w:shd w:color="auto" w:fill="F8F8F8" w:val="clear"/>
    </w:rPr>
  </w:style>
  <w:style w:customStyle="1" w:styleId="ExtensionTok" w:type="character">
    <w:name w:val="ExtensionTok"/>
    <w:basedOn w:val="VerbatimChar"/>
    <w:rPr>
      <w:rFonts w:ascii="Consolas" w:hAnsi="Consolas"/>
      <w:b/>
      <w:sz w:val="22"/>
      <w:shd w:color="auto" w:fill="F8F8F8" w:val="clear"/>
    </w:rPr>
  </w:style>
  <w:style w:customStyle="1" w:styleId="PreprocessorTok" w:type="character">
    <w:name w:val="PreprocessorTok"/>
    <w:basedOn w:val="VerbatimChar"/>
    <w:rPr>
      <w:rFonts w:ascii="Consolas" w:hAnsi="Consolas"/>
      <w:b/>
      <w:i/>
      <w:color w:val="8F5902"/>
      <w:sz w:val="22"/>
      <w:shd w:color="auto" w:fill="F8F8F8" w:val="clear"/>
    </w:rPr>
  </w:style>
  <w:style w:customStyle="1" w:styleId="AttributeTok" w:type="character">
    <w:name w:val="AttributeTok"/>
    <w:basedOn w:val="VerbatimChar"/>
    <w:rPr>
      <w:rFonts w:ascii="Consolas" w:hAnsi="Consolas"/>
      <w:b/>
      <w:color w:val="C4A000"/>
      <w:sz w:val="22"/>
      <w:shd w:color="auto" w:fill="F8F8F8" w:val="clear"/>
    </w:rPr>
  </w:style>
  <w:style w:customStyle="1" w:styleId="RegionMarkerTok" w:type="character">
    <w:name w:val="RegionMarkerTok"/>
    <w:basedOn w:val="VerbatimChar"/>
    <w:rPr>
      <w:rFonts w:ascii="Consolas" w:hAnsi="Consolas"/>
      <w:b/>
      <w:sz w:val="22"/>
      <w:shd w:color="auto" w:fill="F8F8F8" w:val="clear"/>
    </w:rPr>
  </w:style>
  <w:style w:customStyle="1" w:styleId="InformationTok" w:type="character">
    <w:name w:val="InformationTok"/>
    <w:basedOn w:val="VerbatimChar"/>
    <w:rPr>
      <w:rFonts w:ascii="Consolas" w:hAnsi="Consolas"/>
      <w:b w:val="0"/>
      <w:i/>
      <w:color w:val="8F5902"/>
      <w:sz w:val="22"/>
      <w:shd w:color="auto" w:fill="F8F8F8" w:val="clear"/>
    </w:rPr>
  </w:style>
  <w:style w:customStyle="1" w:styleId="WarningTok" w:type="character">
    <w:name w:val="WarningTok"/>
    <w:basedOn w:val="VerbatimChar"/>
    <w:rPr>
      <w:rFonts w:ascii="Consolas" w:hAnsi="Consolas"/>
      <w:b w:val="0"/>
      <w:i/>
      <w:color w:val="8F5902"/>
      <w:sz w:val="22"/>
      <w:shd w:color="auto" w:fill="F8F8F8" w:val="clear"/>
    </w:rPr>
  </w:style>
  <w:style w:customStyle="1" w:styleId="AlertTok" w:type="character">
    <w:name w:val="AlertTok"/>
    <w:basedOn w:val="VerbatimChar"/>
    <w:rPr>
      <w:rFonts w:ascii="Consolas" w:hAnsi="Consolas"/>
      <w:b/>
      <w:color w:val="EF2929"/>
      <w:sz w:val="22"/>
      <w:shd w:color="auto" w:fill="F8F8F8" w:val="clear"/>
    </w:rPr>
  </w:style>
  <w:style w:customStyle="1" w:styleId="ErrorTok" w:type="character">
    <w:name w:val="ErrorTok"/>
    <w:basedOn w:val="VerbatimChar"/>
    <w:rPr>
      <w:rFonts w:ascii="Consolas" w:hAnsi="Consolas"/>
      <w:b w:val="0"/>
      <w:color w:val="A40000"/>
      <w:sz w:val="22"/>
      <w:shd w:color="auto" w:fill="F8F8F8" w:val="clear"/>
    </w:rPr>
  </w:style>
  <w:style w:customStyle="1" w:styleId="NormalTok" w:type="character">
    <w:name w:val="NormalTok"/>
    <w:basedOn w:val="VerbatimChar"/>
    <w:rPr>
      <w:rFonts w:ascii="Consolas" w:hAnsi="Consolas"/>
      <w:b/>
      <w:sz w:val="22"/>
      <w:shd w:color="auto" w:fill="F8F8F8" w:val="clear"/>
    </w:rPr>
  </w:style>
  <w:style w:styleId="LineNumber" w:type="character">
    <w:name w:val="line number"/>
    <w:basedOn w:val="DefaultParagraphFont"/>
    <w:semiHidden/>
    <w:unhideWhenUsed/>
    <w:rsid w:val="008E5E5D"/>
    <w:rPr>
      <w:rFonts w:asciiTheme="minorHAnsi" w:hAnsiTheme="minorHAnsi"/>
      <w:sz w:val="18"/>
    </w:rPr>
  </w:style>
  <w:style w:customStyle="1" w:styleId="BodyTextChar" w:type="character">
    <w:name w:val="Body Text Char"/>
    <w:basedOn w:val="DefaultParagraphFont"/>
    <w:link w:val="BodyText"/>
    <w:rsid w:val="000650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df" /><Relationship Type="http://schemas.openxmlformats.org/officeDocument/2006/relationships/image" Id="rId37" Target="media/rId37.pdf" /><Relationship Type="http://schemas.openxmlformats.org/officeDocument/2006/relationships/image" Id="rId38" Target="media/rId38.pdf" /><Relationship Type="http://schemas.openxmlformats.org/officeDocument/2006/relationships/image" Id="rId39" Target="media/rId39.pdf" /><Relationship Type="http://schemas.openxmlformats.org/officeDocument/2006/relationships/image" Id="rId40" Target="media/rId40.pdf" /><Relationship Type="http://schemas.openxmlformats.org/officeDocument/2006/relationships/image" Id="rId41" Target="media/rId41.pdf" /><Relationship Type="http://schemas.openxmlformats.org/officeDocument/2006/relationships/image" Id="rId42" Target="media/rId42.pdf" /><Relationship Type="http://schemas.openxmlformats.org/officeDocument/2006/relationships/hyperlink" Id="rId46" Target="https://github.com/oldhamlab/Copeland.2021.hypoxia.flux" TargetMode="External" /><Relationship Type="http://schemas.openxmlformats.org/officeDocument/2006/relationships/hyperlink" Id="rId63" Target="https://github.com/oldhamlab/mzrtools" TargetMode="External" /><Relationship Type="http://schemas.openxmlformats.org/officeDocument/2006/relationships/hyperlink" Id="rId70" Target="https://github.com/oldhamlab/rnaseq.lf.hypoxia.molidustat" TargetMode="External" /><Relationship Type="http://schemas.openxmlformats.org/officeDocument/2006/relationships/hyperlink" Id="rId20" Target="mailto:woldham@bwh.harvard.edu" TargetMode="External" /></Relationships>
</file>

<file path=word/_rels/footnotes.xml.rels><?xml version="1.0" encoding="UTF-8"?><Relationships xmlns="http://schemas.openxmlformats.org/package/2006/relationships"><Relationship Type="http://schemas.openxmlformats.org/officeDocument/2006/relationships/hyperlink" Id="rId46" Target="https://github.com/oldhamlab/Copeland.2021.hypoxia.flux" TargetMode="External" /><Relationship Type="http://schemas.openxmlformats.org/officeDocument/2006/relationships/hyperlink" Id="rId63" Target="https://github.com/oldhamlab/mzrtools" TargetMode="External" /><Relationship Type="http://schemas.openxmlformats.org/officeDocument/2006/relationships/hyperlink" Id="rId70" Target="https://github.com/oldhamlab/rnaseq.lf.hypoxia.molidustat" TargetMode="External" /><Relationship Type="http://schemas.openxmlformats.org/officeDocument/2006/relationships/hyperlink" Id="rId20" Target="mailto:woldham@bwh.harva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144</Words>
  <Characters>821</Characters>
  <Application>Microsoft Office Word</Application>
  <DocSecurity>0</DocSecurity>
  <Lines>6</Lines>
  <Paragraphs>1</Paragraphs>
  <ScaleCrop>false</ScaleCrop>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Hypoxia uncouples HIF target gene transcription and glycolytic flux in proliferating primary cells</dc:title>
  <dc:creator>Courtney A. Copeland1, Benjamin A. Olenchock1,2, David R. Ziehr1,4, Sarah McGarrity1,5, Kevin Leahy1, Jamey D. Young3, Joseph Loscalzo1, and William M. Oldham1,‡</dc:creator>
  <cp:keywords/>
  <dcterms:created xsi:type="dcterms:W3CDTF">2021-05-10T19:33:11Z</dcterms:created>
  <dcterms:modified xsi:type="dcterms:W3CDTF">2021-05-10T19:33:11Z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ompact-title">
    <vt:lpwstr>True</vt:lpwstr>
  </property>
  <property fmtid="{D5CDD505-2E9C-101B-9397-08002B2CF9AE}" pid="4" name="csl">
    <vt:lpwstr>cell-metabolism.csl</vt:lpwstr>
  </property>
  <property fmtid="{D5CDD505-2E9C-101B-9397-08002B2CF9AE}" pid="5" name="fontsize">
    <vt:lpwstr>11pt</vt:lpwstr>
  </property>
  <property fmtid="{D5CDD505-2E9C-101B-9397-08002B2CF9AE}" pid="6" name="geometry">
    <vt:lpwstr>margin = 0.75in</vt:lpwstr>
  </property>
  <property fmtid="{D5CDD505-2E9C-101B-9397-08002B2CF9AE}" pid="7" name="graphics">
    <vt:lpwstr>yes</vt:lpwstr>
  </property>
  <property fmtid="{D5CDD505-2E9C-101B-9397-08002B2CF9AE}" pid="8" name="link-citations">
    <vt:lpwstr>yes</vt:lpwstr>
  </property>
  <property fmtid="{D5CDD505-2E9C-101B-9397-08002B2CF9AE}" pid="9" name="mainfont">
    <vt:lpwstr>Calibri</vt:lpwstr>
  </property>
  <property fmtid="{D5CDD505-2E9C-101B-9397-08002B2CF9AE}" pid="10" name="output">
    <vt:lpwstr/>
  </property>
</Properties>
</file>