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(150 words)</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Metazoan cells depend on aerobic respiration to meet cellular energy demands. With an inadequate oxygen supply, or hypoxia,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proteins in the tricarboxylic acid (TCA) cycle and electron transport chain</w:t>
      </w:r>
      <w:r>
        <w:t xml:space="preserve"> </w:t>
      </w:r>
      <w:hyperlink w:anchor="ref-RN1198">
        <w:r>
          <w:rPr>
            <w:rStyle w:val="Hyperlink"/>
          </w:rPr>
          <w:t xml:space="preserve">Lee et al.</w:t>
        </w:r>
      </w:hyperlink>
      <w:r>
        <w:t xml:space="preserve"> </w:t>
      </w:r>
      <w:r>
        <w:t xml:space="preserve">(</w:t>
      </w:r>
      <w:hyperlink w:anchor="ref-RN1198">
        <w:r>
          <w:rPr>
            <w:rStyle w:val="Hyperlink"/>
          </w:rPr>
          <w:t xml:space="preserve">2020</w:t>
        </w:r>
      </w:hyperlink>
      <w:r>
        <w:t xml:space="preserve">)</w:t>
      </w:r>
      <w:r>
        <w:t xml:space="preserve">. Overall, these changes in gene transcription should increase glycolytic capacity and divert glucose-derived pyruvate from oxidative phosphorylation toward lactate fermentation to maintain energy production and minimize the formation of reactive oxygen species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this</w:t>
      </w:r>
      <w:r>
        <w:t xml:space="preserve"> </w:t>
      </w:r>
      <w:r>
        <w:t xml:space="preserve">“</w:t>
      </w:r>
      <w:r>
        <w:t xml:space="preserve">glycolytic shift</w:t>
      </w:r>
      <w:r>
        <w:t xml:space="preserve">”</w:t>
      </w:r>
      <w:r>
        <w:t xml:space="preserve"> </w:t>
      </w:r>
      <w:r>
        <w:t xml:space="preserve">of primary carbon metabolism is well-described, the effects of hypoxia on other metabolic pathways are an area of active investigation</w:t>
      </w:r>
      <w:r>
        <w:t xml:space="preserve"> </w:t>
      </w:r>
      <w:hyperlink w:anchor="ref-RN1198">
        <w:r>
          <w:rPr>
            <w:rStyle w:val="Hyperlink"/>
          </w:rPr>
          <w:t xml:space="preserve">Lee et al.</w:t>
        </w:r>
      </w:hyperlink>
      <w:r>
        <w:t xml:space="preserve"> </w:t>
      </w:r>
      <w:r>
        <w:t xml:space="preserve">(</w:t>
      </w:r>
      <w:hyperlink w:anchor="ref-RN1198">
        <w:r>
          <w:rPr>
            <w:rStyle w:val="Hyperlink"/>
          </w:rPr>
          <w:t xml:space="preserve">2020</w:t>
        </w:r>
      </w:hyperlink>
      <w:r>
        <w:t xml:space="preserve">)</w:t>
      </w:r>
      <w:r>
        <w:t xml:space="preserve">. Since hypoxia is a prominent feature of cancer biology as tumor growth outstrips blood supply, most detailed metabolic studies of cell metabolism in hypoxia have used tumor cell models</w:t>
      </w:r>
      <w:r>
        <w:t xml:space="preserve"> </w:t>
      </w:r>
      <w:hyperlink w:anchor="ref-RN975">
        <w:r>
          <w:rPr>
            <w:rStyle w:val="Hyperlink"/>
          </w:rPr>
          <w:t xml:space="preserve">Jiang et al.</w:t>
        </w:r>
      </w:hyperlink>
      <w:r>
        <w:t xml:space="preserve"> </w:t>
      </w:r>
      <w:r>
        <w:t xml:space="preserve">(</w:t>
      </w:r>
      <w:hyperlink w:anchor="ref-RN975">
        <w:r>
          <w:rPr>
            <w:rStyle w:val="Hyperlink"/>
          </w:rPr>
          <w:t xml:space="preserve">2016</w:t>
        </w:r>
      </w:hyperlink>
      <w:r>
        <w:t xml:space="preserve">)</w:t>
      </w:r>
      <w:r>
        <w:t xml:space="preserve">. For example, stable isotope tracing and metabolic flux analyses identified a critical role for reductive carboxylation of glutamine-derived α-ketoglutarate for lipid biosynthesis in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the importance of the metabolic pathways described above remain to be elucidated in these cells. This information would provide important context for understanding the extent to which cancer cell metabolism responds differently to hypoxic stress. Given the metabolic adaptations required for rapid proliferation in cancer cells, we hypothesized that hypoxia would elicit different metabolic responses in primary cells than has been observed previously in studies of cancer cell metabolism.</w:t>
      </w:r>
    </w:p>
    <w:p>
      <w:pPr>
        <w:pStyle w:val="BodyText"/>
      </w:pPr>
      <w:r>
        <w:t xml:space="preserve">To test this hypothesis, we developed models of bioenergetic carbon flux in human primary cells cultured under 21% or 0.5% oxygen conditions. We found that hypoxia fails to increase glycolysis in primary cells despite robust up-regulation of the HIF-1α transcriptional program. In normoxia, HIF-1α activation by the prolyl hydroxylase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HIF-1α-dependent up-regulation of glycolytic gene expression in human primary cells.</w:t>
      </w:r>
    </w:p>
    <w:bookmarkEnd w:id="23"/>
    <w:bookmarkStart w:id="27" w:name="results"/>
    <w:p>
      <w:pPr>
        <w:pStyle w:val="Heading1"/>
      </w:pPr>
      <w:r>
        <w:t xml:space="preserve">Results</w:t>
      </w:r>
    </w:p>
    <w:p>
      <w:pPr>
        <w:pStyle w:val="FirstParagraph"/>
      </w:pPr>
      <w:r>
        <w:t xml:space="preserve">The goal of this study was to identify the metabolic changes associated with hypoxia in proliferating primary cells.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(Figure</w:t>
      </w:r>
      <w:r>
        <w:t xml:space="preserve"> </w:t>
      </w:r>
      <w:r>
        <w:t xml:space="preserve">A), thought to be an indicator of metabolic steady state. Lung fibroblasts (LFs) cultured in 0.5% oxygen grew more slowly (Figure</w:t>
      </w:r>
      <w:r>
        <w:t xml:space="preserve"> </w:t>
      </w:r>
      <w:r>
        <w:t xml:space="preserve">B), but slower growth was not associated with decreased cell viability (Figure</w:t>
      </w:r>
      <w:r>
        <w:t xml:space="preserve"> </w:t>
      </w:r>
      <w:r>
        <w:t xml:space="preserve">C). These cells demonstrated robust stabilization of HIF-1α protein associated with up-regulation of downstream targets, such as glucose transporter 1, (GLUT1), and lactate dehydrogenase A (LDHA) (Figure</w:t>
      </w:r>
      <w:r>
        <w:t xml:space="preserve"> </w:t>
      </w:r>
      <w:r>
        <w:t xml:space="preserve">D-H).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(Figure</w:t>
      </w:r>
      <w:r>
        <w:t xml:space="preserve"> </w:t>
      </w:r>
      <w:r>
        <w:t xml:space="preserve">I-J, Supplementary Figures 1-3). Flux calculations incorporated the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(Supplementary Figure 1). Surprisingly, while glucose uptake was modestly increased in hypoxia, lactate efflux was decreased (Figure</w:t>
      </w:r>
      <w:r>
        <w:t xml:space="preserve"> </w:t>
      </w:r>
      <w:r>
        <w:t xml:space="preserve">I) despite activation of the HIF-1 transcriptional program. Similar findings were observed when the ambient oxygen level was decreased further to 0.2% (Supplementary Figure 2) and in pulmonary artery smooth muscle cells (PASMCs; Supplementary Figure 3). In addition to lactate, the absolute extracellular fluxes of pyruvate and amino acids were generally decreased in hypoxia, including a marked decrease in glutamine uptake in LFs. Notably, hypoxia was previously shown to increase glutamine uptake in studies of cancer cell metabolism</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Glutamine uptake did increase in PASMCs, as did the uptake of branch chain amino acids and arginine (Supplementary Figure 3), suggesting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BAY to stabilize HIF-1α under 21% oxygen conditions (Figure</w:t>
      </w:r>
      <w:r>
        <w:t xml:space="preserve"> </w:t>
      </w:r>
      <w:r>
        <w:t xml:space="preserve">). Similar to hypoxia, BAY decreased cell growth rate (Figure</w:t>
      </w:r>
      <w:r>
        <w:t xml:space="preserve"> </w:t>
      </w:r>
      <w:r>
        <w:t xml:space="preserve">A-B) and activated the HIF-1 transcriptional program (Figure</w:t>
      </w:r>
      <w:r>
        <w:t xml:space="preserve"> </w:t>
      </w:r>
      <w:r>
        <w:t xml:space="preserve">C-G). Compared to hypoxia, BAY treatment resulted in a similar activation of HIF-1 target gene transcription and protein expression. In normoxia, this transcriptional program was associated with substantially increased glucose uptake and lactate efflux (Figure</w:t>
      </w:r>
      <w:r>
        <w:t xml:space="preserve"> </w:t>
      </w:r>
      <w:r>
        <w:t xml:space="preserve">H). Comparatively modest effects of BAY on amino acid fluxes were observed as compared to 0.5% oxygen culture conditions (Figure</w:t>
      </w:r>
      <w:r>
        <w:t xml:space="preserve"> </w:t>
      </w:r>
      <w:r>
        <w:t xml:space="preserve">J).</w:t>
      </w:r>
    </w:p>
    <w:bookmarkEnd w:id="24"/>
    <w:bookmarkStart w:id="25" w:name="Xc84dc27d89c2b45ca2cbdb3259ba5b291a47311"/>
    <w:p>
      <w:pPr>
        <w:pStyle w:val="Heading2"/>
      </w:pPr>
      <w:r>
        <w:t xml:space="preserve">Stable isotope incorporation suggests preservation of the intracellular metabolic program in hypoxia</w:t>
      </w:r>
    </w:p>
    <w:p>
      <w:pPr>
        <w:pStyle w:val="FirstParagraph"/>
      </w:pPr>
      <w:r>
        <w:t xml:space="preserve">To validate our findings from extracellular flux measurements, we next treated LFs with stable carbon isotopes of glucose and glutamine to measure the rate of label incorporation and trace its incorporation into key carbon utilization pathways (Figure</w:t>
      </w:r>
      <w:r>
        <w:t xml:space="preserve"> </w:t>
      </w:r>
      <w:r>
        <w:t xml:space="preserve"> </w:t>
      </w:r>
      <w:r>
        <w:t xml:space="preserve">and Supplementary Figures 4-5).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t xml:space="preserve">A-B).</w:t>
      </w:r>
    </w:p>
    <w:p>
      <w:pPr>
        <w:pStyle w:val="BodyText"/>
      </w:pPr>
      <w:r>
        <w:t xml:space="preserve">Overall, hypoxia-treated cells generally had decreased label incorporation into downstream metabolites (</w:t>
      </w:r>
      <w:r>
        <w:rPr>
          <w:iCs/>
          <w:i/>
        </w:rPr>
        <w:t xml:space="preserve">i.e.</w:t>
      </w:r>
      <w:r>
        <w:t xml:space="preserve">, the unlabeled, or M0, fraction was greater). This finding is consistent with the extracellular flux measurements suggesting slower substrate utilization by hypoxic cells. BAY treatment recapitulated the labeling patterns observed with hypoxia, suggesting similar effects on intracellular metabolite distribution between these two conditions. Beyond this observation, the labeling patterns in hypoxia- and BAY-treated cells were similar to their respective controls, arguing against marked metabolic reprogramming in response to prolyl hydroxylase inhibition by either hypoxia or BAY. These findings were similar in PASMCs (Supplementary Figure 5) where stable isotope incorporation was attenuated in hypoxia and the overall labeling pattern was quite similar in both conditions.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indicating no increase in reductive carboxylation for lipid synthesis. The overall fraction of M5-citrate in these cells was low (&lt; 6%).</w:t>
      </w:r>
    </w:p>
    <w:bookmarkEnd w:id="25"/>
    <w:bookmarkStart w:id="26" w:name="X47b0b5fbd53c8a92df3b388f7ab53ac46ea9246"/>
    <w:p>
      <w:pPr>
        <w:pStyle w:val="Heading2"/>
      </w:pPr>
      <w:r>
        <w:t xml:space="preserve">Metabolic flux in hypoxia is closely coupled to cell growth rate</w:t>
      </w:r>
    </w:p>
    <w:p>
      <w:pPr>
        <w:pStyle w:val="FirstParagraph"/>
      </w:pPr>
      <w:r>
        <w:t xml:space="preserve">To clarify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(Figure</w:t>
      </w:r>
      <w:r>
        <w:t xml:space="preserve"> </w:t>
      </w:r>
      <w:r>
        <w:t xml:space="preserve">, Supplementary Figure 6).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(Figure</w:t>
      </w:r>
      <w:r>
        <w:t xml:space="preserve"> </w:t>
      </w:r>
      <w:r>
        <w:t xml:space="preserve">, Supplementary Figure 6, and Supplementary Tables 3 and 4). Overall, proliferating lung fibroblasts demonstrated high rates of glucose uptake and glycolysis. Approximately 15% of cytoplasmic pyruvate enters the TCA cycle with the balance converted to lactate. In hypoxia, significant reductions in glycolysis, the TCA cycle, and amino acid metabolism were observed (Figure</w:t>
      </w:r>
      <w:r>
        <w:t xml:space="preserve"> </w:t>
      </w:r>
      <w:r>
        <w:t xml:space="preserve">A). To facilitate the identification of differential carbon utilization between treatment groups, metabolite fluxes were normalized to cell growth rate. In this analysis, a modest increase in glycolytic flux is observed (Supplementary Figure 4D). This observation suggests that the effects of the HIF-1 transcriptional program are evident only after adjusting for differences in cell growth rate.</w:t>
      </w:r>
    </w:p>
    <w:p>
      <w:pPr>
        <w:pStyle w:val="BodyText"/>
      </w:pPr>
      <w:r>
        <w:t xml:space="preserve">Metabolite fluxes in DMSO-treated cells were similar to 21% oxygen controls. Compared to hypoxia, BAY treatment was associated with an increase in glycolysis and lactate fermentation in 21% oxygen, while similar decreases in serine and glutamine incorporation were observed (Figure</w:t>
      </w:r>
      <w:r>
        <w:t xml:space="preserve"> </w:t>
      </w:r>
      <w:r>
        <w:t xml:space="preserve">D).</w:t>
      </w:r>
    </w:p>
    <w:bookmarkEnd w:id="26"/>
    <w:bookmarkEnd w:id="27"/>
    <w:bookmarkStart w:id="28" w:name="discussion"/>
    <w:p>
      <w:pPr>
        <w:pStyle w:val="Heading1"/>
      </w:pPr>
      <w:r>
        <w:t xml:space="preserve">Discussion</w:t>
      </w:r>
    </w:p>
    <w:bookmarkEnd w:id="28"/>
    <w:bookmarkStart w:id="29" w:name="acknowledgements"/>
    <w:p>
      <w:pPr>
        <w:pStyle w:val="Heading1"/>
      </w:pPr>
      <w:r>
        <w:t xml:space="preserve">Acknowledgements</w:t>
      </w:r>
    </w:p>
    <w:bookmarkEnd w:id="29"/>
    <w:bookmarkStart w:id="30" w:name="author-contributions"/>
    <w:p>
      <w:pPr>
        <w:pStyle w:val="Heading1"/>
      </w:pPr>
      <w:r>
        <w:t xml:space="preserve">Author Contributions</w:t>
      </w:r>
    </w:p>
    <w:bookmarkEnd w:id="30"/>
    <w:bookmarkStart w:id="31" w:name="declaration-of-interests"/>
    <w:p>
      <w:pPr>
        <w:pStyle w:val="Heading1"/>
      </w:pPr>
      <w:r>
        <w:t xml:space="preserve">Declaration of Interests</w:t>
      </w:r>
    </w:p>
    <w:p>
      <w:r>
        <w:br w:type="page"/>
      </w:r>
    </w:p>
    <w:bookmarkEnd w:id="31"/>
    <w:bookmarkStart w:id="32" w:name="figure-legends"/>
    <w:p>
      <w:pPr>
        <w:pStyle w:val="Heading1"/>
      </w:pPr>
      <w:r>
        <w:t xml:space="preserve">Figure Legends</w:t>
      </w:r>
    </w:p>
    <w:p>
      <w:pPr>
        <w:pStyle w:val="FirstParagraph"/>
      </w:pPr>
      <w:r>
        <w:t xml:space="preserve">(ref:f1)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(ref:f2)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(ref:f3)</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pPr>
        <w:pStyle w:val="BodyText"/>
      </w:pPr>
      <w:r>
        <w:t xml:space="preserve">(ref:f4)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w:t>
      </w:r>
    </w:p>
    <w:p>
      <w:pPr>
        <w:pStyle w:val="BodyText"/>
      </w:pPr>
      <w:r>
        <w:t xml:space="preserve">(ref:f5)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pPr>
        <w:pStyle w:val="BodyText"/>
      </w:pPr>
      <w:r>
        <w:t xml:space="preserve">(ref:f6)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 C)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w:t>
      </w:r>
      <w:r>
        <w:rPr>
          <w:bCs/>
          <w:b/>
        </w:rPr>
        <w:t xml:space="preserve">I</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(G-I)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(ref:f7)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trasncripts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c-MYC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pPr>
        <w:pStyle w:val="BodyText"/>
      </w:pPr>
      <w:r>
        <w:t xml:space="preserve">Figure 1: (ref:f1)</w:t>
      </w:r>
    </w:p>
    <w:p>
      <w:pPr>
        <w:pStyle w:val="BodyText"/>
      </w:pPr>
      <w:r>
        <w:t xml:space="preserve">Figure 2: (ref:f2)</w:t>
      </w:r>
    </w:p>
    <w:p>
      <w:pPr>
        <w:pStyle w:val="BodyText"/>
      </w:pPr>
      <w:r>
        <w:t xml:space="preserve">Figure 3: (ref:f3)</w:t>
      </w:r>
    </w:p>
    <w:p>
      <w:pPr>
        <w:pStyle w:val="BodyText"/>
      </w:pPr>
      <w:r>
        <w:t xml:space="preserve">Figure 4: (ref:f4)</w:t>
      </w:r>
    </w:p>
    <w:p>
      <w:pPr>
        <w:pStyle w:val="BodyText"/>
      </w:pPr>
      <w:r>
        <w:t xml:space="preserve">Figure 5: (ref:f5)</w:t>
      </w:r>
    </w:p>
    <w:p>
      <w:pPr>
        <w:pStyle w:val="BodyText"/>
      </w:pPr>
      <w:r>
        <w:t xml:space="preserve">Figure 6: (ref:f6)</w:t>
      </w:r>
    </w:p>
    <w:p>
      <w:pPr>
        <w:pStyle w:val="BodyText"/>
      </w:pPr>
      <w:r>
        <w:t xml:space="preserve">Figure 7: (ref:f7)</w:t>
      </w:r>
    </w:p>
    <w:p>
      <w:r>
        <w:br w:type="page"/>
      </w:r>
    </w:p>
    <w:bookmarkEnd w:id="32"/>
    <w:bookmarkStart w:id="33" w:name="tables"/>
    <w:p>
      <w:pPr>
        <w:pStyle w:val="Heading1"/>
      </w:pPr>
      <w:r>
        <w:t xml:space="preserve">Tables</w:t>
      </w:r>
    </w:p>
    <w:p>
      <w:r>
        <w:br w:type="page"/>
      </w:r>
    </w:p>
    <w:bookmarkEnd w:id="33"/>
    <w:bookmarkStart w:id="34" w:name="figures"/>
    <w:p>
      <w:pPr>
        <w:pStyle w:val="Heading1"/>
      </w:pPr>
      <w:r>
        <w:t xml:space="preserve">Figures</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5f5b33b-fce9-4bdf-a94b-ffa5affaec99" w:name="f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5f5b33b-fce9-4bdf-a94b-ffa5affaec99"/>
      <w:r>
        <w:rPr/>
        <w:t xml:space="preserve">: </w:t>
      </w:r>
      <w:r>
        <w:t xml:space="preserve">(ref:f1)</w:t>
      </w:r>
    </w:p>
    <w:p>
      <w:r>
        <w:br w:type="page"/>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836e87f7-6d90-41ea-9f4d-935d02d6fcfe" w:name="f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36e87f7-6d90-41ea-9f4d-935d02d6fcfe"/>
      <w:r>
        <w:rPr/>
        <w:t xml:space="preserve">: </w:t>
      </w:r>
      <w:r>
        <w:t xml:space="preserve">(ref:f2)</w:t>
      </w:r>
    </w:p>
    <w:p>
      <w:r>
        <w:br w:type="page"/>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4"/>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11105415-67f9-44dd-a422-236ef66480e8" w:name="f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105415-67f9-44dd-a422-236ef66480e8"/>
      <w:r>
        <w:rPr/>
        <w:t xml:space="preserve">: </w:t>
      </w:r>
      <w:r>
        <w:t xml:space="preserve">(ref:f3)</w:t>
      </w:r>
    </w:p>
    <w:p>
      <w:r>
        <w:br w:type="page"/>
      </w:r>
    </w:p>
    <w:p>
      <w:pPr>
        <w:jc w:val="center"/>
        <w:pStyle w:val="Figure"/>
      </w:pPr>
      <w:r>
        <w:rPr/>
        <w:drawing>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5"/>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d8e2308a-f82b-4c06-ac5d-8435015fe030" w:name="f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8e2308a-f82b-4c06-ac5d-8435015fe030"/>
      <w:r>
        <w:rPr/>
        <w:t xml:space="preserve">: </w:t>
      </w:r>
      <w:r>
        <w:t xml:space="preserve">(ref:f4)</w:t>
      </w:r>
    </w:p>
    <w:p>
      <w:r>
        <w:br w:type="page"/>
      </w:r>
    </w:p>
    <w:p>
      <w:pPr>
        <w:jc w:val="center"/>
        <w:pStyle w:val="Figure"/>
      </w:pPr>
      <w:r>
        <w:rPr/>
        <w:drawing>
          <wp:inline distT="0" distB="0" distL="0" distR="0">
            <wp:extent cx="45720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6"/>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c9f0b80f-0666-46ec-b247-3b8898bcd1c6" w:name="f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9f0b80f-0666-46ec-b247-3b8898bcd1c6"/>
      <w:r>
        <w:rPr/>
        <w:t xml:space="preserve">: </w:t>
      </w:r>
      <w:r>
        <w:t xml:space="preserve">(ref:f5)</w:t>
      </w:r>
    </w:p>
    <w:p>
      <w:r>
        <w:br w:type="page"/>
      </w:r>
    </w:p>
    <w:p>
      <w:pPr>
        <w:jc w:val="center"/>
        <w:pStyle w:val="Figure"/>
      </w:pPr>
      <w:r>
        <w:rPr/>
        <w:drawing>
          <wp:inline distT="0" distB="0" distL="0" distR="0">
            <wp:extent cx="45720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67"/>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da175dac-5f96-45cf-97f9-cb4324038298" w:name="f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a175dac-5f96-45cf-97f9-cb4324038298"/>
      <w:r>
        <w:rPr/>
        <w:t xml:space="preserve">: </w:t>
      </w:r>
      <w:r>
        <w:t xml:space="preserve">(ref:f6)</w:t>
      </w:r>
    </w:p>
    <w:p>
      <w:r>
        <w:br w:type="page"/>
      </w:r>
    </w:p>
    <w:p>
      <w:pPr>
        <w:jc w:val="center"/>
        <w:pStyle w:val="Figure"/>
      </w:pPr>
      <w:r>
        <w:rPr/>
        <w:drawing>
          <wp:inline distT="0" distB="0" distL="0" distR="0">
            <wp:extent cx="45720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6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38c68261-bb0e-4c95-9543-9b93e902ea09" w:name="f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8c68261-bb0e-4c95-9543-9b93e902ea09"/>
      <w:r>
        <w:rPr/>
        <w:t xml:space="preserve">: </w:t>
      </w:r>
      <w:r>
        <w:t xml:space="preserve">(ref:f7)</w:t>
      </w:r>
    </w:p>
    <w:p>
      <w:r>
        <w:br w:type="page"/>
      </w:r>
    </w:p>
    <w:bookmarkEnd w:id="34"/>
    <w:bookmarkStart w:id="66" w:name="star-methods"/>
    <w:p>
      <w:pPr>
        <w:pStyle w:val="Heading1"/>
      </w:pPr>
      <w:r>
        <w:t xml:space="preserve">STAR Methods</w:t>
      </w:r>
    </w:p>
    <w:bookmarkStart w:id="39" w:name="resource-availability"/>
    <w:p>
      <w:pPr>
        <w:pStyle w:val="Heading2"/>
      </w:pPr>
      <w:r>
        <w:t xml:space="preserve">Resource Availability</w:t>
      </w:r>
    </w:p>
    <w:bookmarkStart w:id="35"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35"/>
    <w:bookmarkStart w:id="36" w:name="materials-availability"/>
    <w:p>
      <w:pPr>
        <w:pStyle w:val="Heading3"/>
      </w:pPr>
      <w:r>
        <w:t xml:space="preserve">Materials Availability</w:t>
      </w:r>
    </w:p>
    <w:p>
      <w:pPr>
        <w:pStyle w:val="FirstParagraph"/>
      </w:pPr>
      <w:r>
        <w:t xml:space="preserve">This study did not generate new unique reagents.</w:t>
      </w:r>
    </w:p>
    <w:bookmarkEnd w:id="36"/>
    <w:bookmarkStart w:id="38"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37">
        <w:r>
          <w:rPr>
            <w:rStyle w:val="Hyperlink"/>
          </w:rPr>
          <w:t xml:space="preserve">https://github.com/oldhamlab/Copeland.2021.hypoxia.flux</w:t>
        </w:r>
      </w:hyperlink>
      <w:r>
        <w:t xml:space="preserve">). RNA-seq data has been deposited in the NIH Short Read Archive (PRJNA721596).</w:t>
      </w:r>
    </w:p>
    <w:bookmarkEnd w:id="38"/>
    <w:bookmarkEnd w:id="39"/>
    <w:bookmarkStart w:id="42" w:name="experimental-model-details"/>
    <w:p>
      <w:pPr>
        <w:pStyle w:val="Heading2"/>
      </w:pPr>
      <w:r>
        <w:t xml:space="preserve">Experimental Model Details</w:t>
      </w:r>
    </w:p>
    <w:bookmarkStart w:id="40"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male) and #29132 (19, female). Cell authentication was performed by the vendor.</w:t>
      </w:r>
    </w:p>
    <w:bookmarkEnd w:id="40"/>
    <w:bookmarkStart w:id="41"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male), #27662 (35, male), #26698 (51, male), and #19828 (51, male). Cell authentication was performed by the vendor.</w:t>
      </w:r>
    </w:p>
    <w:bookmarkEnd w:id="41"/>
    <w:bookmarkEnd w:id="42"/>
    <w:bookmarkStart w:id="63" w:name="method-details"/>
    <w:p>
      <w:pPr>
        <w:pStyle w:val="Heading2"/>
      </w:pPr>
      <w:r>
        <w:t xml:space="preserve">Method Details</w:t>
      </w:r>
    </w:p>
    <w:bookmarkStart w:id="43"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43"/>
    <w:bookmarkStart w:id="44"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(Supplementary Figure 1A). No difference in total cellular DNA was identified between normoxia and hypoxia cultures (Supplementary Figure 1B).</w:t>
      </w:r>
    </w:p>
    <w:bookmarkEnd w:id="44"/>
    <w:bookmarkStart w:id="45"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45"/>
    <w:bookmarkStart w:id="46"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46"/>
    <w:bookmarkStart w:id="47"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47"/>
    <w:bookmarkStart w:id="48"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48"/>
    <w:bookmarkStart w:id="49"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49"/>
    <w:bookmarkStart w:id="50"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0"/>
    <w:bookmarkStart w:id="51"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w:p>
    <w:p>
      <w:pPr>
        <w:pStyle w:val="BodyText"/>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w:p>
    <w:p>
      <w:pPr>
        <w:pStyle w:val="BodyText"/>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(Supplementary Figure 1C).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grow/>
          </m:dPr>
          <m:e>
            <m:sSup>
              <m:e>
                <m:r>
                  <m:t>e</m:t>
                </m:r>
              </m:e>
              <m:sup>
                <m:d>
                  <m:dPr>
                    <m:begChr m:val="("/>
                    <m:end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@ref(eq:4).</w:t>
      </w:r>
    </w:p>
    <w:bookmarkEnd w:id="51"/>
    <w:bookmarkStart w:id="57" w:name="metabolomics"/>
    <w:p>
      <w:pPr>
        <w:pStyle w:val="Heading3"/>
      </w:pPr>
      <w:r>
        <w:t xml:space="preserve">Metabolomics</w:t>
      </w:r>
    </w:p>
    <w:bookmarkStart w:id="52"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52"/>
    <w:bookmarkStart w:id="53"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53"/>
    <w:bookmarkStart w:id="55"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54">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55"/>
    <w:bookmarkStart w:id="56"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w:t>
      </w:r>
    </w:p>
    <w:bookmarkEnd w:id="56"/>
    <w:bookmarkEnd w:id="57"/>
    <w:bookmarkStart w:id="58"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58"/>
    <w:bookmarkStart w:id="59"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59"/>
    <w:bookmarkStart w:id="60"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0"/>
    <w:bookmarkStart w:id="62"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1">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62"/>
    <w:bookmarkEnd w:id="63"/>
    <w:bookmarkStart w:id="64"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37">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listed below.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64"/>
    <w:bookmarkStart w:id="65"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397"/>
        <w:gridCol w:w="2009"/>
        <w:gridCol w:w="4181"/>
      </w:tblGrid>
      <w:tr>
        <w:trPr>
          <w:cantSplit/>
          <w:trHeight w:val="38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6"/>
                <w:szCs w:val="16"/>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6"/>
                <w:szCs w:val="16"/>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6"/>
                <w:szCs w:val="16"/>
                <w:color w:val="000000"/>
              </w:rPr>
              <w:t xml:space="preserve">IDENTIFIER</w:t>
            </w:r>
          </w:p>
        </w:tc>
      </w:tr>
      <w:tr>
        <w:trPr>
          <w:cantSplit/>
          <w:trHeight w:val="377"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Antibodies</w:t>
            </w:r>
          </w:p>
        </w:tc>
      </w:tr>
      <w:tr>
        <w:trPr>
          <w:cantSplit/>
          <w:trHeight w:val="3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610958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D84C12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2012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7074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7076</w:t>
            </w:r>
          </w:p>
        </w:tc>
      </w:tr>
      <w:tr>
        <w:trPr>
          <w:cantSplit/>
          <w:trHeight w:val="404"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Chemicals, peptides, and recombinant proteins</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6"/>
                <w:szCs w:val="16"/>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CLM-504-PK</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6"/>
                <w:szCs w:val="16"/>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6"/>
                <w:szCs w:val="16"/>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CLM-1396-PK</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6"/>
                <w:szCs w:val="16"/>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6"/>
                <w:szCs w:val="16"/>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CLM-1822-H-PK</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6"/>
                <w:szCs w:val="16"/>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6"/>
                <w:szCs w:val="16"/>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485926</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15297</w:t>
            </w:r>
          </w:p>
        </w:tc>
      </w:tr>
      <w:tr>
        <w:trPr>
          <w:cantSplit/>
          <w:trHeight w:val="404"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Critical commercial assays</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10009582</w:t>
            </w:r>
          </w:p>
        </w:tc>
      </w:tr>
      <w:tr>
        <w:trPr>
          <w:cantSplit/>
          <w:trHeight w:val="40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700510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700470</w:t>
            </w:r>
          </w:p>
        </w:tc>
      </w:tr>
      <w:tr>
        <w:trPr>
          <w:cantSplit/>
          <w:trHeight w:val="404"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Depositied data</w:t>
            </w:r>
          </w:p>
        </w:tc>
      </w:tr>
      <w:tr>
        <w:trPr>
          <w:cantSplit/>
          <w:trHeight w:val="4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https://github.com/oldhamlab/Copeland.2021.hypoxia.flux</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SRA: PRJNA721596</w:t>
            </w:r>
          </w:p>
        </w:tc>
      </w:tr>
      <w:tr>
        <w:trPr>
          <w:cantSplit/>
          <w:trHeight w:val="4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https://github.com/oldhamlab/rnaseq.lf.hypoxia.molidustat</w:t>
            </w:r>
          </w:p>
        </w:tc>
      </w:tr>
      <w:tr>
        <w:trPr>
          <w:cantSplit/>
          <w:trHeight w:val="404"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Experimental models: Cell lines</w:t>
            </w:r>
          </w:p>
        </w:tc>
      </w:tr>
      <w:tr>
        <w:trPr>
          <w:cantSplit/>
          <w:trHeight w:val="40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CC-2512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CC-2581</w:t>
            </w:r>
          </w:p>
        </w:tc>
      </w:tr>
      <w:tr>
        <w:trPr>
          <w:cantSplit/>
          <w:trHeight w:val="404"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Oligonucleotides</w:t>
            </w:r>
          </w:p>
        </w:tc>
      </w:tr>
      <w:tr>
        <w:trPr>
          <w:cantSplit/>
          <w:trHeight w:val="40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4351370</w:t>
            </w:r>
          </w:p>
        </w:tc>
      </w:tr>
      <w:tr>
        <w:trPr>
          <w:cantSplit/>
          <w:trHeight w:val="40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4351370</w:t>
            </w:r>
          </w:p>
        </w:tc>
      </w:tr>
      <w:tr>
        <w:trPr>
          <w:cantSplit/>
          <w:trHeight w:val="40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4351370</w:t>
            </w:r>
          </w:p>
        </w:tc>
      </w:tr>
    </w:tbl>
    <w:p>
      <w:r>
        <w:br w:type="page"/>
      </w:r>
    </w:p>
    <w:bookmarkEnd w:id="65"/>
    <w:bookmarkEnd w:id="66"/>
    <w:bookmarkStart w:id="67" w:name="supplemental-items-titles"/>
    <w:p>
      <w:pPr>
        <w:pStyle w:val="Heading1"/>
      </w:pPr>
      <w:r>
        <w:t xml:space="preserve">Supplemental Items Titles</w:t>
      </w:r>
    </w:p>
    <w:p>
      <w:r>
        <w:br w:type="page"/>
      </w:r>
    </w:p>
    <w:bookmarkEnd w:id="67"/>
    <w:bookmarkStart w:id="98" w:name="references"/>
    <w:p>
      <w:pPr>
        <w:pStyle w:val="Heading1"/>
      </w:pPr>
      <w:r>
        <w:t xml:space="preserve">References</w:t>
      </w:r>
    </w:p>
    <w:bookmarkStart w:id="97" w:name="refs_main"/>
    <w:bookmarkStart w:id="68" w:name="ref-RN60"/>
    <w:p>
      <w:pPr>
        <w:pStyle w:val="FirstParagraph"/>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68"/>
    <w:bookmarkStart w:id="69" w:name="ref-RN3077"/>
    <w:p>
      <w:pPr>
        <w:pStyle w:val="BodyText"/>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69"/>
    <w:bookmarkStart w:id="70" w:name="ref-RN3094"/>
    <w:p>
      <w:pPr>
        <w:pStyle w:val="BodyText"/>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70"/>
    <w:bookmarkStart w:id="71" w:name="ref-RN557"/>
    <w:p>
      <w:pPr>
        <w:pStyle w:val="BodyText"/>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71"/>
    <w:bookmarkStart w:id="72" w:name="ref-RN580"/>
    <w:p>
      <w:pPr>
        <w:pStyle w:val="BodyText"/>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72"/>
    <w:bookmarkStart w:id="73" w:name="ref-RN628"/>
    <w:p>
      <w:pPr>
        <w:pStyle w:val="BodyText"/>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73"/>
    <w:bookmarkStart w:id="74" w:name="ref-RN634"/>
    <w:p>
      <w:pPr>
        <w:pStyle w:val="BodyText"/>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74"/>
    <w:bookmarkStart w:id="75" w:name="ref-RN730"/>
    <w:p>
      <w:pPr>
        <w:pStyle w:val="BodyText"/>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75"/>
    <w:bookmarkStart w:id="76" w:name="ref-RN953"/>
    <w:p>
      <w:pPr>
        <w:pStyle w:val="BodyText"/>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76"/>
    <w:bookmarkStart w:id="77" w:name="ref-RN964"/>
    <w:p>
      <w:pPr>
        <w:pStyle w:val="BodyText"/>
      </w:pPr>
      <w:r>
        <w:t xml:space="preserve">Jazmin, L.J., and Young, J.D. (2013). Isotopically nonstationary 13C metabolic flux analysis. Methods Mol Biol</w:t>
      </w:r>
      <w:r>
        <w:t xml:space="preserve"> </w:t>
      </w:r>
      <w:r>
        <w:rPr>
          <w:iCs/>
          <w:i/>
        </w:rPr>
        <w:t xml:space="preserve">985</w:t>
      </w:r>
      <w:r>
        <w:t xml:space="preserve">, 367–390.</w:t>
      </w:r>
    </w:p>
    <w:bookmarkEnd w:id="77"/>
    <w:bookmarkStart w:id="78" w:name="ref-RN975"/>
    <w:p>
      <w:pPr>
        <w:pStyle w:val="BodyText"/>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78"/>
    <w:bookmarkStart w:id="79" w:name="ref-RN1063"/>
    <w:p>
      <w:pPr>
        <w:pStyle w:val="BodyText"/>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79"/>
    <w:bookmarkStart w:id="80" w:name="ref-RN1198"/>
    <w:p>
      <w:pPr>
        <w:pStyle w:val="BodyText"/>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80"/>
    <w:bookmarkStart w:id="81" w:name="ref-RN1200"/>
    <w:p>
      <w:pPr>
        <w:pStyle w:val="BodyText"/>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81"/>
    <w:bookmarkStart w:id="82" w:name="ref-RN1294"/>
    <w:p>
      <w:pPr>
        <w:pStyle w:val="BodyText"/>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82"/>
    <w:bookmarkStart w:id="83" w:name="ref-RN1438"/>
    <w:p>
      <w:pPr>
        <w:pStyle w:val="BodyText"/>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83"/>
    <w:bookmarkStart w:id="84" w:name="ref-RN1447"/>
    <w:p>
      <w:pPr>
        <w:pStyle w:val="BodyText"/>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84"/>
    <w:bookmarkStart w:id="85" w:name="ref-RN1523"/>
    <w:p>
      <w:pPr>
        <w:pStyle w:val="BodyText"/>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85"/>
    <w:bookmarkStart w:id="86" w:name="ref-RN1522"/>
    <w:p>
      <w:pPr>
        <w:pStyle w:val="BodyText"/>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86"/>
    <w:bookmarkStart w:id="87" w:name="ref-RN1603"/>
    <w:p>
      <w:pPr>
        <w:pStyle w:val="BodyText"/>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87"/>
    <w:bookmarkStart w:id="88" w:name="ref-RN1741"/>
    <w:p>
      <w:pPr>
        <w:pStyle w:val="BodyText"/>
      </w:pPr>
      <w:r>
        <w:t xml:space="preserve">Quek, L.E., Dietmair, S., Kromer, J.O., and Nielsen, L.K. (2010). Metabolic flux analysis in mammalian cell culture. Metab Eng</w:t>
      </w:r>
      <w:r>
        <w:t xml:space="preserve"> </w:t>
      </w:r>
      <w:r>
        <w:rPr>
          <w:iCs/>
          <w:i/>
        </w:rPr>
        <w:t xml:space="preserve">12</w:t>
      </w:r>
      <w:r>
        <w:t xml:space="preserve">, 161–171.</w:t>
      </w:r>
    </w:p>
    <w:bookmarkEnd w:id="88"/>
    <w:bookmarkStart w:id="89" w:name="ref-RN1966"/>
    <w:p>
      <w:pPr>
        <w:pStyle w:val="BodyText"/>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89"/>
    <w:bookmarkStart w:id="90" w:name="ref-RN1980"/>
    <w:p>
      <w:pPr>
        <w:pStyle w:val="BodyText"/>
      </w:pPr>
      <w:r>
        <w:t xml:space="preserve">Semenza, G.L. (2012). Hypoxia-inducible factors in physiology and medicine. Cell</w:t>
      </w:r>
      <w:r>
        <w:t xml:space="preserve"> </w:t>
      </w:r>
      <w:r>
        <w:rPr>
          <w:iCs/>
          <w:i/>
        </w:rPr>
        <w:t xml:space="preserve">148</w:t>
      </w:r>
      <w:r>
        <w:t xml:space="preserve">, 399–408.</w:t>
      </w:r>
    </w:p>
    <w:bookmarkEnd w:id="90"/>
    <w:bookmarkStart w:id="91" w:name="ref-RN2005"/>
    <w:p>
      <w:pPr>
        <w:pStyle w:val="BodyText"/>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91"/>
    <w:bookmarkStart w:id="92" w:name="ref-RN2266"/>
    <w:p>
      <w:pPr>
        <w:pStyle w:val="BodyText"/>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92"/>
    <w:bookmarkStart w:id="93" w:name="ref-RN2395"/>
    <w:p>
      <w:pPr>
        <w:pStyle w:val="BodyText"/>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93"/>
    <w:bookmarkStart w:id="94" w:name="ref-RN2501"/>
    <w:p>
      <w:pPr>
        <w:pStyle w:val="BodyText"/>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94"/>
    <w:bookmarkStart w:id="95" w:name="ref-RN2517"/>
    <w:p>
      <w:pPr>
        <w:pStyle w:val="BodyText"/>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95"/>
    <w:bookmarkStart w:id="96" w:name="ref-RN2525"/>
    <w:p>
      <w:pPr>
        <w:pStyle w:val="BodyText"/>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96"/>
    <w:bookmarkEnd w:id="97"/>
    <w:bookmarkEnd w:id="98"/>
    <w:bookmarkStart w:id="106" w:name="software"/>
    <w:p>
      <w:pPr>
        <w:pStyle w:val="Heading1"/>
      </w:pPr>
      <w:r>
        <w:t xml:space="preserve">Software</w:t>
      </w:r>
    </w:p>
    <w:bookmarkStart w:id="105" w:name="refs_software"/>
    <w:bookmarkStart w:id="99" w:name="ref-fgsea"/>
    <w:p>
      <w:pPr>
        <w:pStyle w:val="FirstParagraph"/>
      </w:pPr>
      <w:r>
        <w:t xml:space="preserve">Korotkevich, G., Sukhov, V., and Sergushichev, A. (2019). Fast gene set enrichment analysis. bioRxiv.</w:t>
      </w:r>
    </w:p>
    <w:bookmarkEnd w:id="99"/>
    <w:bookmarkStart w:id="100" w:name="ref-Rsubread"/>
    <w:p>
      <w:pPr>
        <w:pStyle w:val="BodyText"/>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00"/>
    <w:bookmarkStart w:id="101" w:name="ref-DESeq2"/>
    <w:p>
      <w:pPr>
        <w:pStyle w:val="BodyText"/>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01"/>
    <w:bookmarkStart w:id="102" w:name="ref-TFEA.ChIP"/>
    <w:p>
      <w:pPr>
        <w:pStyle w:val="BodyText"/>
      </w:pPr>
      <w:r>
        <w:t xml:space="preserve">Puente-Santamaria, L., Wasserman, W., and del Peso, L. (2019). TFEA.ChIP: A tool kit for transcription factor binding site enrichment analysis capitalizing on ChIP-seq datasets. Bioinformatics.</w:t>
      </w:r>
    </w:p>
    <w:bookmarkEnd w:id="102"/>
    <w:bookmarkStart w:id="103" w:name="ref-R-base"/>
    <w:p>
      <w:pPr>
        <w:pStyle w:val="BodyText"/>
      </w:pPr>
      <w:r>
        <w:t xml:space="preserve">R Core Team (2020). R: A language and environment for statistical computing (Vienna, Austria: R Foundation for Statistical Computing).</w:t>
      </w:r>
    </w:p>
    <w:bookmarkEnd w:id="103"/>
    <w:bookmarkStart w:id="104"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04"/>
    <w:bookmarkEnd w:id="105"/>
    <w:bookmarkEnd w:id="106"/>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D88639D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376B3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04C82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07A95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90E6A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9428D3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298919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0A7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49CFE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8761AB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650CF"/>
    <w:rPr>
      <w:sz w:val="22"/>
    </w:rPr>
  </w:style>
  <w:style w:styleId="Heading1" w:type="paragraph">
    <w:name w:val="heading 1"/>
    <w:basedOn w:val="Normal"/>
    <w:next w:val="BodyText"/>
    <w:uiPriority w:val="9"/>
    <w:qFormat/>
    <w:rsid w:val="00515FCD"/>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asciiTheme="majorHAnsi" w:cstheme="majorBidi" w:eastAsiaTheme="majorEastAsia" w:hAnsiTheme="majorHAnsi"/>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asciiTheme="majorHAnsi" w:cstheme="majorBidi" w:eastAsiaTheme="majorEastAsia" w:hAnsiTheme="majorHAnsi"/>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asciiTheme="majorHAnsi" w:cstheme="majorBidi" w:eastAsiaTheme="majorEastAsia" w:hAnsiTheme="majorHAnsi"/>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asciiTheme="majorHAnsi" w:cstheme="majorBidi" w:eastAsiaTheme="majorEastAsia" w:hAnsiTheme="majorHAnsi"/>
      <w:szCs w:val="22"/>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650CF"/>
    <w:pPr>
      <w:keepNext/>
      <w:keepLines/>
      <w:jc w:val="center"/>
    </w:pPr>
    <w:rPr>
      <w:sz w:val="22"/>
    </w:rPr>
  </w:style>
  <w:style w:styleId="Date" w:type="paragraph">
    <w:name w:val="Date"/>
    <w:next w:val="BodyText"/>
    <w:qFormat/>
    <w:rsid w:val="000650CF"/>
    <w:pPr>
      <w:keepNext/>
      <w:keepLines/>
      <w:jc w:val="center"/>
    </w:pPr>
    <w:rPr>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663598"/>
    <w:rPr>
      <w:i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7" Type="http://schemas.openxmlformats.org/officeDocument/2006/relationships/hyperlink" Target="https://github.com/oldhamlab/Copeland.2021.hypoxia.flux" TargetMode="External"/>
<Relationship Id="rId54" Type="http://schemas.openxmlformats.org/officeDocument/2006/relationships/hyperlink" Target="https://github.com/oldhamlab/mzrtools" TargetMode="External"/>
<Relationship Id="rId61" Type="http://schemas.openxmlformats.org/officeDocument/2006/relationships/hyperlink" Target="https://github.com/oldhamlab/rnaseq.lf.hypoxia.molidustat" TargetMode="External"/>
<Relationship Id="rId20" Type="http://schemas.openxmlformats.org/officeDocument/2006/relationships/hyperlink" Target="mailto:woldham@bwh.harvard.edu" TargetMode="External"/>
<Relationship Id="rId62" Type="http://schemas.openxmlformats.org/officeDocument/2006/relationships/image" Target="media/file115902b08f991.pdf"/>
<Relationship Id="rId63" Type="http://schemas.openxmlformats.org/officeDocument/2006/relationships/image" Target="media/file115905a38b4a9.pdf"/>
<Relationship Id="rId64" Type="http://schemas.openxmlformats.org/officeDocument/2006/relationships/image" Target="media/file1159040dcf185.pdf"/>
<Relationship Id="rId65" Type="http://schemas.openxmlformats.org/officeDocument/2006/relationships/image" Target="media/file1159069747407.pdf"/>
<Relationship Id="rId66" Type="http://schemas.openxmlformats.org/officeDocument/2006/relationships/image" Target="media/file115905c6dada7.pdf"/>
<Relationship Id="rId67" Type="http://schemas.openxmlformats.org/officeDocument/2006/relationships/image" Target="media/file1159024a3de59.pdf"/>
<Relationship Id="rId68" Type="http://schemas.openxmlformats.org/officeDocument/2006/relationships/image" Target="media/file1159025ab7da.pdf"/>
</Relationships>

</file>

<file path=word/_rels/footnotes.xml.rels><?xml version="1.0" encoding="UTF-8" standalone="yes"?>

<Relationships  xmlns="http://schemas.openxmlformats.org/package/2006/relationships">
<Relationship Id="rId37" Type="http://schemas.openxmlformats.org/officeDocument/2006/relationships/hyperlink" Target="https://github.com/oldhamlab/Copeland.2021.hypoxia.flux" TargetMode="External"/>
<Relationship Id="rId54" Type="http://schemas.openxmlformats.org/officeDocument/2006/relationships/hyperlink" Target="https://github.com/oldhamlab/mzrtools" TargetMode="External"/>
<Relationship Id="rId61" Type="http://schemas.openxmlformats.org/officeDocument/2006/relationships/hyperlink" Target="https://github.com/oldhamlab/rnaseq.lf.hypoxia.molidustat" TargetMode="External"/>
<Relationship Id="rId20" Type="http://schemas.openxmlformats.org/officeDocument/2006/relationships/hyperlink"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Hypoxia uncouples HIF gene transcription and metabolic flux in proliferating primary cells</dc:title>
  <dc:creator>Courtney A. Copeland1, Benjamin A. Olenchock1,2, David R. Ziehr1,4, Sarah McGarrity1,5, Jamey D. Young3, Joseph Loscalzo1, and William M. Oldham1,‡</dc:creator>
  <cp:keywords/>
  <dcterms:created xsi:type="dcterms:W3CDTF">2021-05-03T17:17:12Z</dcterms:created>
  <dcterms:modified xsi:type="dcterms:W3CDTF">2021-05-03T13:17:12Z</dcterms:modified>
  <cp:lastModifiedBy>will</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header-includes">
    <vt:lpwstr/>
  </property>
  <property fmtid="{D5CDD505-2E9C-101B-9397-08002B2CF9AE}" pid="10" name="link-citations">
    <vt:lpwstr>yes</vt:lpwstr>
  </property>
  <property fmtid="{D5CDD505-2E9C-101B-9397-08002B2CF9AE}" pid="11" name="mainfont">
    <vt:lpwstr>Calibri</vt:lpwstr>
  </property>
  <property fmtid="{D5CDD505-2E9C-101B-9397-08002B2CF9AE}" pid="12" name="output">
    <vt:lpwstr/>
  </property>
</Properties>
</file>