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rId42.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(150 words)</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Metazoan cells depend on aerobic respiration to meet cellular energy demands. With an inadequate oxygen supply, or hypoxia,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proteins in the tricarboxylic acid (TCA) cycle and electron transport chain</w:t>
      </w:r>
      <w:r>
        <w:t xml:space="preserve"> </w:t>
      </w:r>
      <w:hyperlink w:anchor="ref-RN1198">
        <w:r>
          <w:rPr>
            <w:rStyle w:val="Hyperlink"/>
          </w:rPr>
          <w:t xml:space="preserve">Lee et al.</w:t>
        </w:r>
      </w:hyperlink>
      <w:r>
        <w:t xml:space="preserve"> </w:t>
      </w:r>
      <w:r>
        <w:t xml:space="preserve">(</w:t>
      </w:r>
      <w:hyperlink w:anchor="ref-RN1198">
        <w:r>
          <w:rPr>
            <w:rStyle w:val="Hyperlink"/>
          </w:rPr>
          <w:t xml:space="preserve">2020</w:t>
        </w:r>
      </w:hyperlink>
      <w:r>
        <w:t xml:space="preserve">)</w:t>
      </w:r>
      <w:r>
        <w:t xml:space="preserve">. Overall, these changes in gene transcription should increase glycolytic capacity and divert glucose-derived pyruvate from oxidative phosphorylation toward lactate fermentation to maintain energy production and minimize the formation of reactive oxygen species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this</w:t>
      </w:r>
      <w:r>
        <w:t xml:space="preserve"> </w:t>
      </w:r>
      <w:r>
        <w:t xml:space="preserve">“</w:t>
      </w:r>
      <w:r>
        <w:t xml:space="preserve">glycolytic shift</w:t>
      </w:r>
      <w:r>
        <w:t xml:space="preserve">”</w:t>
      </w:r>
      <w:r>
        <w:t xml:space="preserve"> </w:t>
      </w:r>
      <w:r>
        <w:t xml:space="preserve">of primary carbon metabolism is well-described, the effects of hypoxia on other metabolic pathways are an area of active investigation</w:t>
      </w:r>
      <w:r>
        <w:t xml:space="preserve"> </w:t>
      </w:r>
      <w:hyperlink w:anchor="ref-RN1198">
        <w:r>
          <w:rPr>
            <w:rStyle w:val="Hyperlink"/>
          </w:rPr>
          <w:t xml:space="preserve">Lee et al.</w:t>
        </w:r>
      </w:hyperlink>
      <w:r>
        <w:t xml:space="preserve"> </w:t>
      </w:r>
      <w:r>
        <w:t xml:space="preserve">(</w:t>
      </w:r>
      <w:hyperlink w:anchor="ref-RN1198">
        <w:r>
          <w:rPr>
            <w:rStyle w:val="Hyperlink"/>
          </w:rPr>
          <w:t xml:space="preserve">2020</w:t>
        </w:r>
      </w:hyperlink>
      <w:r>
        <w:t xml:space="preserve">)</w:t>
      </w:r>
      <w:r>
        <w:t xml:space="preserve">. Since hypoxia is a prominent feature of cancer biology as tumor growth outstrips blood supply, most detailed metabolic studies of cell metabolism in hypoxia have used tumor cell models</w:t>
      </w:r>
      <w:r>
        <w:t xml:space="preserve"> </w:t>
      </w:r>
      <w:hyperlink w:anchor="ref-RN975">
        <w:r>
          <w:rPr>
            <w:rStyle w:val="Hyperlink"/>
          </w:rPr>
          <w:t xml:space="preserve">Jiang et al.</w:t>
        </w:r>
      </w:hyperlink>
      <w:r>
        <w:t xml:space="preserve"> </w:t>
      </w:r>
      <w:r>
        <w:t xml:space="preserve">(</w:t>
      </w:r>
      <w:hyperlink w:anchor="ref-RN975">
        <w:r>
          <w:rPr>
            <w:rStyle w:val="Hyperlink"/>
          </w:rPr>
          <w:t xml:space="preserve">2016</w:t>
        </w:r>
      </w:hyperlink>
      <w:r>
        <w:t xml:space="preserve">)</w:t>
      </w:r>
      <w:r>
        <w:t xml:space="preserve">. For example, stable isotope tracing and metabolic flux analyses identified a critical role for reductive carboxylation of glutamine-derived α-ketoglutarate for lipid biosynthesis in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the importance of the metabolic pathways described above remain to be elucidated in these cells. This information would provide important context for understanding the extent to which cancer cell metabolism responds differently to hypoxic stress. Given the metabolic adaptations required for rapid proliferation in cancer cells, we hypothesized that hypoxia would elicit different metabolic responses in primary cells than has been observed previously in studies of cancer cell metabolism.</w:t>
      </w:r>
    </w:p>
    <w:p>
      <w:pPr>
        <w:pStyle w:val="BodyText"/>
      </w:pPr>
      <w:r>
        <w:t xml:space="preserve">To test this hypothesis, we developed models of bioenergetic carbon flux in human primary cells cultured under 21% or 0.5% oxygen conditions. We found that hypoxia fails to increase glycolysis in primary cells despite robust up-regulation of the HIF-1α transcriptional program. In normoxia, HIF-1α activation by the prolyl hydroxylase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HIF-1α-dependent up-regulation of glycolytic gene expression in human primary cells.</w:t>
      </w:r>
    </w:p>
    <w:bookmarkEnd w:id="23"/>
    <w:bookmarkStart w:id="29" w:name="results"/>
    <w:p>
      <w:pPr>
        <w:pStyle w:val="Heading1"/>
      </w:pPr>
      <w:r>
        <w:t xml:space="preserve">Results</w:t>
      </w:r>
    </w:p>
    <w:p>
      <w:pPr>
        <w:pStyle w:val="FirstParagraph"/>
      </w:pPr>
      <w:r>
        <w:t xml:space="preserve">The goal of this study was to identify the metabolic changes associated with hypoxia in proliferating primary cells.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(Figure</w:t>
      </w:r>
      <w:r>
        <w:t xml:space="preserve"> </w:t>
      </w:r>
      <w:r>
        <w:t xml:space="preserve">1</w:t>
      </w:r>
      <w:r>
        <w:t xml:space="preserve">A), thought to be an indicator of metabolic steady state. Lung fibroblasts (LFs) cultured in 0.5% oxygen grew more slowly (Figure</w:t>
      </w:r>
      <w:r>
        <w:t xml:space="preserve"> </w:t>
      </w:r>
      <w:r>
        <w:t xml:space="preserve">1</w:t>
      </w:r>
      <w:r>
        <w:t xml:space="preserve">B), but slower growth was not associated with decreased cell viability (Figure</w:t>
      </w:r>
      <w:r>
        <w:t xml:space="preserve"> </w:t>
      </w:r>
      <w:r>
        <w:t xml:space="preserve">1</w:t>
      </w:r>
      <w:r>
        <w:t xml:space="preserve">C). These cells demonstrated robust stabilization of HIF-1α protein associated with up-regulation of downstream targets, such as glucose transporter 1, (GLUT1), and lactate dehydrogenase A (LDHA) (Figure</w:t>
      </w:r>
      <w:r>
        <w:t xml:space="preserve"> </w:t>
      </w:r>
      <w:r>
        <w:t xml:space="preserve">1</w:t>
      </w:r>
      <w:r>
        <w:t xml:space="preserve">D-H).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(Figure</w:t>
      </w:r>
      <w:r>
        <w:t xml:space="preserve"> </w:t>
      </w:r>
      <w:r>
        <w:t xml:space="preserve">1</w:t>
      </w:r>
      <w:r>
        <w:t xml:space="preserve">I-J, Supplementary Figures 1-3). Flux calculations incorporated the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(Supplementary Figure 1). Surprisingly, while glucose uptake was modestly increased in hypoxia, lactate efflux was decreased (Figure</w:t>
      </w:r>
      <w:r>
        <w:t xml:space="preserve"> </w:t>
      </w:r>
      <w:r>
        <w:t xml:space="preserve">1</w:t>
      </w:r>
      <w:r>
        <w:t xml:space="preserve">I) despite activation of the HIF-1 transcriptional program. Similar findings were observed when the ambient oxygen level was decreased further to 0.2% (Supplementary Figure 2) and in pulmonary artery smooth muscle cells (PASMCs; Supplementary Figure 3). In addition to lactate, the absolute extracellular fluxes of pyruvate and amino acids were generally decreased in hypoxia, including a marked decrease in glutamine uptake in LFs. Notably, hypoxia was previously shown to increase glutamine uptake in studies of cancer cell metabolism</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Glutamine uptake did increase in PASMCs, as did the uptake of branch chain amino acids and arginine (Supplementary Figure 3), suggesting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BAY to stabilize HIF-1α under 21% oxygen conditions (Figure</w:t>
      </w:r>
      <w:r>
        <w:t xml:space="preserve"> </w:t>
      </w:r>
      <w:r>
        <w:t xml:space="preserve">2</w:t>
      </w:r>
      <w:r>
        <w:t xml:space="preserve">. Similar to hypoxia, BAY decreased cell growth rate (Figure</w:t>
      </w:r>
      <w:r>
        <w:t xml:space="preserve"> </w:t>
      </w:r>
      <w:r>
        <w:t xml:space="preserve">2</w:t>
      </w:r>
      <w:r>
        <w:t xml:space="preserve">A-B) and activated the HIF-1 transcriptional program (Figure</w:t>
      </w:r>
      <w:r>
        <w:t xml:space="preserve"> </w:t>
      </w:r>
      <w:r>
        <w:t xml:space="preserve">2</w:t>
      </w:r>
      <w:r>
        <w:t xml:space="preserve">C-G). Compared to hypoxia, BAY treatment resulted in a similar activation of HIF-1 target gene transcription and protein expression. In normoxia, this transcriptional program was associated with substantially increased glucose uptake and lactate efflux (Figure</w:t>
      </w:r>
      <w:r>
        <w:t xml:space="preserve"> </w:t>
      </w:r>
      <w:r>
        <w:t xml:space="preserve">2</w:t>
      </w:r>
      <w:r>
        <w:t xml:space="preserve">H). Comparatively modest effects of BAY on amino acid fluxes were observed as compared to 0.5% oxygen culture conditions (Figure</w:t>
      </w:r>
      <w:r>
        <w:t xml:space="preserve"> </w:t>
      </w:r>
      <w:r>
        <w:t xml:space="preserve">2</w:t>
      </w:r>
      <w:r>
        <w:t xml:space="preserve">J).</w:t>
      </w:r>
    </w:p>
    <w:bookmarkEnd w:id="24"/>
    <w:bookmarkStart w:id="25" w:name="Xc84dc27d89c2b45ca2cbdb3259ba5b291a47311"/>
    <w:p>
      <w:pPr>
        <w:pStyle w:val="Heading2"/>
      </w:pPr>
      <w:r>
        <w:t xml:space="preserve">Stable isotope incorporation suggests preservation of the intracellular metabolic program in hypoxia</w:t>
      </w:r>
    </w:p>
    <w:p>
      <w:pPr>
        <w:pStyle w:val="FirstParagraph"/>
      </w:pPr>
      <w:r>
        <w:t xml:space="preserve">To validate our findings from extracellular flux measurements, we next treated LFs with stable carbon isotopes of glucose and glutamine to measure the rate of label incorporation and trace its incorporation into key carbon utilization pathways (Figure</w:t>
      </w:r>
      <w:r>
        <w:t xml:space="preserve"> </w:t>
      </w:r>
      <w:r>
        <w:t xml:space="preserve">3</w:t>
      </w:r>
      <w:r>
        <w:t xml:space="preserve"> </w:t>
      </w:r>
      <w:r>
        <w:t xml:space="preserve">and Supplementary Figures 4-5).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t xml:space="preserve">3</w:t>
      </w:r>
      <w:r>
        <w:t xml:space="preserve">A-B).</w:t>
      </w:r>
    </w:p>
    <w:p>
      <w:pPr>
        <w:pStyle w:val="BodyText"/>
      </w:pPr>
      <w:r>
        <w:t xml:space="preserve">Overall, hypoxia-treated cells generally had decreased label incorporation into downstream metabolites (</w:t>
      </w:r>
      <w:r>
        <w:rPr>
          <w:iCs/>
          <w:i/>
        </w:rPr>
        <w:t xml:space="preserve">i.e.</w:t>
      </w:r>
      <w:r>
        <w:t xml:space="preserve">, the unlabeled, or M0, fraction was greater). This finding is consistent with the extracellular flux measurements suggesting slower substrate utilization by hypoxic cells. BAY treatment recapitulated the labeling patterns observed with hypoxia, suggesting similar effects on intracellular metabolite distribution between these two conditions. Beyond this observation, the labeling patterns in hypoxia- and BAY-treated cells were similar to their respective controls, arguing against marked metabolic reprogramming in response to prolyl hydroxylase inhibition by either hypoxia or BAY. These findings were similar in PASMCs (Supplementary Figure 5) where stable isotope incorporation was attenuated in hypoxia and the overall labeling pattern was quite similar in both conditions.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indicating no increase in reductive carboxylation for lipid synthesis. The overall fraction of M5-citrate in these cells was low (&lt; 6%).</w:t>
      </w:r>
    </w:p>
    <w:bookmarkEnd w:id="25"/>
    <w:bookmarkStart w:id="26" w:name="X47b0b5fbd53c8a92df3b388f7ab53ac46ea9246"/>
    <w:p>
      <w:pPr>
        <w:pStyle w:val="Heading2"/>
      </w:pPr>
      <w:r>
        <w:t xml:space="preserve">Metabolic flux in hypoxia is closely coupled to cell growth rate</w:t>
      </w:r>
    </w:p>
    <w:p>
      <w:pPr>
        <w:pStyle w:val="FirstParagraph"/>
      </w:pPr>
      <w:r>
        <w:t xml:space="preserve">To clarify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(Figure</w:t>
      </w:r>
      <w:r>
        <w:t xml:space="preserve"> </w:t>
      </w:r>
      <w:r>
        <w:t xml:space="preserve">??</w:t>
      </w:r>
      <w:r>
        <w:t xml:space="preserve">, Supplementary Figure 6).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(Figure</w:t>
      </w:r>
      <w:r>
        <w:t xml:space="preserve"> </w:t>
      </w:r>
      <w:r>
        <w:t xml:space="preserve">4</w:t>
      </w:r>
      <w:r>
        <w:t xml:space="preserve">, Supplementary Figure 6, and Supplementary Tables 1-3). Overall, proliferating LFs demonstrated high rates of glucose uptake and glycolysis. Approximately 10% of cytoplasmic pyruvate enters the TCA cycle with the balance converted to lactate (Supplementary Figure 6C). In hypoxia, significant reductions in glycolysis, the TCA cycle, and amino acid metabolism were observed (Figure</w:t>
      </w:r>
      <w:r>
        <w:t xml:space="preserve"> </w:t>
      </w:r>
      <w:r>
        <w:t xml:space="preserve">4</w:t>
      </w:r>
      <w:r>
        <w:t xml:space="preserve">A) with a significant increase in pentose phosphate pathway flux.</w:t>
      </w:r>
    </w:p>
    <w:p>
      <w:pPr>
        <w:pStyle w:val="BodyText"/>
      </w:pPr>
      <w:r>
        <w:t xml:space="preserve">Given the global decrease in bioenergetic metabolic flux in hypoxia, we hypothesized that these differences may be a consequence of a decreased growth rate. After normalizing metabolite fluxes in normoxia and hypoxia to the associated growth rate, modest increases (~10%) in glycolytic flux were observed (Supplementary Figure 4D). This finding suggests that, while glycolysis increases relative to growth rate in hypoxic cells, the regulators of cell proliferation rate dominate over the consequences of the HIF-1 transcriptional program. Indeed, even after adjusting for cell growth rate, the relative increase in glycolytic flux is modest compared to the marked up-regulation of glycolytic genes.</w:t>
      </w:r>
    </w:p>
    <w:p>
      <w:pPr>
        <w:pStyle w:val="BodyText"/>
      </w:pPr>
      <w:r>
        <w:t xml:space="preserve">By comparison, HIF-1 activation by BAY in 21% oxygen increased glycolysis and lactate fermentation by ~50% (Figure</w:t>
      </w:r>
      <w:r>
        <w:t xml:space="preserve"> </w:t>
      </w:r>
      <w:r>
        <w:t xml:space="preserve">4</w:t>
      </w:r>
      <w:r>
        <w:t xml:space="preserve">B). BAY treatment decreased cell proliferation rate (Figure</w:t>
      </w:r>
      <w:r>
        <w:t xml:space="preserve"> </w:t>
      </w:r>
      <w:r>
        <w:t xml:space="preserve">2</w:t>
      </w:r>
      <w:r>
        <w:t xml:space="preserve">B), indicating that, unlike hypoxia, BAY treatment uncouples cell proliferation and metabolic flux. Similar to hypoxia, decreases in serine and glutamine incorporation were observed. Metabolite fluxes in DMSO-treated cells were similar to 21% oxygen controls.</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(Supplementary Tables 1 and 2). First, consistent with the stable isotope tracing results, the rate of reductive carboxylation through reversible flux by isocitrate dehydrogenase is low (~4 fmol/cell/h), is unchanged by hypoxia, and is modestly increased by BAY treatment.</w:t>
      </w:r>
    </w:p>
    <w:p>
      <w:pPr>
        <w:pStyle w:val="BodyText"/>
      </w:pPr>
      <w:r>
        <w:t xml:space="preserve">Second, hypoxia and BAY treatment are associated with a marked increase in the lactate transport exchange flux in LFs from ~ 0 to 1,520 and 711 fmol/cell/h in 0.5% oxygen and BAY treatment conditions, respectively. Since the net lactate transport flux is secretion, this observation suggests increased lactate uptake with hypoxia or BAY treatment. This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(Figure</w:t>
      </w:r>
      <w:r>
        <w:t xml:space="preserve"> </w:t>
      </w:r>
      <w:r>
        <w:t xml:space="preserve">5</w:t>
      </w:r>
      <w:r>
        <w:t xml:space="preserve">, Supplementary Figure 5). Here, we observed increased labeling of TCA metabolites citrate (CIT), 2-oxoglutrate (2OG), malate (MAL), and aspartate (ASP) following hypoxia or BAY treatment (Figure</w:t>
      </w:r>
      <w:r>
        <w:t xml:space="preserve"> </w:t>
      </w:r>
      <w:r>
        <w:t xml:space="preserve">5</w:t>
      </w:r>
      <w:r>
        <w:t xml:space="preserve"> </w:t>
      </w:r>
      <w:r>
        <w:t xml:space="preserve">and Supplementary Figure 4). Interestingly, a similar increase in labeling was not observed in PASMCs (Supplementary Figure 5).</w:t>
      </w:r>
    </w:p>
    <w:p>
      <w:pPr>
        <w:pStyle w:val="BodyText"/>
      </w:pPr>
      <w:r>
        <w:t xml:space="preserve">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w:t>
      </w:r>
      <w:r>
        <w:t xml:space="preserve"> </w:t>
      </w:r>
      <w:r>
        <w:rPr>
          <w:rStyle w:val="VerbatimChar"/>
        </w:rPr>
        <w:t xml:space="preserve">[</w:t>
      </w:r>
      <w:r>
        <w:rPr>
          <w:vertAlign w:val="superscript"/>
        </w:rPr>
        <w:t xml:space="preserve">18</w:t>
      </w:r>
      <w:r>
        <w:t xml:space="preserve">F]-fluorodeoxyglucose positron emission tomography, suggesting that lactate consumption can occur in areas of high glucose utilization. Subsequently, several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w:t>
        </w:r>
      </w:hyperlink>
      <w:r>
        <w:t xml:space="preserve">,</w:t>
      </w:r>
      <w:r>
        <w:t xml:space="preserve"> </w:t>
      </w:r>
      <w:hyperlink w:anchor="ref-RN2718">
        <w:r>
          <w:rPr>
            <w:rStyle w:val="Hyperlink"/>
          </w:rPr>
          <w:t xml:space="preserve">2020</w:t>
        </w:r>
      </w:hyperlink>
      <w:r>
        <w:t xml:space="preserve">)</w:t>
      </w:r>
      <w:r>
        <w:t xml:space="preserve">. In addition to downstream metabolites, we also observed hypoxia- and BAY-dependent increases in lactate incorporation in fructose bisphosphate (FBP) and 3-phosphoglycerate (3PG). This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this process.</w:t>
      </w:r>
    </w:p>
    <w:bookmarkEnd w:id="27"/>
    <w:bookmarkStart w:id="28" w:name="Xc4f750ac5c657d069edf1fb7ccb382c274f3784"/>
    <w:p>
      <w:pPr>
        <w:pStyle w:val="Heading2"/>
      </w:pPr>
      <w:r>
        <w:t xml:space="preserve">Hypoxia abrogates the increase in glycolysis following pharmacologic prolyl hydroxylase inhibition</w:t>
      </w:r>
    </w:p>
    <w:p>
      <w:pPr>
        <w:pStyle w:val="FirstParagraph"/>
      </w:pPr>
      <w:r>
        <w:t xml:space="preserve">To reconcile the differential effects of prolyl hydroxylase inhibition by hypoxia and BAY, we next addressed whether hypoxia could suppress the effects of BAY on glucose and lactate fluxes (Figure</w:t>
      </w:r>
      <w:r>
        <w:t xml:space="preserve"> </w:t>
      </w:r>
      <w:r>
        <w:t xml:space="preserve">6</w:t>
      </w:r>
      <w:r>
        <w:t xml:space="preserve">A-C).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(Figure</w:t>
      </w:r>
      <w:r>
        <w:t xml:space="preserve"> </w:t>
      </w:r>
      <w:r>
        <w:t xml:space="preserve">6</w:t>
      </w:r>
      <w:r>
        <w:t xml:space="preserve">D-F). Principle component analysis revealed greater class similarity among both treatment groups cultured in 0.5% oxygen (Figure</w:t>
      </w:r>
      <w:r>
        <w:t xml:space="preserve"> </w:t>
      </w:r>
      <w:r>
        <w:t xml:space="preserve">6</w:t>
      </w:r>
      <w:r>
        <w:t xml:space="preserve">D). These hypoxia-treated cells were well-segregated from BAY-treated cells, again highlighting differential effects of hypoxic and pharmacologic PHD inhibition. To identify these differences, we identified metabolites</w:t>
      </w:r>
    </w:p>
    <w:bookmarkEnd w:id="28"/>
    <w:bookmarkEnd w:id="29"/>
    <w:bookmarkStart w:id="30" w:name="discussion"/>
    <w:p>
      <w:pPr>
        <w:pStyle w:val="Heading1"/>
      </w:pPr>
      <w:r>
        <w:t xml:space="preserve">Discussion</w:t>
      </w:r>
    </w:p>
    <w:bookmarkEnd w:id="30"/>
    <w:bookmarkStart w:id="31" w:name="acknowledgements"/>
    <w:p>
      <w:pPr>
        <w:pStyle w:val="Heading1"/>
      </w:pPr>
      <w:r>
        <w:t xml:space="preserve">Acknowledgements</w:t>
      </w:r>
    </w:p>
    <w:bookmarkEnd w:id="31"/>
    <w:bookmarkStart w:id="32" w:name="author-contributions"/>
    <w:p>
      <w:pPr>
        <w:pStyle w:val="Heading1"/>
      </w:pPr>
      <w:r>
        <w:t xml:space="preserve">Author Contributions</w:t>
      </w:r>
    </w:p>
    <w:bookmarkEnd w:id="32"/>
    <w:bookmarkStart w:id="33" w:name="declaration-of-interests"/>
    <w:p>
      <w:pPr>
        <w:pStyle w:val="Heading1"/>
      </w:pPr>
      <w:r>
        <w:t xml:space="preserve">Declaration of Interests</w:t>
      </w:r>
    </w:p>
    <w:p>
      <w:r>
        <w:br w:type="page"/>
      </w:r>
    </w:p>
    <w:bookmarkEnd w:id="33"/>
    <w:bookmarkStart w:id="34" w:name="figure-legends"/>
    <w:p>
      <w:pPr>
        <w:pStyle w:val="Heading1"/>
      </w:pPr>
      <w:r>
        <w:t xml:space="preserve">Figure Legends</w:t>
      </w:r>
    </w:p>
    <w:p>
      <w:pPr>
        <w:pStyle w:val="FirstParagraph"/>
      </w:pPr>
      <w:r>
        <w:t xml:space="preserve">(ref:f3)</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pPr>
        <w:pStyle w:val="BodyText"/>
      </w:pPr>
      <w:r>
        <w:t xml:space="preserve">Figure 1:</w:t>
      </w:r>
      <w:r>
        <w:t xml:space="preserve"> </w:t>
      </w:r>
      <w:r>
        <w:rPr>
          <w:bCs/>
          <w:b/>
        </w:rPr>
        <w:t xml:space="preserve">Extracellular fluxes of lung fibroblasts in hypoxia.</w:t>
      </w:r>
      <w:r>
        <w:t xml:space="preserve"> </w:t>
      </w:r>
      <w:r>
        <w:t xml:space="preserve">(</w:t>
      </w:r>
      <w:r>
        <w:rPr>
          <w:bCs/>
          <w:b/>
        </w:rPr>
        <w:t xml:space="preserve">A</w:t>
      </w:r>
      <w:r>
        <w:t xml:space="preserve">) Growth curves of lung fibroblasts (LFs) cultured in 21% and 0.5% oxygen (n = 8). (</w:t>
      </w:r>
      <w:r>
        <w:rPr>
          <w:bCs/>
          <w:b/>
        </w:rPr>
        <w:t xml:space="preserve">B</w:t>
      </w:r>
      <w:r>
        <w:t xml:space="preserve">) Growth rates were determined by linear fitting of log-transformed growth curves. (</w:t>
      </w:r>
      <w:r>
        <w:rPr>
          <w:bCs/>
          <w:b/>
        </w:rPr>
        <w:t xml:space="preserve">C</w:t>
      </w:r>
      <w:r>
        <w:t xml:space="preserve">) Cell viability, assessed by acridine orange plus propidium iodide staining, did not differ between 21% and 0.5% oxygen culture conditions (n = 3 technical replicates). (</w:t>
      </w:r>
      <w:r>
        <w:rPr>
          <w:bCs/>
          <w:b/>
        </w:rPr>
        <w:t xml:space="preserve">D</w:t>
      </w:r>
      <w:r>
        <w:t xml:space="preserve">) Representative immunoblot of LF protein lysates collected at the indicated times. (</w:t>
      </w:r>
      <w:r>
        <w:rPr>
          <w:bCs/>
          <w:b/>
        </w:rPr>
        <w:t xml:space="preserve">E</w:t>
      </w:r>
      <w:r>
        <w:t xml:space="preserve">,</w:t>
      </w:r>
      <w:r>
        <w:t xml:space="preserve"> </w:t>
      </w:r>
      <w:r>
        <w:rPr>
          <w:bCs/>
          <w:b/>
        </w:rPr>
        <w:t xml:space="preserve">F</w:t>
      </w:r>
      <w:r>
        <w:t xml:space="preserve">) Relative change in HIF-1α (E) and LDHA (F) protein levels compared to 21% oxygen time 0 (n = 4). (</w:t>
      </w:r>
      <w:r>
        <w:rPr>
          <w:bCs/>
          <w:b/>
        </w:rPr>
        <w:t xml:space="preserve">G</w:t>
      </w:r>
      <w:r>
        <w:t xml:space="preserve">,</w:t>
      </w:r>
      <w:r>
        <w:t xml:space="preserve"> </w:t>
      </w:r>
      <w:r>
        <w:rPr>
          <w:bCs/>
          <w:b/>
        </w:rPr>
        <w:t xml:space="preserve">H</w:t>
      </w:r>
      <w:r>
        <w:t xml:space="preserve">) Relative changes in GLUT1 (G) and LDHA (H) mRNA levels compared to 21% oxygen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Figure 2:</w:t>
      </w:r>
      <w:r>
        <w:t xml:space="preserve"> </w:t>
      </w:r>
      <w:r>
        <w:rPr>
          <w:bCs/>
          <w:b/>
        </w:rPr>
        <w:t xml:space="preserve">Prolyl hydroxylase inhibition of lung fibroblasts in normoxia.</w:t>
      </w:r>
      <w:r>
        <w:t xml:space="preserve"> </w:t>
      </w:r>
      <w:r>
        <w:t xml:space="preserve">(</w:t>
      </w:r>
      <w:r>
        <w:rPr>
          <w:bCs/>
          <w:b/>
        </w:rPr>
        <w:t xml:space="preserve">A</w:t>
      </w:r>
      <w:r>
        <w:t xml:space="preserve">) Growth curves of lung fibroblasts (LFs) cultured in 21% oxygen and treated with molidustat (BAY, 10 μM) or vehicle (DMSO, 0.1%) (n = 8).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DMSO time 0. (</w:t>
      </w:r>
      <w:r>
        <w:rPr>
          <w:bCs/>
          <w:b/>
        </w:rPr>
        <w:t xml:space="preserve">F</w:t>
      </w:r>
      <w:r>
        <w:t xml:space="preserve">,</w:t>
      </w:r>
      <w:r>
        <w:t xml:space="preserve"> </w:t>
      </w:r>
      <w:r>
        <w:rPr>
          <w:bCs/>
          <w:b/>
        </w:rPr>
        <w:t xml:space="preserve">G</w:t>
      </w:r>
      <w:r>
        <w:t xml:space="preserve">) Relative changes in GLUT1 (F) and LDHA (G) mRNA levels compared to DMSO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Figure 3: (ref:f3)</w:t>
      </w:r>
    </w:p>
    <w:p>
      <w:pPr>
        <w:pStyle w:val="BodyText"/>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w:t>
      </w:r>
    </w:p>
    <w:p>
      <w:pPr>
        <w:pStyle w:val="BodyText"/>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pPr>
        <w:pStyle w:val="BodyText"/>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 C)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w:t>
      </w:r>
      <w:r>
        <w:rPr>
          <w:bCs/>
          <w:b/>
        </w:rPr>
        <w:t xml:space="preserve">I</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(G-I)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trasncripts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c-MYC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4"/>
    <w:bookmarkStart w:id="35" w:name="tables"/>
    <w:p>
      <w:pPr>
        <w:pStyle w:val="Heading1"/>
      </w:pPr>
      <w:r>
        <w:t xml:space="preserve">Tables</w:t>
      </w:r>
    </w:p>
    <w:p>
      <w:r>
        <w:br w:type="page"/>
      </w:r>
    </w:p>
    <w:bookmarkEnd w:id="35"/>
    <w:bookmarkStart w:id="43" w:name="figures"/>
    <w:p>
      <w:pPr>
        <w:pStyle w:val="Heading1"/>
      </w:pPr>
      <w:r>
        <w:t xml:space="preserve">Figures</w:t>
      </w:r>
    </w:p>
    <w:p>
      <w:pPr>
        <w:pStyle w:val="CaptionedFigure"/>
      </w:pPr>
      <w:r>
        <w:drawing>
          <wp:inline>
            <wp:extent cx="5257800" cy="6616700"/>
            <wp:effectExtent b="0" l="0" r="0" t="0"/>
            <wp:docPr descr="Figure 1: Extracellular fluxes of lung fibroblasts in hypoxia. (A) Growth curves of lung fibroblasts (LFs) cultured in 21% and 0.5% oxygen (n = 8). (B) Growth rates were determined by linear fitting of log-transformed growth curves. (C) Cell viability, assessed by acridine orange plus propidium iodide staining, did not differ between 21% and 0.5% oxygen culture conditions (n = 3 technical replicates). (D) Representative immunoblot of LF protein lysates collected at the indicated times. (E, F) Relative change in HIF-1α (E) and LDHA (F) protein levels compared to 21% oxygen time 0 (n = 4). (G, H) Relative changes in GLUT1 (G) and LDHA (H) mRNA levels compared to 21% oxygen time 0 (n = 4). (I, J)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inst/manuscript/figures/m1.pdf" id="0" name="Picture"/>
                    <pic:cNvPicPr>
                      <a:picLocks noChangeArrowheads="1" noChangeAspect="1"/>
                    </pic:cNvPicPr>
                  </pic:nvPicPr>
                  <pic:blipFill>
                    <a:blip r:embed="rId36"/>
                    <a:stretch>
                      <a:fillRect/>
                    </a:stretch>
                  </pic:blipFill>
                  <pic:spPr bwMode="auto">
                    <a:xfrm>
                      <a:off x="0" y="0"/>
                      <a:ext cx="5257800" cy="66167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Extracellular fluxes of lung fibroblasts in hypoxia.</w:t>
      </w:r>
      <w:r>
        <w:t xml:space="preserve"> </w:t>
      </w:r>
      <w:r>
        <w:t xml:space="preserve">(</w:t>
      </w:r>
      <w:r>
        <w:rPr>
          <w:bCs/>
          <w:b/>
        </w:rPr>
        <w:t xml:space="preserve">A</w:t>
      </w:r>
      <w:r>
        <w:t xml:space="preserve">) Growth curves of lung fibroblasts (LFs) cultured in 21% and 0.5% oxygen (n = 8). (</w:t>
      </w:r>
      <w:r>
        <w:rPr>
          <w:bCs/>
          <w:b/>
        </w:rPr>
        <w:t xml:space="preserve">B</w:t>
      </w:r>
      <w:r>
        <w:t xml:space="preserve">) Growth rates were determined by linear fitting of log-transformed growth curves. (</w:t>
      </w:r>
      <w:r>
        <w:rPr>
          <w:bCs/>
          <w:b/>
        </w:rPr>
        <w:t xml:space="preserve">C</w:t>
      </w:r>
      <w:r>
        <w:t xml:space="preserve">) Cell viability, assessed by acridine orange plus propidium iodide staining, did not differ between 21% and 0.5% oxygen culture conditions (n = 3 technical replicates). (</w:t>
      </w:r>
      <w:r>
        <w:rPr>
          <w:bCs/>
          <w:b/>
        </w:rPr>
        <w:t xml:space="preserve">D</w:t>
      </w:r>
      <w:r>
        <w:t xml:space="preserve">) Representative immunoblot of LF protein lysates collected at the indicated times. (</w:t>
      </w:r>
      <w:r>
        <w:rPr>
          <w:bCs/>
          <w:b/>
        </w:rPr>
        <w:t xml:space="preserve">E</w:t>
      </w:r>
      <w:r>
        <w:t xml:space="preserve">,</w:t>
      </w:r>
      <w:r>
        <w:t xml:space="preserve"> </w:t>
      </w:r>
      <w:r>
        <w:rPr>
          <w:bCs/>
          <w:b/>
        </w:rPr>
        <w:t xml:space="preserve">F</w:t>
      </w:r>
      <w:r>
        <w:t xml:space="preserve">) Relative change in HIF-1α (E) and LDHA (F) protein levels compared to 21% oxygen time 0 (n = 4). (</w:t>
      </w:r>
      <w:r>
        <w:rPr>
          <w:bCs/>
          <w:b/>
        </w:rPr>
        <w:t xml:space="preserve">G</w:t>
      </w:r>
      <w:r>
        <w:t xml:space="preserve">,</w:t>
      </w:r>
      <w:r>
        <w:t xml:space="preserve"> </w:t>
      </w:r>
      <w:r>
        <w:rPr>
          <w:bCs/>
          <w:b/>
        </w:rPr>
        <w:t xml:space="preserve">H</w:t>
      </w:r>
      <w:r>
        <w:t xml:space="preserve">) Relative changes in GLUT1 (G) and LDHA (H) mRNA levels compared to 21% oxygen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308600" cy="6629400"/>
            <wp:effectExtent b="0" l="0" r="0" t="0"/>
            <wp:docPr descr="Figure 2: Prolyl hydroxylase inhibition of lung fibroblasts in normoxia. (A) Growth curves of lung fibroblasts (LFs) cultured in 21% oxygen and treated with molidustat (BAY, 10 μM) or vehicle (DMSO, 0.1%) (n = 8). (B) Growth rates were determined by linear fitting of log-transformed growth curves. (C) Representative immunoblot of LF protein lysates collected at the indicated times. (D, E) Relative change in HIF-1α (D) and LDHA (E) protein levels compared to DMSO time 0. (F, G) Relative changes in GLUT1 (F) and LDHA (G) mRNA levels compared to DMSO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inst/manuscript/figures/m2.pdf" id="0" name="Picture"/>
                    <pic:cNvPicPr>
                      <a:picLocks noChangeArrowheads="1" noChangeAspect="1"/>
                    </pic:cNvPicPr>
                  </pic:nvPicPr>
                  <pic:blipFill>
                    <a:blip r:embed="rId37"/>
                    <a:stretch>
                      <a:fillRect/>
                    </a:stretch>
                  </pic:blipFill>
                  <pic:spPr bwMode="auto">
                    <a:xfrm>
                      <a:off x="0" y="0"/>
                      <a:ext cx="5308600" cy="66294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Prolyl hydroxylase inhibition of lung fibroblasts in normoxia.</w:t>
      </w:r>
      <w:r>
        <w:t xml:space="preserve"> </w:t>
      </w:r>
      <w:r>
        <w:t xml:space="preserve">(</w:t>
      </w:r>
      <w:r>
        <w:rPr>
          <w:bCs/>
          <w:b/>
        </w:rPr>
        <w:t xml:space="preserve">A</w:t>
      </w:r>
      <w:r>
        <w:t xml:space="preserve">) Growth curves of lung fibroblasts (LFs) cultured in 21% oxygen and treated with molidustat (BAY, 10 μM) or vehicle (DMSO, 0.1%) (n = 8).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DMSO time 0. (</w:t>
      </w:r>
      <w:r>
        <w:rPr>
          <w:bCs/>
          <w:b/>
        </w:rPr>
        <w:t xml:space="preserve">F</w:t>
      </w:r>
      <w:r>
        <w:t xml:space="preserve">,</w:t>
      </w:r>
      <w:r>
        <w:t xml:space="preserve"> </w:t>
      </w:r>
      <w:r>
        <w:rPr>
          <w:bCs/>
          <w:b/>
        </w:rPr>
        <w:t xml:space="preserve">G</w:t>
      </w:r>
      <w:r>
        <w:t xml:space="preserve">) Relative changes in GLUT1 (F) and LDHA (G) mRNA levels compared to DMSO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270500" cy="4648200"/>
            <wp:effectExtent b="0" l="0" r="0" t="0"/>
            <wp:docPr descr="Figure 3: (ref:f3)" title="" id="1" name="Picture"/>
            <a:graphic>
              <a:graphicData uri="http://schemas.openxmlformats.org/drawingml/2006/picture">
                <pic:pic>
                  <pic:nvPicPr>
                    <pic:cNvPr descr="/Users/will/Dropbox%20(Partners%20HealthCare)/Copeland.2021.hypoxia.flux/inst/manuscript/figures/m3.pdf" id="0" name="Picture"/>
                    <pic:cNvPicPr>
                      <a:picLocks noChangeArrowheads="1" noChangeAspect="1"/>
                    </pic:cNvPicPr>
                  </pic:nvPicPr>
                  <pic:blipFill>
                    <a:blip r:embed="rId38"/>
                    <a:stretch>
                      <a:fillRect/>
                    </a:stretch>
                  </pic:blipFill>
                  <pic:spPr bwMode="auto">
                    <a:xfrm>
                      <a:off x="0" y="0"/>
                      <a:ext cx="5270500" cy="4648200"/>
                    </a:xfrm>
                    <a:prstGeom prst="rect">
                      <a:avLst/>
                    </a:prstGeom>
                    <a:noFill/>
                    <a:ln w="9525">
                      <a:noFill/>
                      <a:headEnd/>
                      <a:tailEnd/>
                    </a:ln>
                  </pic:spPr>
                </pic:pic>
              </a:graphicData>
            </a:graphic>
          </wp:inline>
        </w:drawing>
      </w:r>
    </w:p>
    <w:p>
      <w:pPr>
        <w:pStyle w:val="ImageCaption"/>
      </w:pPr>
      <w:r>
        <w:t xml:space="preserve">Figure 3: (ref:f3)</w:t>
      </w:r>
    </w:p>
    <w:p>
      <w:r>
        <w:br w:type="page"/>
      </w:r>
    </w:p>
    <w:p>
      <w:pPr>
        <w:pStyle w:val="CaptionedFigure"/>
      </w:pPr>
      <w:r>
        <w:drawing>
          <wp:inline>
            <wp:extent cx="6400800" cy="3306044"/>
            <wp:effectExtent b="0" l="0" r="0" t="0"/>
            <wp:docPr descr="Figure 4: Metabolic flux maps of lung fibroblasts. (A) Ratio of metabolic fluxes in 0.5% oxygen compared to 21% oxygen. (B) Ratio of metabolic fluxes in cells treated with molidustat (BAY) compared to DMSO vehicle control. Fluxes with non-overlapping confidence intervals are highlighted to indicate significant changes." title="" id="1" name="Picture"/>
            <a:graphic>
              <a:graphicData uri="http://schemas.openxmlformats.org/drawingml/2006/picture">
                <pic:pic>
                  <pic:nvPicPr>
                    <pic:cNvPr descr="/Users/will/Dropbox%20(Partners%20HealthCare)/Copeland.2021.hypoxia.flux/inst/manuscript/figures/m4.pdf" id="0" name="Picture"/>
                    <pic:cNvPicPr>
                      <a:picLocks noChangeArrowheads="1" noChangeAspect="1"/>
                    </pic:cNvPicPr>
                  </pic:nvPicPr>
                  <pic:blipFill>
                    <a:blip r:embed="rId39"/>
                    <a:stretch>
                      <a:fillRect/>
                    </a:stretch>
                  </pic:blipFill>
                  <pic:spPr bwMode="auto">
                    <a:xfrm>
                      <a:off x="0" y="0"/>
                      <a:ext cx="6400800" cy="3306044"/>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w:t>
      </w:r>
    </w:p>
    <w:p>
      <w:r>
        <w:br w:type="page"/>
      </w:r>
    </w:p>
    <w:p>
      <w:pPr>
        <w:pStyle w:val="CaptionedFigure"/>
      </w:pPr>
      <w:r>
        <w:drawing>
          <wp:inline>
            <wp:extent cx="4521200" cy="2730500"/>
            <wp:effectExtent b="0" l="0" r="0" t="0"/>
            <wp:docPr descr="Figure 5: PHD inhibition increases lactate uptake and oxidation. Mass isotopomer distributions of key metabolites following labeling with [U-13C3] lactate (2 mM) for 72 h indicates increased lactate uptake and oxidation in hypoxia or with molidustat (BAY) treatment." title="" id="1" name="Picture"/>
            <a:graphic>
              <a:graphicData uri="http://schemas.openxmlformats.org/drawingml/2006/picture">
                <pic:pic>
                  <pic:nvPicPr>
                    <pic:cNvPr descr="/Users/will/Dropbox%20(Partners%20HealthCare)/Copeland.2021.hypoxia.flux/inst/manuscript/figures/m5.pdf" id="0" name="Picture"/>
                    <pic:cNvPicPr>
                      <a:picLocks noChangeArrowheads="1" noChangeAspect="1"/>
                    </pic:cNvPicPr>
                  </pic:nvPicPr>
                  <pic:blipFill>
                    <a:blip r:embed="rId40"/>
                    <a:stretch>
                      <a:fillRect/>
                    </a:stretch>
                  </pic:blipFill>
                  <pic:spPr bwMode="auto">
                    <a:xfrm>
                      <a:off x="0" y="0"/>
                      <a:ext cx="4521200" cy="27305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r>
        <w:br w:type="page"/>
      </w:r>
    </w:p>
    <w:p>
      <w:pPr>
        <w:pStyle w:val="CaptionedFigure"/>
      </w:pPr>
      <w:r>
        <w:drawing>
          <wp:inline>
            <wp:extent cx="5118100" cy="6845300"/>
            <wp:effectExtent b="0" l="0" r="0" t="0"/>
            <wp:docPr descr="Figure 6: Metabolomic analysis of molidustat treamt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 C) Extracellular fluxes of glucose (B) and lactate (C). (D) Principle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F) Representative metabolites from (E) reveal different patterns of metabolic effects. (G-I)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G-I)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inst/manuscript/figures/m6.pdf" id="0" name="Picture"/>
                    <pic:cNvPicPr>
                      <a:picLocks noChangeArrowheads="1" noChangeAspect="1"/>
                    </pic:cNvPicPr>
                  </pic:nvPicPr>
                  <pic:blipFill>
                    <a:blip r:embed="rId41"/>
                    <a:stretch>
                      <a:fillRect/>
                    </a:stretch>
                  </pic:blipFill>
                  <pic:spPr bwMode="auto">
                    <a:xfrm>
                      <a:off x="0" y="0"/>
                      <a:ext cx="5118100" cy="68453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 C)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w:t>
      </w:r>
      <w:r>
        <w:rPr>
          <w:bCs/>
          <w:b/>
        </w:rPr>
        <w:t xml:space="preserve">I</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(G-I)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324600" cy="5334000"/>
            <wp:effectExtent b="0" l="0" r="0" t="0"/>
            <wp:docPr descr="Figure 7: Transcriptomic analysis of molidustat treamtent in normoxia and hypoxia. (A) Principle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sncripts from (B). (E) Transcription factor enrichment analysis suggests mechanisms for differential regulation of gene expression following hypoxia or BAY treatment. (F) Relative change in c-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inst/manuscript/figures/m7.pdf" id="0" name="Picture"/>
                    <pic:cNvPicPr>
                      <a:picLocks noChangeArrowheads="1" noChangeAspect="1"/>
                    </pic:cNvPicPr>
                  </pic:nvPicPr>
                  <pic:blipFill>
                    <a:blip r:embed="rId42"/>
                    <a:stretch>
                      <a:fillRect/>
                    </a:stretch>
                  </pic:blipFill>
                  <pic:spPr bwMode="auto">
                    <a:xfrm>
                      <a:off x="0" y="0"/>
                      <a:ext cx="6324600" cy="533400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trasncripts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c-MYC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3"/>
    <w:bookmarkStart w:id="75" w:name="star-methods"/>
    <w:p>
      <w:pPr>
        <w:pStyle w:val="Heading1"/>
      </w:pPr>
      <w:r>
        <w:t xml:space="preserve">STAR Methods</w:t>
      </w:r>
    </w:p>
    <w:bookmarkStart w:id="48" w:name="resource-availability"/>
    <w:p>
      <w:pPr>
        <w:pStyle w:val="Heading2"/>
      </w:pPr>
      <w:r>
        <w:t xml:space="preserve">Resource Availability</w:t>
      </w:r>
    </w:p>
    <w:bookmarkStart w:id="44"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4"/>
    <w:bookmarkStart w:id="45" w:name="materials-availability"/>
    <w:p>
      <w:pPr>
        <w:pStyle w:val="Heading3"/>
      </w:pPr>
      <w:r>
        <w:t xml:space="preserve">Materials Availability</w:t>
      </w:r>
    </w:p>
    <w:p>
      <w:pPr>
        <w:pStyle w:val="FirstParagraph"/>
      </w:pPr>
      <w:r>
        <w:t xml:space="preserve">This study did not generate new unique reagents.</w:t>
      </w:r>
    </w:p>
    <w:bookmarkEnd w:id="45"/>
    <w:bookmarkStart w:id="47"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6">
        <w:r>
          <w:rPr>
            <w:rStyle w:val="Hyperlink"/>
          </w:rPr>
          <w:t xml:space="preserve">https://github.com/oldhamlab/Copeland.2021.hypoxia.flux</w:t>
        </w:r>
      </w:hyperlink>
      <w:r>
        <w:t xml:space="preserve">). RNA-seq data has been deposited in the NIH Short Read Archive (PRJNA721596).</w:t>
      </w:r>
    </w:p>
    <w:bookmarkEnd w:id="47"/>
    <w:bookmarkEnd w:id="48"/>
    <w:bookmarkStart w:id="51" w:name="experimental-model-details"/>
    <w:p>
      <w:pPr>
        <w:pStyle w:val="Heading2"/>
      </w:pPr>
      <w:r>
        <w:t xml:space="preserve">Experimental Model Details</w:t>
      </w:r>
    </w:p>
    <w:bookmarkStart w:id="49"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male) and #29132 (19, female). Cell authentication was performed by the vendor.</w:t>
      </w:r>
    </w:p>
    <w:bookmarkEnd w:id="49"/>
    <w:bookmarkStart w:id="50"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male), #27662 (35, male), #26698 (51, male), and #19828 (51, male). Cell authentication was performed by the vendor.</w:t>
      </w:r>
    </w:p>
    <w:bookmarkEnd w:id="50"/>
    <w:bookmarkEnd w:id="51"/>
    <w:bookmarkStart w:id="72" w:name="method-details"/>
    <w:p>
      <w:pPr>
        <w:pStyle w:val="Heading2"/>
      </w:pPr>
      <w:r>
        <w:t xml:space="preserve">Method Details</w:t>
      </w:r>
    </w:p>
    <w:bookmarkStart w:id="52"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2"/>
    <w:bookmarkStart w:id="53"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(Supplementary Figure 1A). No difference in total cellular DNA was identified between normoxia and hypoxia cultures (Supplementary Figure 1B).</w:t>
      </w:r>
    </w:p>
    <w:bookmarkEnd w:id="53"/>
    <w:bookmarkStart w:id="54"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4"/>
    <w:bookmarkStart w:id="55"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5"/>
    <w:bookmarkStart w:id="56"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6"/>
    <w:bookmarkStart w:id="57"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7"/>
    <w:bookmarkStart w:id="58"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8"/>
    <w:bookmarkStart w:id="59"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9"/>
    <w:bookmarkStart w:id="60"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grow/>
                  </m:dPr>
                  <m:e>
                    <m:sSup>
                      <m:e>
                        <m:r>
                          <m:t>e</m:t>
                        </m:r>
                      </m:e>
                      <m:sup>
                        <m:d>
                          <m:dPr>
                            <m:begChr m:val="("/>
                            <m:end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(Supplementary Figure 1C).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grow/>
          </m:dPr>
          <m:e>
            <m:sSup>
              <m:e>
                <m:r>
                  <m:t>e</m:t>
                </m:r>
              </m:e>
              <m:sup>
                <m:d>
                  <m:dPr>
                    <m:begChr m:val="("/>
                    <m:end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60"/>
    <w:bookmarkStart w:id="66" w:name="metabolomics"/>
    <w:p>
      <w:pPr>
        <w:pStyle w:val="Heading3"/>
      </w:pPr>
      <w:r>
        <w:t xml:space="preserve">Metabolomics</w:t>
      </w:r>
    </w:p>
    <w:bookmarkStart w:id="61"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1"/>
    <w:bookmarkStart w:id="62"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2"/>
    <w:bookmarkStart w:id="64"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3">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4"/>
    <w:bookmarkStart w:id="65"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w:t>
      </w:r>
    </w:p>
    <w:bookmarkEnd w:id="65"/>
    <w:bookmarkEnd w:id="66"/>
    <w:bookmarkStart w:id="67"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7"/>
    <w:bookmarkStart w:id="68"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8"/>
    <w:bookmarkStart w:id="69"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9"/>
    <w:bookmarkStart w:id="71"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70">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1"/>
    <w:bookmarkEnd w:id="72"/>
    <w:bookmarkStart w:id="73"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6">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listed below.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3"/>
    <w:bookmarkStart w:id="74"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4351370</w:t>
            </w:r>
          </w:p>
        </w:tc>
      </w:tr>
    </w:tbl>
    <w:p>
      <w:r>
        <w:br w:type="page"/>
      </w:r>
    </w:p>
    <w:bookmarkEnd w:id="74"/>
    <w:bookmarkEnd w:id="75"/>
    <w:bookmarkStart w:id="76" w:name="supplemental-items-titles"/>
    <w:p>
      <w:pPr>
        <w:pStyle w:val="Heading1"/>
      </w:pPr>
      <w:r>
        <w:t xml:space="preserve">Supplemental Items Titles</w:t>
      </w:r>
    </w:p>
    <w:p>
      <w:r>
        <w:br w:type="page"/>
      </w:r>
    </w:p>
    <w:bookmarkEnd w:id="76"/>
    <w:bookmarkStart w:id="114" w:name="references"/>
    <w:p>
      <w:pPr>
        <w:pStyle w:val="Heading1"/>
      </w:pPr>
      <w:r>
        <w:t xml:space="preserve">References</w:t>
      </w:r>
    </w:p>
    <w:bookmarkStart w:id="113" w:name="refs_main"/>
    <w:bookmarkStart w:id="77" w:name="ref-RN60"/>
    <w:p>
      <w:pPr>
        <w:pStyle w:val="FirstParagraph"/>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7"/>
    <w:bookmarkStart w:id="78" w:name="ref-RN3077"/>
    <w:p>
      <w:pPr>
        <w:pStyle w:val="BodyText"/>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8"/>
    <w:bookmarkStart w:id="79" w:name="ref-RN366"/>
    <w:p>
      <w:pPr>
        <w:pStyle w:val="BodyText"/>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79"/>
    <w:bookmarkStart w:id="80" w:name="ref-RN3094"/>
    <w:p>
      <w:pPr>
        <w:pStyle w:val="BodyText"/>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0"/>
    <w:bookmarkStart w:id="81" w:name="ref-RN2600"/>
    <w:p>
      <w:pPr>
        <w:pStyle w:val="BodyText"/>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1"/>
    <w:bookmarkStart w:id="82" w:name="ref-RN545"/>
    <w:p>
      <w:pPr>
        <w:pStyle w:val="BodyText"/>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2"/>
    <w:bookmarkStart w:id="83" w:name="ref-RN557"/>
    <w:p>
      <w:pPr>
        <w:pStyle w:val="BodyText"/>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3"/>
    <w:bookmarkStart w:id="84" w:name="ref-RN580"/>
    <w:p>
      <w:pPr>
        <w:pStyle w:val="BodyText"/>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4"/>
    <w:bookmarkStart w:id="85" w:name="ref-RN628"/>
    <w:p>
      <w:pPr>
        <w:pStyle w:val="BodyText"/>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5"/>
    <w:bookmarkStart w:id="86" w:name="ref-RN634"/>
    <w:p>
      <w:pPr>
        <w:pStyle w:val="BodyText"/>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86"/>
    <w:bookmarkStart w:id="87" w:name="ref-RN730"/>
    <w:p>
      <w:pPr>
        <w:pStyle w:val="BodyText"/>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87"/>
    <w:bookmarkStart w:id="88" w:name="ref-RN2756"/>
    <w:p>
      <w:pPr>
        <w:pStyle w:val="BodyText"/>
      </w:pPr>
      <w:r>
        <w:t xml:space="preserve">Hui, S., Ghergurovich, J.M., Morscher, R.J., Jang, C., Teng, X., Lu, W., Esparza, L.A., Reya, T., Le, Z., Yanxiang Guo, J., et al. (2017). Glucose feeds the TCA cycle via circulating lactate. Nature</w:t>
      </w:r>
      <w:r>
        <w:t xml:space="preserve"> </w:t>
      </w:r>
      <w:r>
        <w:rPr>
          <w:iCs/>
          <w:i/>
        </w:rPr>
        <w:t xml:space="preserve">551</w:t>
      </w:r>
      <w:r>
        <w:t xml:space="preserve">, 115–118.</w:t>
      </w:r>
    </w:p>
    <w:bookmarkEnd w:id="88"/>
    <w:bookmarkStart w:id="89" w:name="ref-RN2718"/>
    <w:p>
      <w:pPr>
        <w:pStyle w:val="BodyText"/>
      </w:pPr>
      <w:r>
        <w:t xml:space="preserve">Hui, S., Cowan, A.J., Zeng, X., Yang, L., TeSlaa, T., Li, X., Bartman, C., Zhang, Z., Jang, C., Wang, L., et al. (2020). Quantitative fluxomics of circulating metabolites. Cell Metab.</w:t>
      </w:r>
    </w:p>
    <w:bookmarkEnd w:id="89"/>
    <w:bookmarkStart w:id="90" w:name="ref-RN953"/>
    <w:p>
      <w:pPr>
        <w:pStyle w:val="BodyText"/>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90"/>
    <w:bookmarkStart w:id="91" w:name="ref-RN964"/>
    <w:p>
      <w:pPr>
        <w:pStyle w:val="BodyText"/>
      </w:pPr>
      <w:r>
        <w:t xml:space="preserve">Jazmin, L.J., and Young, J.D. (2013). Isotopically nonstationary 13C metabolic flux analysis. Methods Mol Biol</w:t>
      </w:r>
      <w:r>
        <w:t xml:space="preserve"> </w:t>
      </w:r>
      <w:r>
        <w:rPr>
          <w:iCs/>
          <w:i/>
        </w:rPr>
        <w:t xml:space="preserve">985</w:t>
      </w:r>
      <w:r>
        <w:t xml:space="preserve">, 367–390.</w:t>
      </w:r>
    </w:p>
    <w:bookmarkEnd w:id="91"/>
    <w:bookmarkStart w:id="92" w:name="ref-RN975"/>
    <w:p>
      <w:pPr>
        <w:pStyle w:val="BodyText"/>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92"/>
    <w:bookmarkStart w:id="93" w:name="ref-RN1063"/>
    <w:p>
      <w:pPr>
        <w:pStyle w:val="BodyText"/>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93"/>
    <w:bookmarkStart w:id="94" w:name="ref-RN1198"/>
    <w:p>
      <w:pPr>
        <w:pStyle w:val="BodyText"/>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94"/>
    <w:bookmarkStart w:id="95" w:name="ref-RN1200"/>
    <w:p>
      <w:pPr>
        <w:pStyle w:val="BodyText"/>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95"/>
    <w:bookmarkStart w:id="96" w:name="ref-RN1294"/>
    <w:p>
      <w:pPr>
        <w:pStyle w:val="BodyText"/>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96"/>
    <w:bookmarkStart w:id="97" w:name="ref-RN1438"/>
    <w:p>
      <w:pPr>
        <w:pStyle w:val="BodyText"/>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97"/>
    <w:bookmarkStart w:id="98" w:name="ref-RN1447"/>
    <w:p>
      <w:pPr>
        <w:pStyle w:val="BodyText"/>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98"/>
    <w:bookmarkStart w:id="99" w:name="ref-RN1523"/>
    <w:p>
      <w:pPr>
        <w:pStyle w:val="BodyText"/>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99"/>
    <w:bookmarkStart w:id="100" w:name="ref-RN1522"/>
    <w:p>
      <w:pPr>
        <w:pStyle w:val="BodyText"/>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00"/>
    <w:bookmarkStart w:id="101" w:name="ref-RN1603"/>
    <w:p>
      <w:pPr>
        <w:pStyle w:val="BodyText"/>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01"/>
    <w:bookmarkStart w:id="102" w:name="ref-RN1668"/>
    <w:p>
      <w:pPr>
        <w:pStyle w:val="BodyText"/>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02"/>
    <w:bookmarkStart w:id="103" w:name="ref-RN1678"/>
    <w:p>
      <w:pPr>
        <w:pStyle w:val="BodyText"/>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03"/>
    <w:bookmarkStart w:id="104" w:name="ref-RN1741"/>
    <w:p>
      <w:pPr>
        <w:pStyle w:val="BodyText"/>
      </w:pPr>
      <w:r>
        <w:t xml:space="preserve">Quek, L.E., Dietmair, S., Kromer, J.O., and Nielsen, L.K. (2010). Metabolic flux analysis in mammalian cell culture. Metab Eng</w:t>
      </w:r>
      <w:r>
        <w:t xml:space="preserve"> </w:t>
      </w:r>
      <w:r>
        <w:rPr>
          <w:iCs/>
          <w:i/>
        </w:rPr>
        <w:t xml:space="preserve">12</w:t>
      </w:r>
      <w:r>
        <w:t xml:space="preserve">, 161–171.</w:t>
      </w:r>
    </w:p>
    <w:bookmarkEnd w:id="104"/>
    <w:bookmarkStart w:id="105" w:name="ref-RN1966"/>
    <w:p>
      <w:pPr>
        <w:pStyle w:val="BodyText"/>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05"/>
    <w:bookmarkStart w:id="106" w:name="ref-RN1980"/>
    <w:p>
      <w:pPr>
        <w:pStyle w:val="BodyText"/>
      </w:pPr>
      <w:r>
        <w:t xml:space="preserve">Semenza, G.L. (2012). Hypoxia-inducible factors in physiology and medicine. Cell</w:t>
      </w:r>
      <w:r>
        <w:t xml:space="preserve"> </w:t>
      </w:r>
      <w:r>
        <w:rPr>
          <w:iCs/>
          <w:i/>
        </w:rPr>
        <w:t xml:space="preserve">148</w:t>
      </w:r>
      <w:r>
        <w:t xml:space="preserve">, 399–408.</w:t>
      </w:r>
    </w:p>
    <w:bookmarkEnd w:id="106"/>
    <w:bookmarkStart w:id="107" w:name="ref-RN2005"/>
    <w:p>
      <w:pPr>
        <w:pStyle w:val="BodyText"/>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07"/>
    <w:bookmarkStart w:id="108" w:name="ref-RN2266"/>
    <w:p>
      <w:pPr>
        <w:pStyle w:val="BodyText"/>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08"/>
    <w:bookmarkStart w:id="109" w:name="ref-RN2395"/>
    <w:p>
      <w:pPr>
        <w:pStyle w:val="BodyText"/>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09"/>
    <w:bookmarkStart w:id="110" w:name="ref-RN2501"/>
    <w:p>
      <w:pPr>
        <w:pStyle w:val="BodyText"/>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10"/>
    <w:bookmarkStart w:id="111" w:name="ref-RN2517"/>
    <w:p>
      <w:pPr>
        <w:pStyle w:val="BodyText"/>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11"/>
    <w:bookmarkStart w:id="112" w:name="ref-RN2525"/>
    <w:p>
      <w:pPr>
        <w:pStyle w:val="BodyText"/>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12"/>
    <w:bookmarkEnd w:id="113"/>
    <w:bookmarkEnd w:id="114"/>
    <w:bookmarkStart w:id="122" w:name="software"/>
    <w:p>
      <w:pPr>
        <w:pStyle w:val="Heading1"/>
      </w:pPr>
      <w:r>
        <w:t xml:space="preserve">Software</w:t>
      </w:r>
    </w:p>
    <w:bookmarkStart w:id="121" w:name="refs_software"/>
    <w:bookmarkStart w:id="115" w:name="ref-fgsea"/>
    <w:p>
      <w:pPr>
        <w:pStyle w:val="FirstParagraph"/>
      </w:pPr>
      <w:r>
        <w:t xml:space="preserve">Korotkevich, G., Sukhov, V., and Sergushichev, A. (2019). Fast gene set enrichment analysis. bioRxiv.</w:t>
      </w:r>
    </w:p>
    <w:bookmarkEnd w:id="115"/>
    <w:bookmarkStart w:id="116" w:name="ref-Rsubread"/>
    <w:p>
      <w:pPr>
        <w:pStyle w:val="BodyText"/>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16"/>
    <w:bookmarkStart w:id="117" w:name="ref-DESeq2"/>
    <w:p>
      <w:pPr>
        <w:pStyle w:val="BodyText"/>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17"/>
    <w:bookmarkStart w:id="118" w:name="ref-TFEA.ChIP"/>
    <w:p>
      <w:pPr>
        <w:pStyle w:val="BodyText"/>
      </w:pPr>
      <w:r>
        <w:t xml:space="preserve">Puente-Santamaria, L., Wasserman, W., and del Peso, L. (2019). TFEA.ChIP: A tool kit for transcription factor binding site enrichment analysis capitalizing on ChIP-seq datasets. Bioinformatics.</w:t>
      </w:r>
    </w:p>
    <w:bookmarkEnd w:id="118"/>
    <w:bookmarkStart w:id="119" w:name="ref-R-base"/>
    <w:p>
      <w:pPr>
        <w:pStyle w:val="BodyText"/>
      </w:pPr>
      <w:r>
        <w:t xml:space="preserve">R Core Team (2020). R: A language and environment for statistical computing (Vienna, Austria: R Foundation for Statistical Computing).</w:t>
      </w:r>
    </w:p>
    <w:bookmarkEnd w:id="119"/>
    <w:bookmarkStart w:id="120" w:name="ref-limma"/>
    <w:p>
      <w:pPr>
        <w:pStyle w:val="BodyText"/>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0"/>
    <w:bookmarkEnd w:id="121"/>
    <w:bookmarkEnd w:id="122"/>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C740B0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F6E650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1506B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80AE6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F6403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4E400A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304D5C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7562BB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42B1B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3AC46F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1772"/>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663598"/>
    <w:rPr>
      <w:i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hyperlink" Id="rId46" Target="https://github.com/oldhamlab/Copeland.2021.hypoxia.flux" TargetMode="External" /><Relationship Type="http://schemas.openxmlformats.org/officeDocument/2006/relationships/hyperlink" Id="rId63" Target="https://github.com/oldhamlab/mzrtools" TargetMode="External" /><Relationship Type="http://schemas.openxmlformats.org/officeDocument/2006/relationships/hyperlink" Id="rId70"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6" Target="https://github.com/oldhamlab/Copeland.2021.hypoxia.flux" TargetMode="External" /><Relationship Type="http://schemas.openxmlformats.org/officeDocument/2006/relationships/hyperlink" Id="rId63" Target="https://github.com/oldhamlab/mzrtools" TargetMode="External" /><Relationship Type="http://schemas.openxmlformats.org/officeDocument/2006/relationships/hyperlink" Id="rId70"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gene transcription and metabolic flux in proliferating primary cells</dc:title>
  <dc:creator>Courtney A. Copeland1, Benjamin A. Olenchock1,2, David R. Ziehr1,4, Sarah McGarrity1,5, Jamey D. Young3, Joseph Loscalzo1, and William M. Oldham1,‡</dc:creator>
  <cp:keywords/>
  <dcterms:created xsi:type="dcterms:W3CDTF">2021-05-04T16:20:33Z</dcterms:created>
  <dcterms:modified xsi:type="dcterms:W3CDTF">2021-05-04T16:20:33Z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header-includes">
    <vt:lpwstr/>
  </property>
  <property fmtid="{D5CDD505-2E9C-101B-9397-08002B2CF9AE}" pid="10" name="link-citations">
    <vt:lpwstr>yes</vt:lpwstr>
  </property>
  <property fmtid="{D5CDD505-2E9C-101B-9397-08002B2CF9AE}" pid="11" name="mainfont">
    <vt:lpwstr>Calibri</vt:lpwstr>
  </property>
  <property fmtid="{D5CDD505-2E9C-101B-9397-08002B2CF9AE}" pid="12" name="output">
    <vt:lpwstr/>
  </property>
</Properties>
</file>