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primary cells in hypoxia. Despite activation of the hypoxia-inducible factor (HIF) transcriptional program and up-regulation of glycolytic genes, glycolytic flux was decreased in hypoxic cells in our models. No evidence for increased glutaminolysis or reductive carboxylation was observed. While pharmacologic stabilization of HIF in normoxia with the prolyl hydroxylase inhibitor molidustat did increase glycolytic flux as expected, hypoxia abrogated this effect. Multi-omic profiling of cells treated with hypoxia or molidustat, seperately or together, reveals distinct molecular responses to to hypoxia and pharmacologic prolyl hydroxylase inhibition. Together, these data suggest that primary cell bioenergetic metabolism is closely coupled to cell proliferation rate and that other regulatory factors override the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Metazoan cells depend on aerobic respiration to meet cellular energy demands. With an inadequate oxygen supply, or hypoxia,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proteins in the tricarboxylic acid (TCA) cycle and electron transport chain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Overall, these changes in gene transcription should increase glycolytic capacity and divert glucose-derived pyruvate from oxidative phosphorylation toward lactate fermentation to maintain energy production and minimize the formation of reactive oxygen species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this</w:t>
      </w:r>
      <w:r>
        <w:t xml:space="preserve"> </w:t>
      </w:r>
      <w:r>
        <w:t xml:space="preserve">“</w:t>
      </w:r>
      <w:r>
        <w:t xml:space="preserve">glycolytic shift</w:t>
      </w:r>
      <w:r>
        <w:t xml:space="preserve">”</w:t>
      </w:r>
      <w:r>
        <w:t xml:space="preserve"> </w:t>
      </w:r>
      <w:r>
        <w:t xml:space="preserve">of primary carbon metabolism is well-described, the effects of hypoxia on other metabolic pathways are an area of active investigation</w:t>
      </w:r>
      <w:r>
        <w:t xml:space="preserve"> </w:t>
      </w:r>
      <w:hyperlink w:anchor="ref-RN1198">
        <w:r>
          <w:rPr>
            <w:rStyle w:val="Hyperlink"/>
          </w:rPr>
          <w:t xml:space="preserve">Lee et al.</w:t>
        </w:r>
      </w:hyperlink>
      <w:r>
        <w:t xml:space="preserve"> </w:t>
      </w:r>
      <w:r>
        <w:t xml:space="preserve">(</w:t>
      </w:r>
      <w:hyperlink w:anchor="ref-RN1198">
        <w:r>
          <w:rPr>
            <w:rStyle w:val="Hyperlink"/>
          </w:rPr>
          <w:t xml:space="preserve">2020</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hyperlink w:anchor="ref-RN975">
        <w:r>
          <w:rPr>
            <w:rStyle w:val="Hyperlink"/>
          </w:rPr>
          <w:t xml:space="preserve">Jiang et al.</w:t>
        </w:r>
      </w:hyperlink>
      <w:r>
        <w:t xml:space="preserve"> </w:t>
      </w:r>
      <w:r>
        <w:t xml:space="preserve">(</w:t>
      </w:r>
      <w:hyperlink w:anchor="ref-RN975">
        <w:r>
          <w:rPr>
            <w:rStyle w:val="Hyperlink"/>
          </w:rPr>
          <w:t xml:space="preserve">2016</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the importance of the metabolic pathways described above remain to be elucidated in these cells. This information would provide important context for understanding the extent to which cancer cell metabolism responds differently to hypoxic stress. Given the metabolic adaptations required for rapid proliferation in cancer cells, we hypothesized that hypoxia would elicit different metabolic responses in primary cells than has been observed previously in studies of cancer cell metabolism.</w:t>
      </w:r>
    </w:p>
    <w:p>
      <w:pPr>
        <w:pStyle w:val="BodyText"/>
      </w:pPr>
      <w:r>
        <w:t xml:space="preserve">To test this hypothesis, we developed models of bioenergetic carbon flux in human primary cells cultured under 21% or 0.5% oxygen conditions. We found that hypoxia fails to increase glycolysis in primary cells despite robust up-regulation of the HIF-1α transcriptional program. In normoxia, HIF-1α activation by the prolyl hydroxylase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HIF-1α-dependent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cells.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Lung fibroblasts (LFs) cultured in 0.5% oxygen grew more slowly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w:t>
      </w:r>
      <w:r>
        <w:rPr>
          <w:bCs/>
          <w:b/>
        </w:rPr>
        <w:t xml:space="preserve"> </w:t>
      </w:r>
      <w:r>
        <w:rPr>
          <w:bCs/>
          <w:b/>
        </w:rPr>
        <w:t xml:space="preserve">1</w:t>
      </w:r>
      <w:r>
        <w:rPr>
          <w:bCs/>
          <w:b/>
        </w:rPr>
        <w:t xml:space="preserve">C</w:t>
      </w:r>
      <w:r>
        <w:t xml:space="preserve">). These cells demonstrated robust stabilization of HIF-1α protein associated with up-regulation of downstream targets, such as glucose transporter 1, (GLUT1), and lactate dehydrogenase A (LDHA) (</w:t>
      </w:r>
      <w:r>
        <w:rPr>
          <w:bCs/>
          <w:b/>
        </w:rPr>
        <w:t xml:space="preserve">Figure</w:t>
      </w:r>
      <w:r>
        <w:rPr>
          <w:bCs/>
          <w:b/>
        </w:rPr>
        <w:t xml:space="preserve"> </w:t>
      </w:r>
      <w:r>
        <w:rPr>
          <w:bCs/>
          <w:b/>
        </w:rPr>
        <w:t xml:space="preserve">1</w:t>
      </w:r>
      <w:r>
        <w:rPr>
          <w:bCs/>
          <w:b/>
        </w:rPr>
        <w:t xml:space="preserve">D-H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w:t>
      </w:r>
      <w:r>
        <w:rPr>
          <w:bCs/>
          <w:b/>
        </w:rPr>
        <w:t xml:space="preserve"> </w:t>
      </w:r>
      <w:r>
        <w:rPr>
          <w:bCs/>
          <w:b/>
        </w:rPr>
        <w:t xml:space="preserve">1</w:t>
      </w:r>
      <w:r>
        <w:rPr>
          <w:bCs/>
          <w:b/>
        </w:rPr>
        <w:t xml:space="preserve">I-J, Supplementary Figures 1-3</w:t>
      </w:r>
      <w:r>
        <w:t xml:space="preserve">). Flux calculations incorporated the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Supplementary Figure 1</w:t>
      </w:r>
      <w:r>
        <w:t xml:space="preserve">). Surprisingly, while glucose uptake was modestly increased in hypoxia, lactate efflux was decreased (</w:t>
      </w:r>
      <w:r>
        <w:rPr>
          <w:bCs/>
          <w:b/>
        </w:rPr>
        <w:t xml:space="preserve">Figure</w:t>
      </w:r>
      <w:r>
        <w:rPr>
          <w:bCs/>
          <w:b/>
        </w:rPr>
        <w:t xml:space="preserve"> </w:t>
      </w:r>
      <w:r>
        <w:rPr>
          <w:bCs/>
          <w:b/>
        </w:rPr>
        <w:t xml:space="preserve">1</w:t>
      </w:r>
      <w:r>
        <w:rPr>
          <w:bCs/>
          <w:b/>
        </w:rPr>
        <w:t xml:space="preserve">I</w:t>
      </w:r>
      <w:r>
        <w:t xml:space="preserve">) despite activation of the HIF-1 transcriptional program. Similar findings were observed when the ambient oxygen level was decreased further to 0.2% (Supplementary Figure 2) and in pulmonary artery smooth muscle cells (PASMCs;</w:t>
      </w:r>
      <w:r>
        <w:t xml:space="preserve"> </w:t>
      </w:r>
      <w:r>
        <w:rPr>
          <w:bCs/>
          <w:b/>
        </w:rPr>
        <w:t xml:space="preserve">Supplementary Figure 3</w:t>
      </w:r>
      <w:r>
        <w:t xml:space="preserve">). In addition to lactate, the absolute extracellular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 chain amino acids and arginine (Supplementary Figure 3),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w:t>
      </w:r>
      <w:r>
        <w:rPr>
          <w:bCs/>
          <w:b/>
        </w:rPr>
        <w:t xml:space="preserve">Figure</w:t>
      </w:r>
      <w:r>
        <w:rPr>
          <w:bCs/>
          <w:b/>
        </w:rPr>
        <w:t xml:space="preserve"> </w:t>
      </w:r>
      <w:r>
        <w:rPr>
          <w:bCs/>
          <w:b/>
        </w:rPr>
        <w:t xml:space="preserve">2</w:t>
      </w:r>
      <w:r>
        <w:t xml:space="preserve">). Similar to hypoxia, BAY decreased cell growth rate (</w:t>
      </w:r>
      <w:r>
        <w:rPr>
          <w:bCs/>
          <w:b/>
        </w:rPr>
        <w:t xml:space="preserve">Figure</w:t>
      </w:r>
      <w:r>
        <w:rPr>
          <w:bCs/>
          <w:b/>
        </w:rPr>
        <w:t xml:space="preserve"> </w:t>
      </w:r>
      <w:r>
        <w:rPr>
          <w:bCs/>
          <w:b/>
        </w:rPr>
        <w:t xml:space="preserve">2</w:t>
      </w:r>
      <w:r>
        <w:rPr>
          <w:bCs/>
          <w:b/>
        </w:rPr>
        <w:t xml:space="preserve">A-B</w:t>
      </w:r>
      <w:r>
        <w:t xml:space="preserve">) and activated the HIF-1 transcriptional program (</w:t>
      </w:r>
      <w:r>
        <w:rPr>
          <w:bCs/>
          <w:b/>
        </w:rPr>
        <w:t xml:space="preserve">Figure</w:t>
      </w:r>
      <w:r>
        <w:rPr>
          <w:bCs/>
          <w:b/>
        </w:rPr>
        <w:t xml:space="preserve"> </w:t>
      </w:r>
      <w:r>
        <w:rPr>
          <w:bCs/>
          <w:b/>
        </w:rPr>
        <w:t xml:space="preserve">2</w:t>
      </w:r>
      <w:r>
        <w:rPr>
          <w:bCs/>
          <w:b/>
        </w:rPr>
        <w:t xml:space="preserve">C-G</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2</w:t>
      </w:r>
      <w:r>
        <w:rPr>
          <w:bCs/>
          <w:b/>
        </w:rPr>
        <w:t xml:space="preserve">H</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2</w:t>
      </w:r>
      <w:r>
        <w:rPr>
          <w:bCs/>
          <w:b/>
        </w:rPr>
        <w:t xml:space="preserve">J</w:t>
      </w:r>
      <w:r>
        <w:t xml:space="preserve">).</w:t>
      </w:r>
    </w:p>
    <w:bookmarkEnd w:id="24"/>
    <w:bookmarkStart w:id="25" w:name="Xc84dc27d89c2b45ca2cbdb3259ba5b291a47311"/>
    <w:p>
      <w:pPr>
        <w:pStyle w:val="Heading2"/>
      </w:pPr>
      <w:r>
        <w:t xml:space="preserve">Stable isotope incorporation suggests preservation of the intracellular metabolic program in hypoxia</w:t>
      </w:r>
    </w:p>
    <w:p>
      <w:pPr>
        <w:pStyle w:val="FirstParagraph"/>
      </w:pPr>
      <w:r>
        <w:t xml:space="preserve">To validate our findings from extracellular flux measurements, we next treated LFs with stable carbon isotopes of glucose and glutamine to measure the rate of label incorporation and trace its incorporation into key carbon utilization pathways (</w:t>
      </w:r>
      <w:r>
        <w:rPr>
          <w:bCs/>
          <w:b/>
        </w:rPr>
        <w:t xml:space="preserve">Figure</w:t>
      </w:r>
      <w:r>
        <w:rPr>
          <w:bCs/>
          <w:b/>
        </w:rPr>
        <w:t xml:space="preserve"> </w:t>
      </w:r>
      <w:r>
        <w:rPr>
          <w:bCs/>
          <w:b/>
        </w:rPr>
        <w:t xml:space="preserve">3</w:t>
      </w:r>
      <w:r>
        <w:rPr>
          <w:bCs/>
          <w:b/>
        </w:rPr>
        <w:t xml:space="preserve">, Supplementary Figures 4-5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w:t>
      </w:r>
      <w:r>
        <w:rPr>
          <w:bCs/>
          <w:b/>
        </w:rPr>
        <w:t xml:space="preserve"> </w:t>
      </w:r>
      <w:r>
        <w:rPr>
          <w:bCs/>
          <w:b/>
        </w:rPr>
        <w:t xml:space="preserve">3</w:t>
      </w:r>
      <w:r>
        <w:rPr>
          <w:bCs/>
          <w:b/>
        </w:rPr>
        <w:t xml:space="preserve">A-B</w:t>
      </w:r>
      <w:r>
        <w:t xml:space="preserve">).</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This finding is consistent with the extracellular flux measurements suggesting slower substrate utilization by hypoxic cells. BAY treatment recapitulated the labeling patterns observed with hypoxia, suggesting similar effects on intracellular metabolite distribution between these two conditions. Beyond this observation, the labeling patterns in hypoxia- and BAY-treated cells were similar to their respective controls, arguing against marked metabolic reprogramming in response to prolyl hydroxylase inhibition by either hypoxia or BAY. These findings were similar in PASMCs (</w:t>
      </w:r>
      <w:r>
        <w:rPr>
          <w:bCs/>
          <w:b/>
        </w:rPr>
        <w:t xml:space="preserve">Supplementary Figure 5</w:t>
      </w:r>
      <w:r>
        <w:t xml:space="preserve">) where stable isotope incorporation was attenuated in hypoxia and the overall labeling pattern was quite similar in both conditions.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w:t>
      </w:r>
      <w:r>
        <w:rPr>
          <w:bCs/>
          <w:b/>
        </w:rPr>
        <w:t xml:space="preserve"> </w:t>
      </w:r>
      <w:r>
        <w:rPr>
          <w:bCs/>
          <w:b/>
        </w:rPr>
        <w:t xml:space="preserve">3</w:t>
      </w:r>
      <w:r>
        <w:rPr>
          <w:bCs/>
          <w:b/>
        </w:rPr>
        <w:t xml:space="preserve">A, Supplementary Figure 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w:t>
      </w:r>
      <w:r>
        <w:rPr>
          <w:bCs/>
          <w:b/>
        </w:rPr>
        <w:t xml:space="preserve"> </w:t>
      </w:r>
      <w:r>
        <w:rPr>
          <w:bCs/>
          <w:b/>
        </w:rPr>
        <w:t xml:space="preserve">4</w:t>
      </w:r>
      <w:r>
        <w:rPr>
          <w:bCs/>
          <w:b/>
        </w:rPr>
        <w:t xml:space="preserve">, Supplementary Figure 6, Supplementary Tables 1-3</w:t>
      </w:r>
      <w:r>
        <w:t xml:space="preserve">). Overall, proliferating LFs demonstrated high rates of glucose uptake and glycolysis. Approximately 10% of cytoplasmic pyruvate enters the TCA cycle with the balance converted to lactate (</w:t>
      </w:r>
      <w:r>
        <w:rPr>
          <w:bCs/>
          <w:b/>
        </w:rPr>
        <w:t xml:space="preserve">Supplementary Figure 6C</w:t>
      </w:r>
      <w:r>
        <w:t xml:space="preserve">). In hypoxia, significant reductions in glycolysis, the TCA cycle, and amino acid metabolism were observed (</w:t>
      </w:r>
      <w:r>
        <w:rPr>
          <w:bCs/>
          <w:b/>
        </w:rPr>
        <w:t xml:space="preserve">Figure</w:t>
      </w:r>
      <w:r>
        <w:rPr>
          <w:bCs/>
          <w:b/>
        </w:rPr>
        <w:t xml:space="preserve"> </w:t>
      </w:r>
      <w:r>
        <w:rPr>
          <w:bCs/>
          <w:b/>
        </w:rPr>
        <w:t xml:space="preserve">4</w:t>
      </w:r>
      <w:r>
        <w:rPr>
          <w:bCs/>
          <w:b/>
        </w:rPr>
        <w:t xml:space="preserve">A</w:t>
      </w:r>
      <w:r>
        <w:t xml:space="preserve">) with a significant increase in pentose phosphate pathway flux. Similar findings were observed in PASMC flux maps (</w:t>
      </w:r>
      <w:r>
        <w:rPr>
          <w:bCs/>
          <w:b/>
        </w:rPr>
        <w:t xml:space="preserve">Supplementary Figure 6, Supplementary Table 3</w:t>
      </w:r>
      <w:r>
        <w:t xml:space="preserve">).</w:t>
      </w:r>
    </w:p>
    <w:p>
      <w:pPr>
        <w:pStyle w:val="BodyText"/>
      </w:pPr>
      <w:r>
        <w:t xml:space="preserve">Given the global decrease in bioenergetic metabolic flux in hypoxia, we hypothesized that these differences may be a consequence of a decreased growth rate. After normalizing metabolite fluxes in normoxia and hypoxia to the associated growth rate, modest increases (~10%) in glycolytic flux were observed (Supplementary Figure 4D). This finding suggests that, while glycolysis increases relative to growth rate in hypoxic cells, the regulators of cell proliferation rate dominate over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w:t>
      </w:r>
      <w:r>
        <w:rPr>
          <w:bCs/>
          <w:b/>
        </w:rPr>
        <w:t xml:space="preserve">Figure</w:t>
      </w:r>
      <w:r>
        <w:rPr>
          <w:bCs/>
          <w:b/>
        </w:rPr>
        <w:t xml:space="preserve"> </w:t>
      </w:r>
      <w:r>
        <w:rPr>
          <w:bCs/>
          <w:b/>
        </w:rPr>
        <w:t xml:space="preserve">4</w:t>
      </w:r>
      <w:r>
        <w:rPr>
          <w:bCs/>
          <w:b/>
        </w:rPr>
        <w:t xml:space="preserve">B</w:t>
      </w:r>
      <w:r>
        <w:t xml:space="preserve">). BAY treatment decreased cell proliferation rate (</w:t>
      </w:r>
      <w:r>
        <w:rPr>
          <w:bCs/>
          <w:b/>
        </w:rPr>
        <w:t xml:space="preserve">Figure</w:t>
      </w:r>
      <w:r>
        <w:rPr>
          <w:bCs/>
          <w:b/>
        </w:rPr>
        <w:t xml:space="preserve"> </w:t>
      </w:r>
      <w:r>
        <w:rPr>
          <w:bCs/>
          <w:b/>
        </w:rPr>
        <w:t xml:space="preserve">2</w:t>
      </w:r>
      <w:r>
        <w:rPr>
          <w:bCs/>
          <w:b/>
        </w:rPr>
        <w:t xml:space="preserve">B</w:t>
      </w:r>
      <w:r>
        <w:t xml:space="preserve">),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(Supplementary Tables 1-3). First, consistent with the stable isotope tracing results, the rate of reductive carboxylation through reversible flux by isocitrate dehydrogenase is low (~4 fmol/cell/h), is unchanged by hypoxia, and is modestly increased by BAY treatment and by hypoxia treatment in PASMCs.</w:t>
      </w:r>
    </w:p>
    <w:p>
      <w:pPr>
        <w:pStyle w:val="BodyText"/>
      </w:pPr>
      <w:r>
        <w:t xml:space="preserve">Second, hypoxia and BAY treatment are associated with a marked increase in the lactate transport exchange flux in LFs from ~ 0 to 1,520 and 711 fmol/cell/h in 0.5% oxygen and BAY treatment conditions, respectively, with similar results in PASMCs exposed to hypoxia.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w:t>
      </w:r>
      <w:r>
        <w:rPr>
          <w:bCs/>
          <w:b/>
        </w:rPr>
        <w:t xml:space="preserve"> </w:t>
      </w:r>
      <w:r>
        <w:rPr>
          <w:bCs/>
          <w:b/>
        </w:rPr>
        <w:t xml:space="preserve">5</w:t>
      </w:r>
      <w:r>
        <w:rPr>
          <w:bCs/>
          <w:b/>
        </w:rPr>
        <w:t xml:space="preserve">, Supplementary Figure 5</w:t>
      </w:r>
      <w:r>
        <w:t xml:space="preserve">). Here, we observed increased labeling of TCA metabolites citrate (CIT), 2-oxoglutrate (2OG), malate (MAL), and aspartate (ASP) following hypoxia or BAY treatment (</w:t>
      </w:r>
      <w:r>
        <w:rPr>
          <w:bCs/>
          <w:b/>
        </w:rPr>
        <w:t xml:space="preserve">Figure</w:t>
      </w:r>
      <w:r>
        <w:rPr>
          <w:bCs/>
          <w:b/>
        </w:rPr>
        <w:t xml:space="preserve"> </w:t>
      </w:r>
      <w:r>
        <w:rPr>
          <w:bCs/>
          <w:b/>
        </w:rPr>
        <w:t xml:space="preserve">5</w:t>
      </w:r>
      <w:r>
        <w:rPr>
          <w:bCs/>
          <w:b/>
        </w:rPr>
        <w:t xml:space="preserve">, Supplementary Figure 4</w:t>
      </w:r>
      <w:r>
        <w:t xml:space="preserve">). Interestingly, a similar increase in labeling was not observed in PASMCs (Supplementary Figure 5).</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w:t>
      </w:r>
      <w:r>
        <w:t xml:space="preserve"> </w:t>
      </w:r>
      <w:r>
        <w:rPr>
          <w:rStyle w:val="VerbatimChar"/>
        </w:rPr>
        <w:t xml:space="preserve">[</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7"/>
    <w:bookmarkStart w:id="28"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w:t>
      </w:r>
      <w:r>
        <w:rPr>
          <w:bCs/>
          <w:b/>
        </w:rPr>
        <w:t xml:space="preserve"> </w:t>
      </w:r>
      <w:r>
        <w:rPr>
          <w:bCs/>
          <w:b/>
        </w:rPr>
        <w:t xml:space="preserve">6</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w:t>
      </w:r>
      <w:r>
        <w:rPr>
          <w:bCs/>
          <w:b/>
        </w:rPr>
        <w:t xml:space="preserve"> </w:t>
      </w:r>
      <w:r>
        <w:rPr>
          <w:bCs/>
          <w:b/>
        </w:rPr>
        <w:t xml:space="preserve">6</w:t>
      </w:r>
      <w:r>
        <w:rPr>
          <w:bCs/>
          <w:b/>
        </w:rPr>
        <w:t xml:space="preserve">D-F</w:t>
      </w:r>
      <w:r>
        <w:t xml:space="preserve">). Principle component analysis revealed greater class similarity among both treatment groups cultured in 0.5% oxygen (</w:t>
      </w:r>
      <w:r>
        <w:rPr>
          <w:bCs/>
          <w:b/>
        </w:rPr>
        <w:t xml:space="preserve">Figure</w:t>
      </w:r>
      <w:r>
        <w:rPr>
          <w:bCs/>
          <w:b/>
        </w:rPr>
        <w:t xml:space="preserve"> </w:t>
      </w:r>
      <w:r>
        <w:rPr>
          <w:bCs/>
          <w:b/>
        </w:rPr>
        <w:t xml:space="preserve">6</w:t>
      </w:r>
      <w:r>
        <w:rPr>
          <w:bCs/>
          <w:b/>
        </w:rPr>
        <w:t xml:space="preserve">D</w:t>
      </w:r>
      <w:r>
        <w:t xml:space="preserve">). These hypoxia-treated cells were well-segregated from BAY-treated cells, again highlighting differential effects of hypoxic and pharmacologic PHD inhibition. Linear modeling identified those metabolites that were differentially affected by hypoxia and BAY treatment (</w:t>
      </w:r>
      <w:r>
        <w:rPr>
          <w:iCs/>
          <w:i/>
        </w:rPr>
        <w:t xml:space="preserve">i.e.</w:t>
      </w:r>
      <w:r>
        <w:t xml:space="preserve">, those metabolites with a significant interaction term in the linear model described by treatment × oxygen) (</w:t>
      </w:r>
      <w:r>
        <w:rPr>
          <w:bCs/>
          <w:b/>
        </w:rPr>
        <w:t xml:space="preserve">Figure</w:t>
      </w:r>
      <w:r>
        <w:rPr>
          <w:bCs/>
          <w:b/>
        </w:rPr>
        <w:t xml:space="preserve"> </w:t>
      </w:r>
      <w:r>
        <w:rPr>
          <w:bCs/>
          <w:b/>
        </w:rPr>
        <w:t xml:space="preserve">6</w:t>
      </w:r>
      <w:r>
        <w:rPr>
          <w:bCs/>
          <w:b/>
        </w:rPr>
        <w:t xml:space="preserve">E</w:t>
      </w:r>
      <w:r>
        <w:t xml:space="preserve">). Several patterns emerged from this analysis (</w:t>
      </w:r>
      <w:r>
        <w:rPr>
          <w:bCs/>
          <w:b/>
        </w:rPr>
        <w:t xml:space="preserve">Figure</w:t>
      </w:r>
      <w:r>
        <w:rPr>
          <w:bCs/>
          <w:b/>
        </w:rPr>
        <w:t xml:space="preserve"> </w:t>
      </w:r>
      <w:r>
        <w:rPr>
          <w:bCs/>
          <w:b/>
        </w:rPr>
        <w:t xml:space="preserve">6</w:t>
      </w:r>
      <w:r>
        <w:rPr>
          <w:bCs/>
          <w:b/>
        </w:rPr>
        <w:t xml:space="preserve">F</w:t>
      </w:r>
      <w:r>
        <w:t xml:space="preserve">). Interestingly, the hypoxia-regulated metabolite, 2-hydroxyglutarate, increased following BAY treatment, but was unaffected by hypoxia treatment in these proliferating LFs</w:t>
      </w:r>
      <w:r>
        <w:t xml:space="preserve"> </w:t>
      </w:r>
      <w:r>
        <w:t xml:space="preserve">(</w:t>
      </w:r>
      <w:hyperlink w:anchor="ref-RN1603">
        <w:r>
          <w:rPr>
            <w:rStyle w:val="Hyperlink"/>
          </w:rPr>
          <w:t xml:space="preserve">Oldham et al., 2015</w:t>
        </w:r>
      </w:hyperlink>
      <w:r>
        <w:t xml:space="preserve">)</w:t>
      </w:r>
      <w:r>
        <w:t xml:space="preserve">. The tricarboxylic acid (TCA) cycle metabolite aconitate was decreased in hypoxia, but increased by BAY treatment while the opposite effect was observed for hydroxyproline and taurine. Glycolytic intermediate glyceraldehyde 3-phosophate (GAP) was decreased by both hypoxia and BAY, while hypoxia reversed the BAY-mediated decrease in γ-aminobutyric acid (GABA). A metabolite set enrichment analysis (</w:t>
      </w:r>
      <w:r>
        <w:rPr>
          <w:bCs/>
          <w:b/>
        </w:rPr>
        <w:t xml:space="preserve">Figure</w:t>
      </w:r>
      <w:r>
        <w:rPr>
          <w:bCs/>
          <w:b/>
        </w:rPr>
        <w:t xml:space="preserve"> </w:t>
      </w:r>
      <w:r>
        <w:rPr>
          <w:bCs/>
          <w:b/>
        </w:rPr>
        <w:t xml:space="preserve">6</w:t>
      </w:r>
      <w:r>
        <w:rPr>
          <w:bCs/>
          <w:b/>
        </w:rPr>
        <w:t xml:space="preserve">G-H</w:t>
      </w:r>
      <w:r>
        <w:t xml:space="preserve">) revealed the tricarboxlyic acid cycle to be the most enriched KEGG metabolite set. Leading edge analysis demonstrates the negative enrichment scores associated with all of the TCA metabolites detected by our platform. This result suggests a more modest impact of BAY treatment on the TCA cycle than hypoxia, as suggested by our metabolic flux models were hypoxia resulted in a 1.5-2-fold reduction of TCA flux compared to a 1.1-1.5-fold reduction with BAY treatment in normoxia (</w:t>
      </w:r>
      <w:r>
        <w:rPr>
          <w:bCs/>
          <w:b/>
        </w:rPr>
        <w:t xml:space="preserve">Figure</w:t>
      </w:r>
      <w:r>
        <w:rPr>
          <w:bCs/>
          <w:b/>
        </w:rPr>
        <w:t xml:space="preserve"> </w:t>
      </w:r>
      <w:r>
        <w:rPr>
          <w:bCs/>
          <w:b/>
        </w:rPr>
        <w:t xml:space="preserve">4</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w:t>
      </w:r>
      <w:r>
        <w:rPr>
          <w:bCs/>
          <w:b/>
        </w:rPr>
        <w:t xml:space="preserve"> </w:t>
      </w:r>
      <w:r>
        <w:rPr>
          <w:bCs/>
          <w:b/>
        </w:rPr>
        <w:t xml:space="preserve">6</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3137c0fdc1ede3595477c3c5b4db61845e9a8f2"/>
    <w:p>
      <w:pPr>
        <w:pStyle w:val="Heading2"/>
      </w:pPr>
      <w:r>
        <w:t xml:space="preserve">Transcriptomic analysis identifies putative regulators of cellular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7</w:t>
      </w:r>
      <w:r>
        <w:t xml:space="preserve">). Principle component analysis again demonstrates clear separation among the four treatment groups (</w:t>
      </w:r>
      <w:r>
        <w:rPr>
          <w:bCs/>
          <w:b/>
        </w:rPr>
        <w:t xml:space="preserve">Figure</w:t>
      </w:r>
      <w:r>
        <w:rPr>
          <w:bCs/>
          <w:b/>
        </w:rPr>
        <w:t xml:space="preserve"> </w:t>
      </w:r>
      <w:r>
        <w:rPr>
          <w:bCs/>
          <w:b/>
        </w:rPr>
        <w:t xml:space="preserve">7</w:t>
      </w:r>
      <w:r>
        <w:rPr>
          <w:bCs/>
          <w:b/>
        </w:rPr>
        <w:t xml:space="preserve">A</w:t>
      </w:r>
      <w:r>
        <w:t xml:space="preserve">), with a closer relationship between hypoxia-treated cells compared to hypoxia and 21% BAY-treated cells. To identify those transcripts that were differentially affected by hypoxia compared to BAY treatment,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7</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7</w:t>
      </w:r>
      <w:r>
        <w:rPr>
          <w:bCs/>
          <w:b/>
        </w:rPr>
        <w:t xml:space="preserve">C</w:t>
      </w:r>
      <w:r>
        <w:t xml:space="preserve">). For example, EPAS1, the gene encoding the HIF-2α protein, was markedly decreased by hypoxia, compared to a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BAY decreased HDAC9 expression and increased P4HA2 expression. Together, this subset of transcriptional changes again illustrates important differences between hypoxia and HIF stabilization in normoxia. Indeed, an enrichment analysis of these transcripts using the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actually demonstrated greater enrichment of the</w:t>
      </w:r>
      <w:r>
        <w:t xml:space="preserve"> </w:t>
      </w:r>
      <w:r>
        <w:t xml:space="preserve">“</w:t>
      </w:r>
      <w:r>
        <w:t xml:space="preserve">hypoxia</w:t>
      </w:r>
      <w:r>
        <w:t xml:space="preserve">”</w:t>
      </w:r>
      <w:r>
        <w:t xml:space="preserve"> </w:t>
      </w:r>
      <w:r>
        <w:t xml:space="preserve">data set among differentially expressed transcripts following BAY treatment (</w:t>
      </w:r>
      <w:r>
        <w:rPr>
          <w:bCs/>
          <w:b/>
        </w:rPr>
        <w:t xml:space="preserve">Figure</w:t>
      </w:r>
      <w:r>
        <w:rPr>
          <w:bCs/>
          <w:b/>
        </w:rPr>
        <w:t xml:space="preserve"> </w:t>
      </w:r>
      <w:r>
        <w:rPr>
          <w:bCs/>
          <w:b/>
        </w:rPr>
        <w:t xml:space="preserve">7</w:t>
      </w:r>
      <w:r>
        <w:rPr>
          <w:bCs/>
          <w:b/>
        </w:rPr>
        <w:t xml:space="preserve">D</w:t>
      </w:r>
      <w:r>
        <w:t xml:space="preserve">). Consistent with our previous findings, the gene set for glycolysis was also more enriched following BAY treatment than hypoxia treatment. The most enriched gene sets associated with hypoxia included pro-proliferative E2F targets and G2/M checkpoint proteins as well as MYC target proteins. These findings were reinforced by a transcription factor enrichment analysis (</w:t>
      </w:r>
      <w:r>
        <w:rPr>
          <w:bCs/>
          <w:b/>
        </w:rPr>
        <w:t xml:space="preserve">Figure</w:t>
      </w:r>
      <w:r>
        <w:rPr>
          <w:bCs/>
          <w:b/>
        </w:rPr>
        <w:t xml:space="preserve"> </w:t>
      </w:r>
      <w:r>
        <w:rPr>
          <w:bCs/>
          <w:b/>
        </w:rPr>
        <w:t xml:space="preserve">7</w:t>
      </w:r>
      <w:r>
        <w:rPr>
          <w:bCs/>
          <w:b/>
        </w:rPr>
        <w:t xml:space="preserve">E</w:t>
      </w:r>
      <w:r>
        <w:t xml:space="preserve">), again identifying enrichment of MYC target proteins associated with hypoxia. Consistent with these bioinformatic results, immunoblot demonstrates up-regulation of MYC protein in hypoxia-treated cells, but not in BAY-treatment alone (</w:t>
      </w:r>
      <w:r>
        <w:rPr>
          <w:bCs/>
          <w:b/>
        </w:rPr>
        <w:t xml:space="preserve">Figure</w:t>
      </w:r>
      <w:r>
        <w:rPr>
          <w:bCs/>
          <w:b/>
        </w:rPr>
        <w:t xml:space="preserve"> </w:t>
      </w:r>
      <w:r>
        <w:rPr>
          <w:bCs/>
          <w:b/>
        </w:rPr>
        <w:t xml:space="preserve">7</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in the proliferating primary cells studied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in hypoxia,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In particular, our transcriptomic analyses suggest that hypoxia is associated with a pro-proliferative pattern of gene expression that likely facilitates the response of these mesenchymal cells to tissue injury and these pathways may have implications for cancer cell biology. While the role of HIFs in the hypoxia response has been extensively studied, relatively less is known about HIF-independent features of the hypoxia response. Certainly cells express several oxygen-dependent enzymes in addition to PHD whose activities may be impacted in hypoxia but not by HIF stabilization.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 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reactive oxygen species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of these molecular mechanisms may contribute to uncoupling glycolytic enzyme expression from glycolytic flux as observed in the experiments described here.</w:t>
      </w:r>
    </w:p>
    <w:p>
      <w:pPr>
        <w:pStyle w:val="BodyText"/>
      </w:pPr>
      <w:r>
        <w:t xml:space="preserve">These findings raise important questions regarding the cell-autonomous role of HIFs in the hypoxia response. Certainly, on an organismal level, HIFs drive expression of angiogenic and erythropoietic factors to increase oxygen delivery to hypoxic tissues. Within individual cells, HIF-1α seems to be important for mitigating the adverse effects of reactive oxygen species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none of PHD, HIFs, or their downstream targets were found to be selectively essential as a function of oxygen tension in a genome-wide CRISPR growth screen of cells cultured in normoxia and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understand the role of HIFs in mediating the metabolic response to hypoxia in primary cells. Moreover, these data strongly caution investigators against drawing conclusions about metabolite flux from measures of gene transcription alone. Further investigations of metabolic flux in primary cell cultures in hypoxia are warranted to identify the key regulators of metabolism in hypoxia and to clarify the contributions of HIF proteins to hypoxic metabolic reprogramming.</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U01HL108630, U54HL119145)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c-MYC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3" w:name="figures"/>
    <w:p>
      <w:pPr>
        <w:pStyle w:val="Heading1"/>
      </w:pPr>
      <w:r>
        <w:t xml:space="preserve">Figures</w:t>
      </w:r>
    </w:p>
    <w:p>
      <w:pPr>
        <w:pStyle w:val="CaptionedFigure"/>
      </w:pPr>
      <w:r>
        <w:drawing>
          <wp:inline>
            <wp:extent cx="5257800" cy="6616700"/>
            <wp:effectExtent b="0" l="0" r="0" t="0"/>
            <wp:docPr descr="Figure 1: Extracellular fluxes of lung fibroblasts in hypoxia. (A) Growth curves of lung fibroblasts (LFs) cultured in 21% and 0.5% oxygen (n = 8). (B) Growth rates were determined by linear fitting of log-transformed growth curves. (C) Cell viability, assessed by acridine orange plus propidium iodide staining, did not differ between 21% and 0.5% oxygen culture conditions (n = 3 technical replicates). (D) Representative immunoblot of LF protein lysates collected at the indicated times. (E, F) Relative change in HIF-1α (E) and LDHA (F) protein levels compared to 21% oxygen time 0 (n = 4). (G, H) Relative changes in GLUT1 (G) and LDHA (H) mRNA levels compared to 21% oxygen time 0 (n = 4). (I, J)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308600" cy="6629400"/>
            <wp:effectExtent b="0" l="0" r="0" t="0"/>
            <wp:docPr descr="Figure 2: Prolyl hydroxylase inhibition of lung fibroblasts in normoxia. (A) Growth curves of lung fibroblasts (LFs) cultured in 21% oxygen and treated with molidustat (BAY, 10 μM) or vehicle (DMSO, 0.1%) (n = 8). (B) Growth rates were determined by linear fitting of log-transformed growth curves. (C) Representative immunoblot of LF protein lysates collected at the indicated times. (D, E) Relative change in HIF-1α (D) and LDHA (E) protein levels compared to DMSO time 0. (F, G) Relative changes in GLUT1 (F) and LDHA (G) mRNA levels compared to DMSO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m2.pdf" id="0" name="Picture"/>
                    <pic:cNvPicPr>
                      <a:picLocks noChangeArrowheads="1" noChangeAspect="1"/>
                    </pic:cNvPicPr>
                  </pic:nvPicPr>
                  <pic:blipFill>
                    <a:blip r:embed="rId37"/>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70500" cy="4648200"/>
            <wp:effectExtent b="0" l="0" r="0" t="0"/>
            <wp:docPr descr="Figure 3: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Data are the mean ± SEM of 4 biological replicates. FBP, fructose bisphosphate; 3PG, 3-phosphoglycerate; AKG, α-ketoglutarate." title="" id="1" name="Picture"/>
            <a:graphic>
              <a:graphicData uri="http://schemas.openxmlformats.org/drawingml/2006/picture">
                <pic:pic>
                  <pic:nvPicPr>
                    <pic:cNvPr descr="/Users/will/Dropbox%20(Partners%20HealthCare)/Copeland.2021.hypoxia.flux/inst/manuscript/figures/m3.pdf" id="0" name="Picture"/>
                    <pic:cNvPicPr>
                      <a:picLocks noChangeArrowheads="1" noChangeAspect="1"/>
                    </pic:cNvPicPr>
                  </pic:nvPicPr>
                  <pic:blipFill>
                    <a:blip r:embed="rId38"/>
                    <a:stretch>
                      <a:fillRect/>
                    </a:stretch>
                  </pic:blipFill>
                  <pic:spPr bwMode="auto">
                    <a:xfrm>
                      <a:off x="0" y="0"/>
                      <a:ext cx="5270500" cy="46482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r>
        <w:br w:type="page"/>
      </w:r>
    </w:p>
    <w:p>
      <w:pPr>
        <w:pStyle w:val="CaptionedFigure"/>
      </w:pPr>
      <w:r>
        <w:drawing>
          <wp:inline>
            <wp:extent cx="6400800" cy="3393045"/>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title="" id="1" name="Picture"/>
            <a:graphic>
              <a:graphicData uri="http://schemas.openxmlformats.org/drawingml/2006/picture">
                <pic:pic>
                  <pic:nvPicPr>
                    <pic:cNvPr descr="/Users/will/Dropbox%20(Partners%20HealthCare)/Copeland.2021.hypoxia.flux/inst/manuscript/figures/m4.pdf" id="0" name="Picture"/>
                    <pic:cNvPicPr>
                      <a:picLocks noChangeArrowheads="1" noChangeAspect="1"/>
                    </pic:cNvPicPr>
                  </pic:nvPicPr>
                  <pic:blipFill>
                    <a:blip r:embed="rId39"/>
                    <a:stretch>
                      <a:fillRect/>
                    </a:stretch>
                  </pic:blipFill>
                  <pic:spPr bwMode="auto">
                    <a:xfrm>
                      <a:off x="0" y="0"/>
                      <a:ext cx="6400800" cy="3393045"/>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inst/manuscript/figures/m5.pdf" id="0" name="Picture"/>
                    <pic:cNvPicPr>
                      <a:picLocks noChangeArrowheads="1" noChangeAspect="1"/>
                    </pic:cNvPicPr>
                  </pic:nvPicPr>
                  <pic:blipFill>
                    <a:blip r:embed="rId40"/>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84709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 Metabolite set enrichment analysis of metabolites from (E). KEGG pathways with unadjusted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inst/manuscript/figures/m6.pdf" id="0" name="Picture"/>
                    <pic:cNvPicPr>
                      <a:picLocks noChangeArrowheads="1" noChangeAspect="1"/>
                    </pic:cNvPicPr>
                  </pic:nvPicPr>
                  <pic:blipFill>
                    <a:blip r:embed="rId41"/>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 C)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c-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inst/manuscript/figures/m7.pdf" id="0" name="Picture"/>
                    <pic:cNvPicPr>
                      <a:picLocks noChangeArrowheads="1" noChangeAspect="1"/>
                    </pic:cNvPicPr>
                  </pic:nvPicPr>
                  <pic:blipFill>
                    <a:blip r:embed="rId42"/>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c-MYC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3"/>
    <w:bookmarkStart w:id="75" w:name="star-methods"/>
    <w:p>
      <w:pPr>
        <w:pStyle w:val="Heading1"/>
      </w:pPr>
      <w:r>
        <w:t xml:space="preserve">STAR Methods</w:t>
      </w:r>
    </w:p>
    <w:bookmarkStart w:id="48" w:name="resource-availability"/>
    <w:p>
      <w:pPr>
        <w:pStyle w:val="Heading2"/>
      </w:pPr>
      <w:r>
        <w:t xml:space="preserve">Resource Availability</w:t>
      </w:r>
    </w:p>
    <w:bookmarkStart w:id="44"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4"/>
    <w:bookmarkStart w:id="45" w:name="materials-availability"/>
    <w:p>
      <w:pPr>
        <w:pStyle w:val="Heading3"/>
      </w:pPr>
      <w:r>
        <w:t xml:space="preserve">Materials Availability</w:t>
      </w:r>
    </w:p>
    <w:p>
      <w:pPr>
        <w:pStyle w:val="FirstParagraph"/>
      </w:pPr>
      <w:r>
        <w:t xml:space="preserve">This study did not generate new unique reagents.</w:t>
      </w:r>
    </w:p>
    <w:bookmarkEnd w:id="45"/>
    <w:bookmarkStart w:id="47"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6">
        <w:r>
          <w:rPr>
            <w:rStyle w:val="Hyperlink"/>
          </w:rPr>
          <w:t xml:space="preserve">https://github.com/oldhamlab/Copeland.2021.hypoxia.flux</w:t>
        </w:r>
      </w:hyperlink>
      <w:r>
        <w:t xml:space="preserve">). RNA-seq data has been deposited in the NIH Short Read Archive (PRJNA721596).</w:t>
      </w:r>
    </w:p>
    <w:bookmarkEnd w:id="47"/>
    <w:bookmarkEnd w:id="48"/>
    <w:bookmarkStart w:id="51" w:name="experimental-model-details"/>
    <w:p>
      <w:pPr>
        <w:pStyle w:val="Heading2"/>
      </w:pPr>
      <w:r>
        <w:t xml:space="preserve">Experimental Model Details</w:t>
      </w:r>
    </w:p>
    <w:bookmarkStart w:id="49"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male) and #29132 (19, female). Cell authentication was performed by the vendor.</w:t>
      </w:r>
    </w:p>
    <w:bookmarkEnd w:id="49"/>
    <w:bookmarkStart w:id="50"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male), #27662 (35, male), #26698 (51, male), and #19828 (51, male). Cell authentication was performed by the vendor.</w:t>
      </w:r>
    </w:p>
    <w:bookmarkEnd w:id="50"/>
    <w:bookmarkEnd w:id="51"/>
    <w:bookmarkStart w:id="72" w:name="method-details"/>
    <w:p>
      <w:pPr>
        <w:pStyle w:val="Heading2"/>
      </w:pPr>
      <w:r>
        <w:t xml:space="preserve">Method Details</w:t>
      </w:r>
    </w:p>
    <w:bookmarkStart w:id="52"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2"/>
    <w:bookmarkStart w:id="53"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(Supplementary Figure 1A). No difference in total cellular DNA was identified between normoxia and hypoxia cultures (Supplementary Figure 1B).</w:t>
      </w:r>
    </w:p>
    <w:bookmarkEnd w:id="53"/>
    <w:bookmarkStart w:id="54"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4"/>
    <w:bookmarkStart w:id="55"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5"/>
    <w:bookmarkStart w:id="56"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6"/>
    <w:bookmarkStart w:id="57"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7"/>
    <w:bookmarkStart w:id="58"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8"/>
    <w:bookmarkStart w:id="59"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9"/>
    <w:bookmarkStart w:id="60"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grow/>
                  </m:dPr>
                  <m:e>
                    <m:sSup>
                      <m:e>
                        <m:r>
                          <m:t>e</m:t>
                        </m:r>
                      </m:e>
                      <m:sup>
                        <m:d>
                          <m:dPr>
                            <m:begChr m:val="("/>
                            <m:end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(Supplementary Figure 1C).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0"/>
    <w:bookmarkStart w:id="66" w:name="metabolomics"/>
    <w:p>
      <w:pPr>
        <w:pStyle w:val="Heading3"/>
      </w:pPr>
      <w:r>
        <w:t xml:space="preserve">Metabolomics</w:t>
      </w:r>
    </w:p>
    <w:bookmarkStart w:id="61"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1"/>
    <w:bookmarkStart w:id="62"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2"/>
    <w:bookmarkStart w:id="64"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3">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4"/>
    <w:bookmarkStart w:id="65"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5"/>
    <w:bookmarkEnd w:id="66"/>
    <w:bookmarkStart w:id="67"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7"/>
    <w:bookmarkStart w:id="68"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8"/>
    <w:bookmarkStart w:id="69"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9"/>
    <w:bookmarkStart w:id="71"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0">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1"/>
    <w:bookmarkEnd w:id="72"/>
    <w:bookmarkStart w:id="73"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6">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3"/>
    <w:bookmarkStart w:id="74"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bl>
    <w:p>
      <w:r>
        <w:br w:type="page"/>
      </w:r>
    </w:p>
    <w:bookmarkEnd w:id="74"/>
    <w:bookmarkEnd w:id="75"/>
    <w:bookmarkStart w:id="76" w:name="supplemental-items-titles"/>
    <w:p>
      <w:pPr>
        <w:pStyle w:val="Heading1"/>
      </w:pPr>
      <w:r>
        <w:t xml:space="preserve">Supplemental Items Titles</w:t>
      </w:r>
    </w:p>
    <w:p>
      <w:r>
        <w:br w:type="page"/>
      </w:r>
    </w:p>
    <w:bookmarkEnd w:id="76"/>
    <w:bookmarkStart w:id="126" w:name="references"/>
    <w:p>
      <w:pPr>
        <w:pStyle w:val="Heading1"/>
      </w:pPr>
      <w:r>
        <w:t xml:space="preserve">References</w:t>
      </w:r>
    </w:p>
    <w:bookmarkStart w:id="125" w:name="refs_main"/>
    <w:bookmarkStart w:id="77" w:name="ref-RN60"/>
    <w:p>
      <w:pPr>
        <w:pStyle w:val="FirstParagraph"/>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7"/>
    <w:bookmarkStart w:id="78" w:name="ref-RN3117"/>
    <w:p>
      <w:pPr>
        <w:pStyle w:val="BodyText"/>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8"/>
    <w:bookmarkStart w:id="79" w:name="ref-RN3077"/>
    <w:p>
      <w:pPr>
        <w:pStyle w:val="BodyText"/>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9"/>
    <w:bookmarkStart w:id="80" w:name="ref-RN2618"/>
    <w:p>
      <w:pPr>
        <w:pStyle w:val="BodyText"/>
      </w:pPr>
      <w:r>
        <w:t xml:space="preserve">Chance, B., and Williams, G.R. (1955). Respiratory enzymes in oxidative phosphorylation. III. The steady state. J Biol Chem</w:t>
      </w:r>
      <w:r>
        <w:t xml:space="preserve"> </w:t>
      </w:r>
      <w:r>
        <w:rPr>
          <w:iCs/>
          <w:i/>
        </w:rPr>
        <w:t xml:space="preserve">217</w:t>
      </w:r>
      <w:r>
        <w:t xml:space="preserve">, 409–427.</w:t>
      </w:r>
    </w:p>
    <w:bookmarkEnd w:id="80"/>
    <w:bookmarkStart w:id="81" w:name="ref-RN295"/>
    <w:p>
      <w:pPr>
        <w:pStyle w:val="BodyText"/>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1"/>
    <w:bookmarkStart w:id="82" w:name="ref-RN366"/>
    <w:p>
      <w:pPr>
        <w:pStyle w:val="BodyText"/>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2"/>
    <w:bookmarkStart w:id="83" w:name="ref-RN3094"/>
    <w:p>
      <w:pPr>
        <w:pStyle w:val="BodyText"/>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3"/>
    <w:bookmarkStart w:id="84" w:name="ref-RN2600"/>
    <w:p>
      <w:pPr>
        <w:pStyle w:val="BodyText"/>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odyText"/>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odyText"/>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580"/>
    <w:p>
      <w:pPr>
        <w:pStyle w:val="BodyText"/>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7"/>
    <w:bookmarkStart w:id="88" w:name="ref-RN628"/>
    <w:p>
      <w:pPr>
        <w:pStyle w:val="BodyText"/>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8"/>
    <w:bookmarkStart w:id="89" w:name="ref-RN634"/>
    <w:p>
      <w:pPr>
        <w:pStyle w:val="BodyText"/>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89"/>
    <w:bookmarkStart w:id="90" w:name="ref-RN2619"/>
    <w:p>
      <w:pPr>
        <w:pStyle w:val="BodyText"/>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0"/>
    <w:bookmarkStart w:id="91" w:name="ref-RN713"/>
    <w:p>
      <w:pPr>
        <w:pStyle w:val="BodyText"/>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1"/>
    <w:bookmarkStart w:id="92" w:name="ref-RN730"/>
    <w:p>
      <w:pPr>
        <w:pStyle w:val="BodyText"/>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2"/>
    <w:bookmarkStart w:id="93" w:name="ref-RN742"/>
    <w:p>
      <w:pPr>
        <w:pStyle w:val="BodyText"/>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3"/>
    <w:bookmarkStart w:id="94" w:name="ref-RN2756"/>
    <w:p>
      <w:pPr>
        <w:pStyle w:val="BodyText"/>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94"/>
    <w:bookmarkStart w:id="95" w:name="ref-RN2718"/>
    <w:p>
      <w:pPr>
        <w:pStyle w:val="BodyText"/>
      </w:pPr>
      <w:r>
        <w:t xml:space="preserve">Hui, S., Cowan, A.J., Zeng, X., Yang, L., TeSlaa, T., Li, X., Bartman, C., Zhang, Z., Jang, C., Wang, L., et al. (2020). Quantitative fluxomics of circulating metabolites. Cell Metab.</w:t>
      </w:r>
    </w:p>
    <w:bookmarkEnd w:id="95"/>
    <w:bookmarkStart w:id="96" w:name="ref-RN2611"/>
    <w:p>
      <w:pPr>
        <w:pStyle w:val="BodyText"/>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96"/>
    <w:bookmarkStart w:id="97" w:name="ref-RN953"/>
    <w:p>
      <w:pPr>
        <w:pStyle w:val="BodyText"/>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7"/>
    <w:bookmarkStart w:id="98" w:name="ref-RN964"/>
    <w:p>
      <w:pPr>
        <w:pStyle w:val="BodyText"/>
      </w:pPr>
      <w:r>
        <w:t xml:space="preserve">Jazmin, L.J., and Young, J.D. (2013). Isotopically nonstationary 13C metabolic flux analysis. Methods Mol Biol</w:t>
      </w:r>
      <w:r>
        <w:t xml:space="preserve"> </w:t>
      </w:r>
      <w:r>
        <w:rPr>
          <w:iCs/>
          <w:i/>
        </w:rPr>
        <w:t xml:space="preserve">985</w:t>
      </w:r>
      <w:r>
        <w:t xml:space="preserve">, 367–390.</w:t>
      </w:r>
    </w:p>
    <w:bookmarkEnd w:id="98"/>
    <w:bookmarkStart w:id="99" w:name="ref-RN975"/>
    <w:p>
      <w:pPr>
        <w:pStyle w:val="BodyText"/>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99"/>
    <w:bookmarkStart w:id="100" w:name="ref-RN1063"/>
    <w:p>
      <w:pPr>
        <w:pStyle w:val="BodyText"/>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0"/>
    <w:bookmarkStart w:id="101" w:name="ref-RN1198"/>
    <w:p>
      <w:pPr>
        <w:pStyle w:val="BodyText"/>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1"/>
    <w:bookmarkStart w:id="102" w:name="ref-RN1200"/>
    <w:p>
      <w:pPr>
        <w:pStyle w:val="BodyText"/>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02"/>
    <w:bookmarkStart w:id="103" w:name="ref-RN3112"/>
    <w:p>
      <w:pPr>
        <w:pStyle w:val="BodyText"/>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03"/>
    <w:bookmarkStart w:id="104" w:name="ref-RN1294"/>
    <w:p>
      <w:pPr>
        <w:pStyle w:val="BodyText"/>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04"/>
    <w:bookmarkStart w:id="105" w:name="ref-RN1384"/>
    <w:p>
      <w:pPr>
        <w:pStyle w:val="BodyText"/>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05"/>
    <w:bookmarkStart w:id="106" w:name="ref-RN1438"/>
    <w:p>
      <w:pPr>
        <w:pStyle w:val="BodyText"/>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06"/>
    <w:bookmarkStart w:id="107" w:name="ref-RN1447"/>
    <w:p>
      <w:pPr>
        <w:pStyle w:val="BodyText"/>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07"/>
    <w:bookmarkStart w:id="108" w:name="ref-RN1523"/>
    <w:p>
      <w:pPr>
        <w:pStyle w:val="BodyText"/>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08"/>
    <w:bookmarkStart w:id="109" w:name="ref-RN1522"/>
    <w:p>
      <w:pPr>
        <w:pStyle w:val="BodyText"/>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09"/>
    <w:bookmarkStart w:id="110" w:name="ref-RN1603"/>
    <w:p>
      <w:pPr>
        <w:pStyle w:val="BodyText"/>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10"/>
    <w:bookmarkStart w:id="111" w:name="ref-RN1668"/>
    <w:p>
      <w:pPr>
        <w:pStyle w:val="BodyText"/>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11"/>
    <w:bookmarkStart w:id="112" w:name="ref-RN1678"/>
    <w:p>
      <w:pPr>
        <w:pStyle w:val="BodyText"/>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12"/>
    <w:bookmarkStart w:id="113" w:name="ref-RN1741"/>
    <w:p>
      <w:pPr>
        <w:pStyle w:val="BodyText"/>
      </w:pPr>
      <w:r>
        <w:t xml:space="preserve">Quek, L.E., Dietmair, S., Kromer, J.O., and Nielsen, L.K. (2010). Metabolic flux analysis in mammalian cell culture. Metab Eng</w:t>
      </w:r>
      <w:r>
        <w:t xml:space="preserve"> </w:t>
      </w:r>
      <w:r>
        <w:rPr>
          <w:iCs/>
          <w:i/>
        </w:rPr>
        <w:t xml:space="preserve">12</w:t>
      </w:r>
      <w:r>
        <w:t xml:space="preserve">, 161–171.</w:t>
      </w:r>
    </w:p>
    <w:bookmarkEnd w:id="113"/>
    <w:bookmarkStart w:id="114" w:name="ref-RN1966"/>
    <w:p>
      <w:pPr>
        <w:pStyle w:val="BodyText"/>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14"/>
    <w:bookmarkStart w:id="115" w:name="ref-RN1980"/>
    <w:p>
      <w:pPr>
        <w:pStyle w:val="BodyText"/>
      </w:pPr>
      <w:r>
        <w:t xml:space="preserve">Semenza, G.L. (2012). Hypoxia-inducible factors in physiology and medicine. Cell</w:t>
      </w:r>
      <w:r>
        <w:t xml:space="preserve"> </w:t>
      </w:r>
      <w:r>
        <w:rPr>
          <w:iCs/>
          <w:i/>
        </w:rPr>
        <w:t xml:space="preserve">148</w:t>
      </w:r>
      <w:r>
        <w:t xml:space="preserve">, 399–408.</w:t>
      </w:r>
    </w:p>
    <w:bookmarkEnd w:id="115"/>
    <w:bookmarkStart w:id="116" w:name="ref-RN2005"/>
    <w:p>
      <w:pPr>
        <w:pStyle w:val="BodyText"/>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16"/>
    <w:bookmarkStart w:id="117" w:name="ref-RN2210"/>
    <w:p>
      <w:pPr>
        <w:pStyle w:val="BodyText"/>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17"/>
    <w:bookmarkStart w:id="118" w:name="ref-RN2266"/>
    <w:p>
      <w:pPr>
        <w:pStyle w:val="BodyText"/>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18"/>
    <w:bookmarkStart w:id="119" w:name="ref-RN2395"/>
    <w:p>
      <w:pPr>
        <w:pStyle w:val="BodyText"/>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19"/>
    <w:bookmarkStart w:id="120" w:name="ref-RN2409"/>
    <w:p>
      <w:pPr>
        <w:pStyle w:val="BodyText"/>
      </w:pPr>
      <w:r>
        <w:t xml:space="preserve">Xiao, W., and Loscalzo, J. (2020). Metabolic responses to reductive stress. Antioxid Redox Signal</w:t>
      </w:r>
      <w:r>
        <w:t xml:space="preserve"> </w:t>
      </w:r>
      <w:r>
        <w:rPr>
          <w:iCs/>
          <w:i/>
        </w:rPr>
        <w:t xml:space="preserve">32</w:t>
      </w:r>
      <w:r>
        <w:t xml:space="preserve">, 1330–1347.</w:t>
      </w:r>
    </w:p>
    <w:bookmarkEnd w:id="120"/>
    <w:bookmarkStart w:id="121" w:name="ref-RN3111"/>
    <w:p>
      <w:pPr>
        <w:pStyle w:val="BodyText"/>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21"/>
    <w:bookmarkStart w:id="122" w:name="ref-RN2501"/>
    <w:p>
      <w:pPr>
        <w:pStyle w:val="BodyText"/>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22"/>
    <w:bookmarkStart w:id="123" w:name="ref-RN2517"/>
    <w:p>
      <w:pPr>
        <w:pStyle w:val="BodyText"/>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23"/>
    <w:bookmarkStart w:id="124" w:name="ref-RN2525"/>
    <w:p>
      <w:pPr>
        <w:pStyle w:val="BodyText"/>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24"/>
    <w:bookmarkEnd w:id="125"/>
    <w:bookmarkEnd w:id="126"/>
    <w:bookmarkStart w:id="135" w:name="software"/>
    <w:p>
      <w:pPr>
        <w:pStyle w:val="Heading1"/>
      </w:pPr>
      <w:r>
        <w:t xml:space="preserve">Software</w:t>
      </w:r>
    </w:p>
    <w:bookmarkStart w:id="134" w:name="refs_software"/>
    <w:bookmarkStart w:id="127" w:name="ref-fgsea"/>
    <w:p>
      <w:pPr>
        <w:pStyle w:val="FirstParagraph"/>
      </w:pPr>
      <w:r>
        <w:t xml:space="preserve">Korotkevich, G., Sukhov, V., and Sergushichev, A. (2019). Fast gene set enrichment analysis. bioRxiv.</w:t>
      </w:r>
    </w:p>
    <w:bookmarkEnd w:id="127"/>
    <w:bookmarkStart w:id="128" w:name="ref-Rsubread"/>
    <w:p>
      <w:pPr>
        <w:pStyle w:val="BodyText"/>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28"/>
    <w:bookmarkStart w:id="129" w:name="ref-DESeq2"/>
    <w:p>
      <w:pPr>
        <w:pStyle w:val="BodyText"/>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29"/>
    <w:bookmarkStart w:id="130" w:name="ref-TFEA.ChIP"/>
    <w:p>
      <w:pPr>
        <w:pStyle w:val="BodyText"/>
      </w:pPr>
      <w:r>
        <w:t xml:space="preserve">Puente-Santamaria, L., Wasserman, W., and del Peso, L. (2019). TFEA.ChIP: A tool kit for transcription factor binding site enrichment analysis capitalizing on ChIP-seq datasets. Bioinformatics.</w:t>
      </w:r>
    </w:p>
    <w:bookmarkEnd w:id="130"/>
    <w:bookmarkStart w:id="131" w:name="ref-R-base"/>
    <w:p>
      <w:pPr>
        <w:pStyle w:val="BodyText"/>
      </w:pPr>
      <w:r>
        <w:t xml:space="preserve">R Core Team (2020). R: A language and environment for statistical computing (Vienna, Austria: R Foundation for Statistical Computing).</w:t>
      </w:r>
    </w:p>
    <w:bookmarkEnd w:id="131"/>
    <w:bookmarkStart w:id="132"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32"/>
    <w:bookmarkStart w:id="133"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3"/>
    <w:bookmarkEnd w:id="134"/>
    <w:bookmarkEnd w:id="135"/>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gene transcription and metabolic flux in proliferating primary cells</dc:title>
  <dc:creator>Courtney A. Copeland1, Benjamin A. Olenchock1,2, David R. Ziehr1,4, Sarah McGarrity1,5, Jamey D. Young3, Joseph Loscalzo1, and William M. Oldham1,‡</dc:creator>
  <cp:keywords/>
  <dcterms:created xsi:type="dcterms:W3CDTF">2021-05-07T20:47:41Z</dcterms:created>
  <dcterms:modified xsi:type="dcterms:W3CDTF">2021-05-07T20:47:41Z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header-includes">
    <vt:lpwstr/>
  </property>
  <property fmtid="{D5CDD505-2E9C-101B-9397-08002B2CF9AE}" pid="10" name="link-citations">
    <vt:lpwstr>yes</vt:lpwstr>
  </property>
  <property fmtid="{D5CDD505-2E9C-101B-9397-08002B2CF9AE}" pid="11" name="mainfont">
    <vt:lpwstr>Calibri</vt:lpwstr>
  </property>
  <property fmtid="{D5CDD505-2E9C-101B-9397-08002B2CF9AE}" pid="12" name="output">
    <vt:lpwstr/>
  </property>
</Properties>
</file>