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Supplemental</w:t>
      </w:r>
      <w:r>
        <w:t xml:space="preserve"> </w:t>
      </w:r>
      <w:r>
        <w:t xml:space="preserve">Information</w:t>
      </w:r>
    </w:p>
    <w:p>
      <w:pPr>
        <w:pStyle w:val="Subtitle"/>
      </w:pPr>
      <w:r>
        <w:t xml:space="preserve">Hypoxia</w:t>
      </w:r>
      <w:r>
        <w:t xml:space="preserve"> </w:t>
      </w:r>
      <w:r>
        <w:t xml:space="preserve">uncouples</w:t>
      </w:r>
      <w:r>
        <w:t xml:space="preserve"> </w:t>
      </w:r>
      <w:r>
        <w:t xml:space="preserve">HIF</w:t>
      </w:r>
      <w:r>
        <w:t xml:space="preserve"> </w:t>
      </w:r>
      <w:r>
        <w:t xml:space="preserve">gene</w:t>
      </w:r>
      <w:r>
        <w:t xml:space="preserve"> </w:t>
      </w:r>
      <w:r>
        <w:t xml:space="preserve">transcription</w:t>
      </w:r>
      <w:r>
        <w:t xml:space="preserve"> </w:t>
      </w:r>
      <w:r>
        <w:t xml:space="preserve">and</w:t>
      </w:r>
      <w:r>
        <w:t xml:space="preserve"> </w:t>
      </w:r>
      <w:r>
        <w:t xml:space="preserve">metabolic</w:t>
      </w:r>
      <w:r>
        <w:t xml:space="preserve"> </w:t>
      </w:r>
      <w:r>
        <w:t xml:space="preserve">flux</w:t>
      </w:r>
      <w:r>
        <w:t xml:space="preserve"> </w:t>
      </w:r>
      <w:r>
        <w:t xml:space="preserve">in</w:t>
      </w:r>
      <w:r>
        <w:t xml:space="preserve"> </w:t>
      </w:r>
      <w:r>
        <w:t xml:space="preserve">proliferating</w:t>
      </w:r>
      <w:r>
        <w:t xml:space="preserve"> </w:t>
      </w:r>
      <w:r>
        <w:t xml:space="preserve">primary</w:t>
      </w:r>
      <w:r>
        <w:t xml:space="preserve"> </w:t>
      </w:r>
      <w:r>
        <w:t xml:space="preserve">cells</w:t>
      </w:r>
    </w:p>
    <w:p>
      <w:pPr>
        <w:pStyle w:val="Author"/>
      </w:pPr>
      <w:r>
        <w:t xml:space="preserve">Courtney A. Copeland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Benjamin A. Olenchock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David R. Ziehr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4</w:t>
      </w:r>
      <w:r>
        <w:t xml:space="preserve">,</w:t>
      </w:r>
      <w:r>
        <w:t xml:space="preserve"> </w:t>
      </w:r>
      <w:r>
        <w:t xml:space="preserve">Sarah McGarrity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5</w:t>
      </w:r>
      <w:r>
        <w:t xml:space="preserve">,</w:t>
      </w:r>
      <w:r>
        <w:t xml:space="preserve"> </w:t>
      </w:r>
      <w:r>
        <w:t xml:space="preserve">Jamey D. Young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Joseph Loscalzo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William M. Oldham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‡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Department of Medicine, Brigham and Women’s Hospital and Harvard Medical School, Boston, MA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Regeneron Pharmaceuticals, Tarrytown, NY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Departments of Chemical &amp; Biomolecular Engineering and Molecular Physiology &amp; Biophysics, Vanderbilt University, Nashville, TN</w:t>
      </w:r>
      <w:r>
        <w:br/>
      </w:r>
      <w:r>
        <w:rPr>
          <w:vertAlign w:val="superscript"/>
        </w:rPr>
        <w:t xml:space="preserve">4</w:t>
      </w:r>
      <w:r>
        <w:t xml:space="preserve"> </w:t>
      </w:r>
      <w:r>
        <w:t xml:space="preserve">Department of Medicine, Massachusetts General Hospital and Harvard Medical School, Boston, MA</w:t>
      </w:r>
      <w:r>
        <w:br/>
      </w:r>
      <w:r>
        <w:rPr>
          <w:vertAlign w:val="superscript"/>
        </w:rPr>
        <w:t xml:space="preserve">5</w:t>
      </w:r>
      <w:r>
        <w:t xml:space="preserve"> </w:t>
      </w:r>
      <w:r>
        <w:t xml:space="preserve">Center for Systems Biology, School of Health Sciences, University of Iceland, Reykjavik, Iceland</w:t>
      </w:r>
    </w:p>
    <w:p>
      <w:pPr>
        <w:pStyle w:val="BodyText"/>
      </w:pPr>
      <w:r>
        <w:rPr>
          <w:vertAlign w:val="superscript"/>
        </w:rPr>
        <w:t xml:space="preserve">‡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William M. Oldham &lt;</w:t>
        </w:r>
        <w:hyperlink r:id="rId20">
          <w:r>
            <w:rPr>
              <w:rStyle w:val="Hyperlink"/>
            </w:rPr>
            <w:t xml:space="preserve">woldham@bwh.harvard.edu</w:t>
          </w:r>
        </w:hyperlink>
        <w:r>
          <w:rPr>
            <w:rStyle w:val="Hyperlink"/>
          </w:rPr>
          <w:t xml:space="preserve">&gt;</w:t>
        </w:r>
      </w:hyperlink>
    </w:p>
    <w:p>
      <w:r>
        <w:br w:type="page"/>
      </w:r>
    </w:p>
    <w:bookmarkStart w:id="21" w:name="tables"/>
    <w:p>
      <w:pPr>
        <w:pStyle w:val="Heading1"/>
      </w:pPr>
      <w:r>
        <w:t xml:space="preserve">Tables</w:t>
      </w:r>
    </w:p>
    <w:p>
      <w:pPr>
        <w:pStyle w:val="FirstParagraph"/>
      </w:pPr>
    </w:p>
    <w:p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Lung fibroblast fluxes in 21% and 0.5% oxygen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21%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vertAlign w:val="superscript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gridSpan w:val="3"/>
            <w:tcBorders>
              <w:bottom w:val="single" w:sz="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0.5%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vertAlign w:val="superscript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ID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Reaction</w:t>
            </w:r>
          </w:p>
        </w:tc>
        <w:tc>
          <w:tcPr>
            <w:tcBorders>
              <w:bottom w:val="single" w:sz="8" w:space="0" w:color="000000"/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Flux</w:t>
            </w:r>
          </w:p>
        </w:tc>
        <w:tc>
          <w:tcPr>
            <w:tcBorders>
              <w:bottom w:val="single" w:sz="8" w:space="0" w:color="000000"/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LB</w:t>
            </w:r>
          </w:p>
        </w:tc>
        <w:tc>
          <w:tcPr>
            <w:tcBorders>
              <w:bottom w:val="single" w:sz="8" w:space="0" w:color="000000"/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UB</w:t>
            </w:r>
          </w:p>
        </w:tc>
        <w:tc>
          <w:tcPr>
            <w:tcBorders>
              <w:bottom w:val="single" w:sz="8" w:space="0" w:color="000000"/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Flux</w:t>
            </w:r>
          </w:p>
        </w:tc>
        <w:tc>
          <w:tcPr>
            <w:tcBorders>
              <w:bottom w:val="single" w:sz="8" w:space="0" w:color="000000"/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LB</w:t>
            </w:r>
          </w:p>
        </w:tc>
        <w:tc>
          <w:tcPr>
            <w:tcBorders>
              <w:bottom w:val="single" w:sz="8" w:space="0" w:color="000000"/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UB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Ratio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NET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Transport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GLUT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GLC.x -&gt; GLC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5.14e+02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5.11e+02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5.21e+02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4.41e+02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4.26e+02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4.58e+02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PYRR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PYR.x -&gt; PYR.c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7.56e+01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7.31e+01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7.96e+01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6.21e+01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5.83e+01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6.60e+01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MCT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LAC &lt;-&gt; LAC.x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9.99e+02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9.98e+02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8.91e+02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8.62e+02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9.25e+02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ALAR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ALA -&gt; ALA.x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2.25e+00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1.95e+00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2.49e+00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5.84e-01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1.10e-03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1.16e+00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GLN.x -&gt; GLN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4.15e+01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4.06e+01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4.16e+01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1.43e+01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1.26e+01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1.94e+01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GLU &lt;-&gt; GLU.x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1.62e+01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1.58e+01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1.68e+01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7.55e+00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6.88e+00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8.15e+00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ASPR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ASP -&gt; ASP.x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2.57e+00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2.53e+00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2.68e+00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1.08e+00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4.17e-01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1.69e+00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SERR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SER.x -&gt; SER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1.42e+01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1.35e+01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1.49e+01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5.49e+00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4.99e+00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6.06e+00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CYSR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CYX.x -&gt; CYS + CYS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4.41e+00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4.23e+00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4.58e+00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1.65e+00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1.32e+00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2.08e+00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GLYR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GLY -&gt; GLY.x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2.05e+00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1.90e+00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2.15e+00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2.60e-01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2.00e-02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4.92e-01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0.13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Glycolysis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HK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GLC -&gt; G6P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5.14e+02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5.11e+02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5.21e+02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4.41e+02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4.26e+02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4.58e+02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G6P &lt;-&gt; F6P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5.11e+02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4.99e+02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5.24e+02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4.23e+02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4.04e+02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4.40e+02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PFK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F6P -&gt; FBP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5.09e+02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5.00e+02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5.12e+02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4.32e+02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4.17e+02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4.49e+02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ALDO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FBP &lt;-&gt; DHAP + GAP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5.09e+02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5.00e+02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5.12e+02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4.32e+02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4.17e+02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4.49e+02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TPI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DHAP &lt;-&gt; GAP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5.08e+02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5.06e+02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5.08e+02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4.31e+02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4.15e+02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4.48e+02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GAPDH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GAP &lt;-&gt; 3PG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9.96e+02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8.69e+02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8.35e+02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9.03e+02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ENO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3PG -&gt; PEP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9.99e+02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8.68e+02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8.36e+02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9.00e+02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PEP -&gt; PYR.c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9.95e+02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8.78e+02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8.36e+02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9.21e+02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LDH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PYR.c &lt;-&gt; LAC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9.99e+02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9.98e+02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8.91e+02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8.62e+02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9.25e+02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GPT1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PYR.c &lt;-&gt; ALA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1.19e+01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9.12e+00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1.19e+01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5.55e+00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-9.08e+02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6.13e+00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GPT2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PYR.m &lt;-&gt; ALA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-2.58e+00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-4.56e+00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2.87e+00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-2.40e-03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-3.22e+01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9.11e+02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Pentose phosphate pathway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G6PD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G6P -&gt; P5P + CO2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1.26e-07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3.91e-01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1.62e+01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4.41e+00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2.89e+01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128571428.57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TK1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P5P + P5P &lt;-&gt; S7P + GAP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-9.11e-01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-9.29e-01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-8.30e-01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4.76e+00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-1.22e-01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9.62e+00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-5.23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S7P + GAP &lt;-&gt; F6P + E4P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-9.11e-01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-9.29e-01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-8.30e-01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4.76e+00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-1.22e-01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9.62e+00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-5.23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TK2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P5P + E4P &lt;-&gt; F6P + GAP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-9.11e-01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-9.29e-01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-8.30e-01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4.76e+00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-1.22e-01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9.62e+00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-5.23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Anaplerosis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PYRT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PYR.c -&gt; PYR.m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1.16e+02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1.16e+02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1.19e+02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4.42e+01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3.82e+01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9.58e+02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PYR.m + CO2 -&gt; OAC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1.88e+01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1.74e+01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1.91e+01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1.37e+01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9.82e+00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2.69e+01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PEPCK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OAC -&gt; PEP + CO2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2.56e+01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1.58e+01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2.57e+01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9.66e+00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2.60e+01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ME2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MAL -&gt; PYR.m + CO2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2.05e+00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9.51e-02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2.68e+00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2.25e+01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ME1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MAL -&gt; PYR.c + CO2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2.78e-02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2.63e+01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8.71e-05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2.52e+01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FAO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FAO -&gt; AcCoA.m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2.13e+00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6.58e-06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7.73e-01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GLDH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GLU &lt;-&gt; AKG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1.71e+01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1.56e+01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1.84e+01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9.11e-01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-6.16e-01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7.27e+00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GLN &lt;-&gt; GLU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3.78e+01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3.60e+01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3.86e+01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1.17e+01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1.01e+01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1.70e+01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0.31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Tricarboxylic acid cycle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PDH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PYR.m -&gt; AcCoA.m + CO2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1.02e+02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8.76e+01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1.15e+02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3.05e+01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2.86e+01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5.24e+01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AcCoA.m + OAC -&gt; CIT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1.02e+02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8.30e+01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1.11e+02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3.05e+01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2.88e+01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5.09e+01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IDH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CIT &lt;-&gt; AKG + CO2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2.49e+01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2.42e+01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2.53e+01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1.01e+01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8.75e+00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1.41e+01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OGDH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AKG -&gt; SUC + CO2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4.19e+01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4.01e+01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4.25e+01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1.10e+01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7.87e+00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2.02e+01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SDH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SUC &lt;-&gt; FUM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4.19e+01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4.01e+01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4.25e+01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1.10e+01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7.87e+00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2.02e+01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FH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FUM &lt;-&gt; 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4.19e+01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4.01e+01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4.25e+01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1.10e+01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7.87e+00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2.02e+01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MDH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MAL &lt;-&gt; OAC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1.17e+02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1.08e+02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1.24e+02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3.14e+01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2.62e+01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5.70e+01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OAC &lt;-&gt; ASP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8.11e+00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8.06e+00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8.23e+00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4.98e+00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4.32e+00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5.64e+00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0.61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Amino acid metabolism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3PG -&gt; SER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1.95e+00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1.63e+00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2.42e-01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1.34e-01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3.57e+01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SER &lt;-&gt; GLY + MEETHF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6.38e+00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6.22e+00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6.43e+00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3.91e+00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3.71e+00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4.10e+00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CYST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SER &lt;-&gt; CYS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-7.12e+00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-7.19e+00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-6.81e+00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-2.10e+00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-2.97e+00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-1.44e+00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SER -&gt; PYR.c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1.17e+01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1.04e+01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1.20e+01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2.82e-01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1.47e+00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CO2 + MEETHF -&gt; GLY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3.39e+00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3.35e+00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3.49e+00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1.80e+00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1.66e+00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1.93e+00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0.53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Biomass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BIOMASS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1216*AcCoA.c + 295.6*ALA + 232.4*ASP + 114.7*CO2 + 71.43*CYS + 57.14*DHAP + 142.4*G6P + 158.6*GLN + 190.1*GLU + 324.2*GLY + 125.6*MEETHF + 114.7*P5P + 217.2*SER -&gt; biomass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2.38e-02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2.34e-02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2.39e-02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1.68e-02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1.61e-02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1.75e-02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ACL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CIT -&gt; AcCoA.c + 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7.74e+01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6.29e+01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1.04e+02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2.04e+01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1.95e+01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3.71e+01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LIPS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AcCoA.c -&gt; lipid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4.84e+01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4.55e+01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4.84e+01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1.68e+01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Mixing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cPYR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0*PYR.c -&gt; PYR.ms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8.47e-01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1.42e-01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mPYR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0*PYR.m -&gt; PYR.ms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1.53e-01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8.58e-01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sPYR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PYR.ms -&gt; PYR.fix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EXCH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Transport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MCT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LAC &lt;-&gt; LAC.x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1.05e-01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1.52e+03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1.35e+03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2.41e+03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15200000000.00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GLU &lt;-&gt; GLU.x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5.10e+00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4.77e+00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5.23e+00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1.54e+00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1.11e+00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2.54e+00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0.30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Glycolysis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G6P &lt;-&gt; F6P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2.78e+05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1.77e+05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2.46e+05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ALDO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FBP &lt;-&gt; DHAP + GAP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1.43e+02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1.43e+02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1.43e+02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3.20e+02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2.79e+02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3.60e+02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TPI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DHAP &lt;-&gt; GAP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4.33e+03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4.33e+03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1.09e+04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1.70e+03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1.06e+03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3.06e+03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GAPDH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GAP &lt;-&gt; 3PG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4.42e+02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4.72e+00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4.50e+02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2.39e+02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LDH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PYR.c &lt;-&gt; LAC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1.63e+03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1.62e+03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1.80e+03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4.80e+00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3.51e+02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GPT1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PYR.c &lt;-&gt; ALA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2.61e-01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8.32e+02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9.06e+02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GPT2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PYR.m &lt;-&gt; ALA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4.21e-04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2.92e+00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1.28e-04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Pentose phosphate pathway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TK1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P5P + P5P &lt;-&gt; S7P + GAP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9.97e+04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6.27e+03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1.47e+02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6.67e+01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2.60e+02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S7P + GAP &lt;-&gt; F6P + E4P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5.93e+00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5.79e+00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6.97e+00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2.35e-04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7.54e+00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TK2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P5P + E4P &lt;-&gt; F6P + GAP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1.00e+07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9.05e+00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4.10e+00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1.43e+01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Anaplerosis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GLDH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GLU &lt;-&gt; AKG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1.52e+03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1.52e+03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7.13e+03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3.78e+02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1.93e+02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1.94e+03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GLN &lt;-&gt; GLU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3.99e-01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8.04e-01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3.84e-01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Tricarboxylic acid cycle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IDH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CIT &lt;-&gt; AKG + CO2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4.55e+00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4.03e+00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5.19e+00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2.52e+00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1.80e+00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4.50e+00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SDH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SUC &lt;-&gt; FUM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1.22e+03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7.60e+01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2.57e+01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FH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FUM &lt;-&gt; 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3.66e+05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1.95e+05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5.05e+05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3.06e+02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MDH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MAL &lt;-&gt; OAC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1.11e+03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7.88e+02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2.38e+03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1.33e+02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7.22e+01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3.25e+02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OAC &lt;-&gt; ASP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1.00e+07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4.42e+01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Amino acid metabolism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SER &lt;-&gt; GLY + MEETHF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5.10e+00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8.92e-01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5.25e+00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6.07e-07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3.32e+02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CYST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SER &lt;-&gt; CYS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1.52e-05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2.55e-04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1.46e-02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Inf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vertAlign w:val="superscript"/>
                <w:sz w:val="18"/>
                <w:szCs w:val="18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 SSR 391.7 [311.2-416.6] (95% CI, 362 DOF)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vertAlign w:val="superscript"/>
                <w:sz w:val="18"/>
                <w:szCs w:val="18"/>
                <w:color w:val="000000"/>
              </w:rPr>
              <w:t xml:space="preserve">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 SSR 334.3 [311.2-416.6] (95% CI, 362 DOF)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Lung fibroblast fluxes following DMSO and BAY treatment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DMSO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vertAlign w:val="superscript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gridSpan w:val="3"/>
            <w:tcBorders>
              <w:bottom w:val="single" w:sz="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BAY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vertAlign w:val="superscript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ID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Reaction</w:t>
            </w:r>
          </w:p>
        </w:tc>
        <w:tc>
          <w:tcPr>
            <w:tcBorders>
              <w:bottom w:val="single" w:sz="8" w:space="0" w:color="000000"/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Flux</w:t>
            </w:r>
          </w:p>
        </w:tc>
        <w:tc>
          <w:tcPr>
            <w:tcBorders>
              <w:bottom w:val="single" w:sz="8" w:space="0" w:color="000000"/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LB</w:t>
            </w:r>
          </w:p>
        </w:tc>
        <w:tc>
          <w:tcPr>
            <w:tcBorders>
              <w:bottom w:val="single" w:sz="8" w:space="0" w:color="000000"/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UB</w:t>
            </w:r>
          </w:p>
        </w:tc>
        <w:tc>
          <w:tcPr>
            <w:tcBorders>
              <w:bottom w:val="single" w:sz="8" w:space="0" w:color="000000"/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Flux</w:t>
            </w:r>
          </w:p>
        </w:tc>
        <w:tc>
          <w:tcPr>
            <w:tcBorders>
              <w:bottom w:val="single" w:sz="8" w:space="0" w:color="000000"/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LB</w:t>
            </w:r>
          </w:p>
        </w:tc>
        <w:tc>
          <w:tcPr>
            <w:tcBorders>
              <w:bottom w:val="single" w:sz="8" w:space="0" w:color="000000"/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UB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Ratio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NET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Transport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GLUT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GLC.x -&gt; GLC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6.12e+02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6.12e+02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6.12e+02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8.80e+02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8.80e+02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8.80e+02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PYRR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PYR.x -&gt; PYR.c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9.98e+01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9.95e+01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1.01e+02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6.06e+01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6.06e+01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6.06e+01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MCT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LAC &lt;-&gt; LAC.x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8.19e+02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8.17e+02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8.20e+02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1.33e+03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1.33e+03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1.33e+03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ALAR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ALA -&gt; ALA.x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2.67e+00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2.36e+00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3.29e+00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5.98e+00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5.88e+00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6.24e+00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GLN.x -&gt; GLN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3.78e+01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3.77e+01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3.79e+01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2.06e+01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2.06e+01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2.06e+01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GLU &lt;-&gt; GLU.x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1.61e+01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1.56e+01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1.62e+01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1.68e+01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1.68e+01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1.68e+01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ASPR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ASP -&gt; ASP.x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2.36e+00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2.32e+00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2.49e+00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1.80e+00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1.80e+00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1.81e+00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SERR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SER.x -&gt; SER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1.03e+01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1.03e+01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1.06e+01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2.50e+00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2.50e+00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2.50e+00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CYSR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CYX.x -&gt; CYS + CYS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2.79e+00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2.79e+00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2.95e+00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3.07e-01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3.06e-01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3.07e-01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GLYR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GLY -&gt; GLY.x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2.52e+00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2.30e+00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2.73e+00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5.52e-01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4.30e-01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7.45e-01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0.22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Glycolysis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HK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GLC -&gt; G6P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6.12e+02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6.12e+02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6.12e+02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8.80e+02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8.80e+02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8.80e+02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G6P &lt;-&gt; F6P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6.09e+02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6.08e+02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6.09e+02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8.42e+02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8.42e+02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8.42e+02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PFK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F6P -&gt; FBP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6.07e+02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6.07e+02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6.07e+02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8.65e+02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8.65e+02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8.65e+02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ALDO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FBP &lt;-&gt; DHAP + GAP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6.07e+02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6.07e+02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6.07e+02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8.65e+02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8.65e+02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8.65e+02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TPI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DHAP &lt;-&gt; GAP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6.06e+02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6.06e+02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6.06e+02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8.65e+02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8.65e+02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8.65e+02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GAPDH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GAP &lt;-&gt; 3PG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1.21e+03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1.21e+03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1.21e+03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1.74e+03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1.74e+03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1.74e+03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ENO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3PG -&gt; PEP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1.21e+03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1.21e+03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1.21e+03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1.57e+03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1.57e+03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1.57e+03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PEP -&gt; PYR.c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1.23e+03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1.19e+03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1.23e+03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1.65e+03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1.65e+03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1.65e+03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LDH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PYR.c &lt;-&gt; LAC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8.19e+02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8.17e+02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8.20e+02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1.33e+03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1.33e+03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1.33e+03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GPT1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PYR.c &lt;-&gt; ALA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9.62e+00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9.44e+00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9.62e+00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9.36e+00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9.32e+00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9.42e+00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GPT2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PYR.m &lt;-&gt; ALA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1.14e-01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2.28e-07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-1.22e-05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6.41e-04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Pentose phosphate pathway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G6PD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G6P -&gt; P5P + CO2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2.02e-02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1.08e+00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3.64e+01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3.64e+01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3.64e+01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1801.98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TK1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P5P + P5P &lt;-&gt; S7P + GAP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-9.06e-01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-9.28e-01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-9.06e-01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1.17e+01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1.17e+01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1.17e+01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-12.89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S7P + GAP &lt;-&gt; F6P + E4P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-9.06e-01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-9.28e-01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-9.06e-01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1.17e+01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1.17e+01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1.17e+01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-12.89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TK2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P5P + E4P &lt;-&gt; F6P + GAP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-9.06e-01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-9.28e-01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-9.06e-01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1.17e+01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1.17e+01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1.17e+01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-12.89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Anaplerosis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PYRT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PYR.c -&gt; PYR.m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4.99e+02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4.97e+02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4.99e+02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5.50e+02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5.50e+02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5.50e+02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PYR.m + CO2 -&gt; OAC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2.11e+01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2.07e+01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2.17e+01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9.05e+01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9.05e+01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9.05e+01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PEPCK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OAC -&gt; PEP + CO2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1.36e+01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1.36e+01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1.37e+01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8.58e+01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8.58e+01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8.58e+01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ME2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MAL -&gt; PYR.m + CO2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1.30e+01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1.28e+01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1.37e+01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9.49e-06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ME1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MAL -&gt; PYR.c + CO2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3.20e-03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1.73e+00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2.15e-05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FAO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FAO -&gt; AcCoA.m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3.48e+00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1.09e-04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8.34e-06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4.14e-02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GLDH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GLU &lt;-&gt; AKG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1.33e+01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1.31e+01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1.35e+01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-2.46e-01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-2.47e-01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-2.46e-01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-0.02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GLN &lt;-&gt; GLU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3.40e+01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3.35e+01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3.42e+01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1.88e+01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1.88e+01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1.88e+01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0.55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Tricarboxylic acid cycle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PDH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PYR.m -&gt; AcCoA.m + CO2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4.90e+02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4.90e+02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4.92e+02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4.60e+02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4.60e+02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4.60e+02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AcCoA.m + OAC -&gt; CIT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4.90e+02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4.84e+02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4.91e+02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4.60e+02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4.60e+02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4.60e+02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IDH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CIT &lt;-&gt; AKG + CO2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2.70e+01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2.70e+01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2.76e+01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1.45e+01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1.45e+01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1.45e+01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OGDH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AKG -&gt; SUC + CO2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4.03e+01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3.99e+01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4.04e+01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1.43e+01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1.43e+01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1.43e+01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SDH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SUC &lt;-&gt; FUM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4.03e+01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3.99e+01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4.04e+01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1.43e+01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1.43e+01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1.43e+01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FH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FUM &lt;-&gt; 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4.03e+01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3.99e+01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4.04e+01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1.43e+01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1.43e+01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1.43e+01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MDH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MAL &lt;-&gt; OAC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4.91e+02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4.91e+02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4.92e+02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4.60e+02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4.60e+02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4.60e+02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OAC &lt;-&gt; ASP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7.91e+00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7.76e+00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7.98e+00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4.46e+00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4.46e+00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4.46e+00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0.56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Amino acid metabolism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3PG -&gt; SER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4.03e-01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3.74e-01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5.04e-01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1.73e+02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1.73e+02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1.73e+02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429.83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SER &lt;-&gt; GLY + MEETHF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6.63e+00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6.59e+00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6.65e+00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2.85e+00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2.79e+00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2.93e+00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CYST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SER &lt;-&gt; CYS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-3.88e+00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-3.91e+00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-3.87e+00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2.03e-01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2.02e-01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2.03e-01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-0.05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SER -&gt; PYR.c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2.80e+00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2.80e+00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2.80e+00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1.70e+02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1.70e+02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1.70e+02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60.81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CO2 + MEETHF -&gt; GLY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3.63e+00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3.50e+00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3.65e+00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1.41e+00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1.30e+00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1.46e+00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0.39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Biomass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BIOMASS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1216*AcCoA.c + 295.6*ALA + 232.4*ASP + 114.7*CO2 + 71.43*CYS + 57.14*DHAP + 142.4*G6P + 158.6*GLN + 190.1*GLU + 324.2*GLY + 125.6*MEETHF + 114.7*P5P + 217.2*SER -&gt; biomass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2.39e-02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2.39e-02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2.50e-02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1.14e-02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1.14e-02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1.14e-02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ACL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CIT -&gt; AcCoA.c + 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4.63e+02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4.63e+02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4.66e+02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4.45e+02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4.45e+02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4.45e+02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LIPS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AcCoA.c -&gt; lipid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4.34e+02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4.29e+02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4.34e+02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4.32e+02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4.32e+02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4.32e+02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Mixing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cPYR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0*PYR.c -&gt; PYR.ms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9.99e-01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mPYR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0*PYR.m -&gt; PYR.ms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9.83e-04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sPYR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PYR.ms -&gt; PYR.fix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EXCH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Transport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MCT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LAC &lt;-&gt; LAC.x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6.24e-04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3.56e+00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7.11e+02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7.11e+02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7.11e+02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1139423.08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GLU &lt;-&gt; GLU.x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5.06e+00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4.82e+00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5.75e+00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3.48e+00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3.48e+00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3.48e+00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0.69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Glycolysis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G6P &lt;-&gt; F6P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1.40e+06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1.39e+06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4.31e+06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4.31e+06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4.31e+06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ALDO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FBP &lt;-&gt; DHAP + GAP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2.38e+02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2.38e+02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2.38e+02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TPI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DHAP &lt;-&gt; GAP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9.99e+06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7.57e+03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7.57e+03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7.57e+03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GAPDH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GAP &lt;-&gt; 3PG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5.81e+02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5.81e+02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7.25e+02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1.09e+02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1.07e+02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1.09e+02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LDH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PYR.c &lt;-&gt; LAC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2.65e+03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2.58e+03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2.65e+03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4.92e+01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4.91e+01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4.94e+01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GPT1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PYR.c &lt;-&gt; ALA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5.60e-02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2.45e+03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2.45e+03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2.45e+03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24500000000.00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GPT2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PYR.m &lt;-&gt; ALA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5.65e-02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1.20e-05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Pentose phosphate pathway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TK1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P5P + P5P &lt;-&gt; S7P + GAP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1.28e+06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9.01e+03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1.00e+07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S7P + GAP &lt;-&gt; F6P + E4P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8.89e+00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8.88e+00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9.53e+00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5.10e+01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5.10e+01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5.10e+01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TK2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P5P + E4P &lt;-&gt; F6P + GAP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6.93e+00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5.12e+00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6.98e+00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1.56e-04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Anaplerosis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GLDH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GLU &lt;-&gt; AKG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5.63e+03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4.43e+03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5.66e+03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GLN &lt;-&gt; GLU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1.27e+00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1.20e+00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1.50e+00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5.52e-01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5.51e-01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5.55e-01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0.43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Tricarboxylic acid cycle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IDH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CIT &lt;-&gt; AKG + CO2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3.36e+00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3.24e+00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3.92e+00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4.66e+00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4.66e+00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4.66e+00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SDH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SUC &lt;-&gt; FUM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4.30e+02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4.30e+02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1.46e+06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1.04e+04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1.04e+04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1.04e+04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FH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FUM &lt;-&gt; 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7.29e+06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4.56e+06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4.56e+06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4.56e+06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MDH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MAL &lt;-&gt; OAC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5.49e+02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5.47e+02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5.49e+02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6.30e-03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OAC &lt;-&gt; ASP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1.04e+02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1.04e+02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1.04e+02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4.76e+05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4.76e+05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4.76e+05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4576.92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Amino acid metabolism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SER &lt;-&gt; GLY + MEETHF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1.39e+00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1.37e+00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1.41e+00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1.86e+03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1.86e+03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1.86e+03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1338.13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CYST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SER &lt;-&gt; CYS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1.25e-07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4.22e-02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1.33e-01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1.33e-01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1.33e-01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1064000.00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vertAlign w:val="superscript"/>
                <w:sz w:val="18"/>
                <w:szCs w:val="18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 SSR 393.5 [311.2-416.6] (95% CI, 362 DOF)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vertAlign w:val="superscript"/>
                <w:sz w:val="18"/>
                <w:szCs w:val="18"/>
                <w:color w:val="000000"/>
              </w:rPr>
              <w:t xml:space="preserve">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 SSR 392.4 [308.4-413.4] (95% CI, 359 DOF)</w:t>
            </w:r>
          </w:p>
        </w:tc>
      </w:tr>
    </w:tbl>
    <w:bookmarkEnd w:id="21"/>
    <w:sectPr w:rsidR="00DE058C" w:rsidSect="000650CF">
      <w:pgSz w:h="15840" w:w="12240"/>
      <w:pgMar w:bottom="1440" w:footer="720" w:gutter="0" w:header="720" w:left="1080" w:right="108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1C740B0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CF6E650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21506B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80AE6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4F64036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4E400A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7304D5C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7562BB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42B1B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B3AC46F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C1AE401"/>
    <w:multiLevelType w:val="multilevel"/>
    <w:tmpl w:val="C1BCFE1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681772"/>
    <w:rPr>
      <w:rFonts w:asciiTheme="majorHAnsi" w:hAnsiTheme="majorHAnsi"/>
      <w:sz w:val="22"/>
    </w:rPr>
  </w:style>
  <w:style w:styleId="Heading1" w:type="paragraph">
    <w:name w:val="heading 1"/>
    <w:basedOn w:val="Normal"/>
    <w:next w:val="BodyText"/>
    <w:uiPriority w:val="9"/>
    <w:qFormat/>
    <w:rsid w:val="00515FCD"/>
    <w:pPr>
      <w:keepNext/>
      <w:keepLines/>
      <w:spacing w:after="0" w:before="480"/>
      <w:outlineLvl w:val="0"/>
    </w:pPr>
    <w:rPr>
      <w:rFonts w:cstheme="majorBidi" w:eastAsiaTheme="majorEastAsia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15FCD"/>
    <w:pPr>
      <w:keepNext/>
      <w:keepLines/>
      <w:spacing w:after="0" w:before="200"/>
      <w:outlineLvl w:val="1"/>
    </w:pPr>
    <w:rPr>
      <w:rFonts w:cstheme="majorBidi" w:eastAsiaTheme="majorEastAsia"/>
      <w:b/>
      <w:bCs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515FCD"/>
    <w:pPr>
      <w:keepNext/>
      <w:keepLines/>
      <w:spacing w:after="0" w:before="200"/>
      <w:outlineLvl w:val="2"/>
    </w:pPr>
    <w:rPr>
      <w:rFonts w:cstheme="majorBidi" w:eastAsiaTheme="majorEastAsia"/>
      <w:b/>
      <w:bCs/>
      <w:szCs w:val="22"/>
    </w:rPr>
  </w:style>
  <w:style w:styleId="Heading4" w:type="paragraph">
    <w:name w:val="heading 4"/>
    <w:basedOn w:val="Normal"/>
    <w:next w:val="BodyText"/>
    <w:uiPriority w:val="9"/>
    <w:unhideWhenUsed/>
    <w:qFormat/>
    <w:rsid w:val="00515FCD"/>
    <w:pPr>
      <w:keepNext/>
      <w:keepLines/>
      <w:spacing w:after="0" w:before="200"/>
      <w:outlineLvl w:val="3"/>
    </w:pPr>
    <w:rPr>
      <w:rFonts w:cstheme="majorBidi" w:eastAsiaTheme="majorEastAsia"/>
      <w:bCs/>
      <w:i/>
      <w:szCs w:val="22"/>
    </w:rPr>
  </w:style>
  <w:style w:styleId="Heading5" w:type="paragraph">
    <w:name w:val="heading 5"/>
    <w:basedOn w:val="Normal"/>
    <w:next w:val="BodyText"/>
    <w:uiPriority w:val="9"/>
    <w:unhideWhenUsed/>
    <w:qFormat/>
    <w:rsid w:val="00515FCD"/>
    <w:pPr>
      <w:keepNext/>
      <w:keepLines/>
      <w:spacing w:after="0" w:before="200"/>
      <w:outlineLvl w:val="4"/>
    </w:pPr>
    <w:rPr>
      <w:rFonts w:cstheme="majorBidi" w:eastAsiaTheme="majorEastAsia"/>
      <w:iCs/>
      <w:szCs w:val="22"/>
    </w:rPr>
  </w:style>
  <w:style w:styleId="Heading6" w:type="paragraph">
    <w:name w:val="heading 6"/>
    <w:basedOn w:val="Normal"/>
    <w:next w:val="BodyText"/>
    <w:uiPriority w:val="9"/>
    <w:unhideWhenUsed/>
    <w:qFormat/>
    <w:rsid w:val="00515FCD"/>
    <w:pPr>
      <w:keepNext/>
      <w:keepLines/>
      <w:spacing w:after="0" w:before="200"/>
      <w:outlineLvl w:val="5"/>
    </w:pPr>
    <w:rPr>
      <w:rFonts w:cstheme="majorBidi" w:eastAsiaTheme="majorEastAsia"/>
      <w:szCs w:val="22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  <w:sz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  <w:sz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  <w:sz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515FCD"/>
    <w:pPr>
      <w:keepNext/>
      <w:keepLines/>
      <w:spacing w:after="240" w:before="480"/>
      <w:jc w:val="center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681772"/>
    <w:pPr>
      <w:keepNext/>
      <w:keepLines/>
      <w:jc w:val="center"/>
    </w:pPr>
    <w:rPr>
      <w:rFonts w:asciiTheme="majorHAnsi" w:hAnsiTheme="majorHAnsi"/>
      <w:sz w:val="22"/>
    </w:rPr>
  </w:style>
  <w:style w:styleId="Date" w:type="paragraph">
    <w:name w:val="Date"/>
    <w:next w:val="BodyText"/>
    <w:qFormat/>
    <w:rsid w:val="00681772"/>
    <w:pPr>
      <w:keepNext/>
      <w:keepLines/>
      <w:jc w:val="center"/>
    </w:pPr>
    <w:rPr>
      <w:rFonts w:asciiTheme="majorHAnsi" w:hAnsiTheme="majorHAnsi"/>
      <w:sz w:val="22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663598"/>
    <w:rPr>
      <w:i w:val="0"/>
      <w:sz w:val="18"/>
    </w:rPr>
  </w:style>
  <w:style w:customStyle="1" w:styleId="Figure" w:type="paragraph">
    <w:name w:val="Figure"/>
    <w:basedOn w:val="Normal"/>
    <w:rsid w:val="00663598"/>
    <w:pPr>
      <w:jc w:val="center"/>
    </w:p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semiHidden/>
    <w:unhideWhenUsed/>
    <w:rsid w:val="008E5E5D"/>
    <w:rPr>
      <w:rFonts w:asciiTheme="minorHAnsi" w:hAnsiTheme="minorHAnsi"/>
      <w:sz w:val="18"/>
    </w:rPr>
  </w:style>
  <w:style w:customStyle="1" w:styleId="BodyTextChar" w:type="character">
    <w:name w:val="Body Text Char"/>
    <w:basedOn w:val="DefaultParagraphFont"/>
    <w:link w:val="BodyText"/>
    <w:rsid w:val="00065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woldham@bwh.harvard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woldham@bwh.harvard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Supplemental Information</dc:title>
  <dc:creator>Courtney A. Copeland1, Benjamin A. Olenchock1,2, David R. Ziehr1,4, Sarah McGarrity1,5, Jamey D. Young3, Joseph Loscalzo1, and William M. Oldham1,‡</dc:creator>
  <cp:keywords/>
  <dcterms:created xsi:type="dcterms:W3CDTF">2021-05-05T13:15:50Z</dcterms:created>
  <dcterms:modified xsi:type="dcterms:W3CDTF">2021-05-05T13:15:50Z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_main">
    <vt:lpwstr>library.bib</vt:lpwstr>
  </property>
  <property fmtid="{D5CDD505-2E9C-101B-9397-08002B2CF9AE}" pid="3" name="bibliography_software">
    <vt:lpwstr>packages.bib</vt:lpwstr>
  </property>
  <property fmtid="{D5CDD505-2E9C-101B-9397-08002B2CF9AE}" pid="4" name="compact-title">
    <vt:lpwstr>True</vt:lpwstr>
  </property>
  <property fmtid="{D5CDD505-2E9C-101B-9397-08002B2CF9AE}" pid="5" name="csl">
    <vt:lpwstr>cell-metabolism.csl</vt:lpwstr>
  </property>
  <property fmtid="{D5CDD505-2E9C-101B-9397-08002B2CF9AE}" pid="6" name="fontsize">
    <vt:lpwstr>11pt</vt:lpwstr>
  </property>
  <property fmtid="{D5CDD505-2E9C-101B-9397-08002B2CF9AE}" pid="7" name="geometry">
    <vt:lpwstr>margin = 0.75in</vt:lpwstr>
  </property>
  <property fmtid="{D5CDD505-2E9C-101B-9397-08002B2CF9AE}" pid="8" name="graphics">
    <vt:lpwstr>yes</vt:lpwstr>
  </property>
  <property fmtid="{D5CDD505-2E9C-101B-9397-08002B2CF9AE}" pid="9" name="header-includes">
    <vt:lpwstr/>
  </property>
  <property fmtid="{D5CDD505-2E9C-101B-9397-08002B2CF9AE}" pid="10" name="link-citations">
    <vt:lpwstr>yes</vt:lpwstr>
  </property>
  <property fmtid="{D5CDD505-2E9C-101B-9397-08002B2CF9AE}" pid="11" name="mainfont">
    <vt:lpwstr>Calibri</vt:lpwstr>
  </property>
  <property fmtid="{D5CDD505-2E9C-101B-9397-08002B2CF9AE}" pid="12" name="output">
    <vt:lpwstr/>
  </property>
  <property fmtid="{D5CDD505-2E9C-101B-9397-08002B2CF9AE}" pid="13" name="subtitle">
    <vt:lpwstr>Hypoxia uncouples HIF gene transcription and metabolic flux in proliferating primary cells</vt:lpwstr>
  </property>
</Properties>
</file>