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</w:t>
      </w:r>
    </w:p>
    <w:p>
      <w:pPr>
        <w:pStyle w:val="Subtitle"/>
      </w:pPr>
      <w:r>
        <w:t xml:space="preserve">Hypoxia</w:t>
      </w:r>
      <w:r>
        <w:t xml:space="preserve"> </w:t>
      </w:r>
      <w:r>
        <w:t xml:space="preserve">uncouples</w:t>
      </w:r>
      <w:r>
        <w:t xml:space="preserve"> </w:t>
      </w:r>
      <w:r>
        <w:t xml:space="preserve">HIF</w:t>
      </w:r>
      <w:r>
        <w:t xml:space="preserve"> </w:t>
      </w:r>
      <w:r>
        <w:t xml:space="preserve">gene</w:t>
      </w:r>
      <w:r>
        <w:t xml:space="preserve"> </w:t>
      </w:r>
      <w:r>
        <w:t xml:space="preserve">transcription</w:t>
      </w:r>
      <w:r>
        <w:t xml:space="preserve"> </w:t>
      </w:r>
      <w:r>
        <w:t xml:space="preserve">and</w:t>
      </w:r>
      <w:r>
        <w:t xml:space="preserve"> </w:t>
      </w:r>
      <w:r>
        <w:t xml:space="preserve">metabolic</w:t>
      </w:r>
      <w:r>
        <w:t xml:space="preserve"> </w:t>
      </w:r>
      <w:r>
        <w:t xml:space="preserve">flux</w:t>
      </w:r>
      <w:r>
        <w:t xml:space="preserve"> </w:t>
      </w:r>
      <w:r>
        <w:t xml:space="preserve">in</w:t>
      </w:r>
      <w:r>
        <w:t xml:space="preserve"> </w:t>
      </w:r>
      <w:r>
        <w:t xml:space="preserve">proliferating</w:t>
      </w:r>
      <w:r>
        <w:t xml:space="preserve"> </w:t>
      </w:r>
      <w:r>
        <w:t xml:space="preserve">primary</w:t>
      </w:r>
      <w:r>
        <w:t xml:space="preserve"> </w:t>
      </w:r>
      <w:r>
        <w:t xml:space="preserve">cells</w:t>
      </w:r>
    </w:p>
    <w:p>
      <w:pPr>
        <w:pStyle w:val="Author"/>
      </w:pPr>
      <w:r>
        <w:t xml:space="preserve">Courtney A. Copeland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Benjamin A. Olenchock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David R. Ziehr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Sarah McGarrity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Jamey D. Young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Joseph Loscalzo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William M. Oldham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‡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Medicine, Brigham and Women’s Hospital and Harvard Medical School, Boston, MA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Regeneron Pharmaceuticals, Tarrytown, NY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Departments of Chemical &amp; Biomolecular Engineering and Molecular Physiology &amp; Biophysics, Vanderbilt University, Nashville, TN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Medicine, Massachusetts General Hospital and Harvard Medical School, Boston, MA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Center for Systems Biology, School of Health Sciences, University of Iceland, Reykjavik, Iceland</w:t>
      </w:r>
    </w:p>
    <w:p>
      <w:pPr>
        <w:pStyle w:val="BodyText"/>
      </w:pPr>
      <w:r>
        <w:rPr>
          <w:vertAlign w:val="superscript"/>
        </w:rPr>
        <w:t xml:space="preserve">‡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William M. Oldham &lt;</w:t>
        </w:r>
        <w:hyperlink r:id="rId20">
          <w:r>
            <w:rPr>
              <w:rStyle w:val="Hyperlink"/>
            </w:rPr>
            <w:t xml:space="preserve">woldham@bwh.harvard.edu</w:t>
          </w:r>
        </w:hyperlink>
        <w:r>
          <w:rPr>
            <w:rStyle w:val="Hyperlink"/>
          </w:rPr>
          <w:t xml:space="preserve">&gt;</w:t>
        </w:r>
      </w:hyperlink>
    </w:p>
    <w:p>
      <w:r>
        <w:br w:type="page"/>
      </w:r>
    </w:p>
    <w:bookmarkStart w:id="21" w:name="tables"/>
    <w:p>
      <w:pPr>
        <w:pStyle w:val="Heading1"/>
      </w:pPr>
      <w:r>
        <w:t xml:space="preserve">Tables</w:t>
      </w:r>
    </w:p>
    <w:p>
      <w:pPr>
        <w:pStyle w:val="FirstParagraph"/>
      </w:pPr>
    </w:p>
    <w:p>
      <w:pPr>
        <w:pStyle w:val="TableCaption"/>
      </w:pPr>
      <w:r>
        <w:t xml:space="preserve">Table 1: Lung fibroblast fluxes in 21% and 0.5% oxygen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21%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gridSpan w:val="3"/>
            <w:tcBorders>
              <w:bottom w:val="single" w:sz="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0.5%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Reaction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Flux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UB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Flux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UB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Ratio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NET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Transport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GLC.x -&gt; GLC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PYR.x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7.31e+01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7.96e+01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6.60e+01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LAC &lt;-&gt; LAC.x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9.25e+02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ALA -&gt; ALA.x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GLN.x -&gt; GLN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GLU.x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6.88e+00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ASPR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ASP -&gt; ASP.x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SER.x -&gt; 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5.49e+00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CYX.x -&gt; CYS + CYS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 -&gt; GLY.x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2.00e-02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Glycolysis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HK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GLC -&gt; G6P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&lt;-&gt; F6P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PFK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F6P -&gt; FBP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FBP &lt;-&gt; DHAP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DHAP &lt;-&gt;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 &lt;-&gt; 3PG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ENO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3PG -&gt; PEP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PEP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8.78e+02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9.21e+02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LAC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9.25e+02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9.12e+00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-2.58e+00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-4.56e+00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-2.40e-03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-3.22e+01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Pentose phosphate pathway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-&gt; P5P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1.26e-07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128571428.57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P5P &lt;-&gt; S7P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-9.11e-01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-8.30e-01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-1.22e-01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-5.23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S7P + GAP &lt;-&gt; F6P + E4P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-9.11e-01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-8.30e-01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-1.22e-01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-5.23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E4P &lt;-&gt; F6P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-9.11e-01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-8.30e-01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-1.22e-01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-5.23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Anaplerosis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-&gt; PYR.m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3.82e+01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9.58e+02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+ CO2 -&gt;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9.82e+00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PEPCK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-&gt; PEP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-&gt; PYR.m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9.51e-02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-&gt; PYR.c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2.78e-02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8.71e-05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FAO -&gt; AcCoA.m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6.58e-06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7.73e-01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AKG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9.11e-01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-6.16e-01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7.27e+00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 &lt;-&gt; 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3.86e+01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Tricarboxylic acid cycle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-&gt; AcCoA.m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8.76e+01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AcCoA.m + OAC -&gt; CIT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&lt;-&gt; AKG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8.75e+00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OGDH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AKG -&gt; SUC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SUC &lt;-&gt; FUM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FUM &lt;-&gt;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&lt;-&gt;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3.14e+01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5.70e+01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&lt;-&gt; ASP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8.06e+00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8.23e+00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Amino acid metabolism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3PG -&gt; 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3.57e+01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GLY + MEETHF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6.38e+00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6.43e+00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CYS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-7.12e+00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-7.19e+00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-6.81e+00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-2.97e+00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-1.44e+00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CO2 + MEETHF -&gt; GLY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1216*AcCoA.c + 295.6*ALA + 232.4*ASP + 114.7*CO2 + 71.43*CYS + 57.14*DHAP + 142.4*G6P + 158.6*GLN + 190.1*GLU + 324.2*GLY + 125.6*MEETHF + 114.7*P5P + 217.2*SER -&gt; 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2.39e-02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1.61e-02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1.75e-02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-&gt; AcCoA.c +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7.74e+01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AcCoA.c -&gt; lipid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Mixing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0*PYR.c -&gt; PYR.ms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8.47e-01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0*PYR.m -&gt; PYR.ms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8.58e-01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PYR.ms -&gt; PYR.fix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EXCH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Transport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LAC &lt;-&gt; LAC.x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1.05e-01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15200000000.00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GLU.x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Glycolysis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&lt;-&gt; F6P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2.78e+05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1.77e+05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FBP &lt;-&gt; DHAP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DHAP &lt;-&gt;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1.09e+04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 &lt;-&gt; 3PG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LAC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3.51e+02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4.21e-04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2.92e+00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1.28e-04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Pentose phosphate pathway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P5P &lt;-&gt; S7P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9.97e+04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6.67e+01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S7P + GAP &lt;-&gt; F6P + E4P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5.93e+00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5.79e+00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6.97e+00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2.35e-04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E4P &lt;-&gt; F6P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Anaplerosis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AKG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7.13e+03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 &lt;-&gt; 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8.04e-01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3.84e-01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Tricarboxylic acid cycle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&lt;-&gt; AKG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SUC &lt;-&gt; FUM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7.60e+01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FUM &lt;-&gt;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1.95e+05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5.05e+05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&lt;-&gt;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7.88e+02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7.22e+01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&lt;-&gt; ASP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Amino acid metabolism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GLY + MEETHF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8.92e-01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5.25e+00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CYS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1.52e-05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2.55e-04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1.46e-02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 SSR 391.7 [311.2-416.6] (95% CI, 362 DOF)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 SSR 334.3 [311.2-416.6] (95% CI, 362 DOF)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2: Lung fibroblast fluxes following DMSO and BAY treatment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DMSO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gridSpan w:val="3"/>
            <w:tcBorders>
              <w:bottom w:val="single" w:sz="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BAY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Reaction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Flux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UB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Flux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000000"/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UB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Ratio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NET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Transport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GLC.x -&gt; GLC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PYR.x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LAC &lt;-&gt; LAC.x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8.20e+02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ALA -&gt; ALA.x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5.98e+00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GLN.x -&gt; GLN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GLU.x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ASPR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ASP -&gt; ASP.x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SER.x -&gt; 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CYX.x -&gt; CYS + CYS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2.95e+00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3.07e-01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 -&gt; GLY.x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7.45e-01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Glycolysis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HK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GLC -&gt; G6P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6.12e+02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&lt;-&gt; F6P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8.42e+02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8.42e+02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8.42e+02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PFK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F6P -&gt; FBP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FBP &lt;-&gt; DHAP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DHAP &lt;-&gt;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6.06e+02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8.65e+02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 &lt;-&gt; 3PG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1.74e+03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ENO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3PG -&gt; PEP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PEP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LAC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8.17e+02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8.20e+02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9.44e+00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9.62e+00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9.36e+00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9.32e+00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9.42e+00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2.28e-07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-1.22e-05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6.41e-04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Pentose phosphate pathway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-&gt; P5P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1801.98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P5P &lt;-&gt; S7P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-12.89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S7P + GAP &lt;-&gt; F6P + E4P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-12.89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E4P &lt;-&gt; F6P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-9.28e-01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-9.06e-01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-12.89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Anaplerosis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-&gt; PYR.m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+ CO2 -&gt;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PEPCK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-&gt; PEP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8.58e+01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-&gt; PYR.m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9.49e-06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-&gt; PYR.c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3.20e-03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2.15e-05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FAO -&gt; AcCoA.m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1.09e-04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8.34e-06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4.14e-02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AKG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-2.46e-01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-2.47e-01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-2.46e-01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 &lt;-&gt; 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Tricarboxylic acid cycle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-&gt; AcCoA.m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AcCoA.m + OAC -&gt; CIT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&lt;-&gt; AKG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1.45e+01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OGDH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AKG -&gt; SUC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SUC &lt;-&gt; FUM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FUM &lt;-&gt;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&lt;-&gt;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&lt;-&gt; ASP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7.91e+00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7.76e+00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7.98e+00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Amino acid metabolism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3PG -&gt; SER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4.03e-01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3.74e-01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429.83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GLY + MEETHF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6.63e+00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6.59e+00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6.65e+00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2.79e+00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2.93e+00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CYS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-3.88e+00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-3.91e+00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-3.87e+00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2.03e-01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-&gt; PYR.c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2.80e+00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1.70e+02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CO2 + MEETHF -&gt; GLY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3.65e+00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1216*AcCoA.c + 295.6*ALA + 232.4*ASP + 114.7*CO2 + 71.43*CYS + 57.14*DHAP + 142.4*G6P + 158.6*GLN + 190.1*GLU + 324.2*GLY + 125.6*MEETHF + 114.7*P5P + 217.2*SER -&gt; 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2.39e-02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2.39e-02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2.50e-02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1.14e-02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-&gt; AcCoA.c +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4.63e+02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4.66e+02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AcCoA.c -&gt; lipid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4.32e+02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Mixing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0*PYR.c -&gt; PYR.ms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0*PYR.m -&gt; PYR.ms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9.83e-04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sPYR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PYR.ms -&gt; PYR.fix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EXCH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Transport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LAC &lt;-&gt; LAC.x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6.24e-04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3.56e+00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7.11e+02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1139423.08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GLU.x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5.06e+00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4.82e+00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5.75e+00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3.48e+00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Glycolysis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G6P &lt;-&gt; F6P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1.40e+06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1.39e+06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4.31e+06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ALDO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FBP &lt;-&gt; DHAP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2.38e+02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DHAP &lt;-&gt;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9.99e+06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7.57e+03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GAP &lt;-&gt; 3PG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5.81e+02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7.25e+02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LAC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2.58e+03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2.65e+03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4.94e+01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PYR.c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5.60e-02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2.45e+03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24500000000.00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GPT2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PYR.m &lt;-&gt; 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5.65e-02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1.20e-05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Pentose phosphate pathway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P5P &lt;-&gt; S7P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1.28e+06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9.01e+03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1.00e+07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S7P + GAP &lt;-&gt; F6P + E4P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8.88e+00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9.53e+00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TK2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P5P + E4P &lt;-&gt; F6P + GAP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6.93e+00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5.12e+00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6.98e+00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1.56e-04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Anaplerosis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GLU &lt;-&gt; AKG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4.43e+03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5.66e+03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1.42e+03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GLN &lt;-&gt; 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1.50e+00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5.55e-01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Tricarboxylic acid cycle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CIT &lt;-&gt; AKG + CO2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3.36e+00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3.24e+00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3.92e+00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4.66e+00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SUC &lt;-&gt; FUM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4.30e+02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1.46e+06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FUM &lt;-&gt; 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7.29e+06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-Inf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4.56e+06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4.56e+06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4.56e+06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MAL &lt;-&gt; 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5.49e+02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5.47e+02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5.49e+02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1.00e-07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6.30e-03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GOT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OAC &lt;-&gt; ASP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1.04e+02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4.76e+05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4576.92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b/>
                <w:sz w:val="18"/>
                <w:szCs w:val="18"/>
                <w:color w:val="000000"/>
              </w:rPr>
              <w:t xml:space="preserve">Amino acid metabolism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GLY + MEETHF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1.39e+00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1.41e+00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1.86e+03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1338.13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CYST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SER &lt;-&gt; CYS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1.25e-07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0.00e+00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4.22e-02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1.33e-01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1.33e-01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1.33e-01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1064000.00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 SSR 393.5 [311.2-416.6] (95% CI, 362 DOF)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vertAlign w:val="superscript"/>
                <w:sz w:val="18"/>
                <w:szCs w:val="18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8"/>
                <w:szCs w:val="18"/>
                <w:color w:val="000000"/>
              </w:rPr>
              <w:t xml:space="preserve"> SSR 392.4 [308.4-413.4] (95% CI, 359 DOF)</w:t>
            </w:r>
          </w:p>
        </w:tc>
      </w:tr>
    </w:tbl>
    <w:bookmarkEnd w:id="21"/>
    <w:sectPr w:rsidR="00DE058C" w:rsidSect="000650CF">
      <w:pgSz w:h="15840" w:w="12240"/>
      <w:pgMar w:bottom="1440" w:footer="720" w:gutter="0" w:header="720" w:left="1080" w:right="108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D88639D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376B3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04C82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07A952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D90E6A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9428D3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298919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30A72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9CFE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8761A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C1BCFE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650CF"/>
    <w:rPr>
      <w:sz w:val="22"/>
    </w:rPr>
  </w:style>
  <w:style w:styleId="Heading1" w:type="paragraph">
    <w:name w:val="heading 1"/>
    <w:basedOn w:val="Normal"/>
    <w:next w:val="BodyText"/>
    <w:uiPriority w:val="9"/>
    <w:qFormat/>
    <w:rsid w:val="00515FC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szCs w:val="22"/>
    </w:rPr>
  </w:style>
  <w:style w:styleId="Heading6" w:type="paragraph">
    <w:name w:val="heading 6"/>
    <w:basedOn w:val="Normal"/>
    <w:next w:val="BodyText"/>
    <w:uiPriority w:val="9"/>
    <w:unhideWhenUsed/>
    <w:qFormat/>
    <w:rsid w:val="00515FCD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szCs w:val="2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15FC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0650CF"/>
    <w:pPr>
      <w:keepNext/>
      <w:keepLines/>
      <w:jc w:val="center"/>
    </w:pPr>
    <w:rPr>
      <w:sz w:val="22"/>
    </w:rPr>
  </w:style>
  <w:style w:styleId="Date" w:type="paragraph">
    <w:name w:val="Date"/>
    <w:next w:val="BodyText"/>
    <w:qFormat/>
    <w:rsid w:val="000650CF"/>
    <w:pPr>
      <w:keepNext/>
      <w:keepLines/>
      <w:jc w:val="center"/>
    </w:pPr>
    <w:rPr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663598"/>
    <w:rPr>
      <w:i w:val="0"/>
      <w:sz w:val="18"/>
    </w:rPr>
  </w:style>
  <w:style w:customStyle="1" w:styleId="Figure" w:type="paragraph">
    <w:name w:val="Figure"/>
    <w:basedOn w:val="Normal"/>
    <w:rsid w:val="0066359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semiHidden/>
    <w:unhideWhenUsed/>
    <w:rsid w:val="008E5E5D"/>
    <w:rPr>
      <w:rFonts w:asciiTheme="minorHAnsi" w:hAnsiTheme="minorHAnsi"/>
      <w:sz w:val="18"/>
    </w:rPr>
  </w:style>
  <w:style w:customStyle="1" w:styleId="BodyTextChar" w:type="character">
    <w:name w:val="Body Text Char"/>
    <w:basedOn w:val="DefaultParagraphFont"/>
    <w:link w:val="BodyText"/>
    <w:rsid w:val="0006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woldham@bwh.harva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woldham@bwh.harva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</dc:title>
  <dc:creator>Courtney A. Copeland1, Benjamin A. Olenchock1,2, David R. Ziehr1,4, Sarah McGarrity1,5, Jamey D. Young3, Joseph Loscalzo1, and William M. Oldham1,‡</dc:creator>
  <cp:keywords/>
  <dcterms:created xsi:type="dcterms:W3CDTF">2021-05-03T19:34:58Z</dcterms:created>
  <dcterms:modified xsi:type="dcterms:W3CDTF">2021-05-03T19:34:58Z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_main">
    <vt:lpwstr>library.bib</vt:lpwstr>
  </property>
  <property fmtid="{D5CDD505-2E9C-101B-9397-08002B2CF9AE}" pid="3" name="bibliography_software">
    <vt:lpwstr>packages.bib</vt:lpwstr>
  </property>
  <property fmtid="{D5CDD505-2E9C-101B-9397-08002B2CF9AE}" pid="4" name="compact-title">
    <vt:lpwstr>True</vt:lpwstr>
  </property>
  <property fmtid="{D5CDD505-2E9C-101B-9397-08002B2CF9AE}" pid="5" name="csl">
    <vt:lpwstr>cell-metabolism.csl</vt:lpwstr>
  </property>
  <property fmtid="{D5CDD505-2E9C-101B-9397-08002B2CF9AE}" pid="6" name="fontsize">
    <vt:lpwstr>11pt</vt:lpwstr>
  </property>
  <property fmtid="{D5CDD505-2E9C-101B-9397-08002B2CF9AE}" pid="7" name="geometry">
    <vt:lpwstr>margin = 0.75in</vt:lpwstr>
  </property>
  <property fmtid="{D5CDD505-2E9C-101B-9397-08002B2CF9AE}" pid="8" name="graphics">
    <vt:lpwstr>yes</vt:lpwstr>
  </property>
  <property fmtid="{D5CDD505-2E9C-101B-9397-08002B2CF9AE}" pid="9" name="header-includes">
    <vt:lpwstr/>
  </property>
  <property fmtid="{D5CDD505-2E9C-101B-9397-08002B2CF9AE}" pid="10" name="link-citations">
    <vt:lpwstr>yes</vt:lpwstr>
  </property>
  <property fmtid="{D5CDD505-2E9C-101B-9397-08002B2CF9AE}" pid="11" name="mainfont">
    <vt:lpwstr>Calibri</vt:lpwstr>
  </property>
  <property fmtid="{D5CDD505-2E9C-101B-9397-08002B2CF9AE}" pid="12" name="output">
    <vt:lpwstr/>
  </property>
  <property fmtid="{D5CDD505-2E9C-101B-9397-08002B2CF9AE}" pid="13" name="subtitle">
    <vt:lpwstr>Hypoxia uncouples HIF gene transcription and metabolic flux in proliferating primary cells</vt:lpwstr>
  </property>
</Properties>
</file>