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rId43.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expression</w:t>
      </w:r>
      <w:r>
        <w:t xml:space="preserve"> </w:t>
      </w:r>
      <w:r>
        <w:t xml:space="preserve">from</w:t>
      </w:r>
      <w:r>
        <w:t xml:space="preserve"> </w:t>
      </w:r>
      <w:r>
        <w:t xml:space="preserve">glycolytic</w:t>
      </w:r>
      <w:r>
        <w:t xml:space="preserve"> </w:t>
      </w:r>
      <w:r>
        <w:t xml:space="preserve">flux</w:t>
      </w:r>
      <w:r>
        <w:t xml:space="preserve"> </w:t>
      </w:r>
      <w:r>
        <w:t xml:space="preserve">in</w:t>
      </w:r>
      <w:r>
        <w:t xml:space="preserve"> </w:t>
      </w:r>
      <w:r>
        <w:t xml:space="preserve">hypoxic</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requires metabolic adaptations to sustain cellular functions that underlie numerous physiologic and pathologic processes. While many studies have explored the metabolic consequences of hypoxia in cancer models, comparatively little is known about the metabolic response of primary cells to hypoxia. Here, we performed metabolic flux analyses of proliferating human lung fibroblasts and pulmonary artery smooth muscle cells in hypoxia. Unexpectedly, glycolytic flux was decreased in hypoxic cells despite activation of the hypoxia-inducible factor (HIF) transcriptional program and increased expression of glycolytic enzymes. Pharmacologic activation of HIF with the prolyl hydroxylase (PHD) inhibitor molidustat in normoxia did increase glycolytic flux, but hypoxia abrogated this effect. Multi-omic profiling of cells treated with hypoxia or molidustat, separately or together, revealed distinct molecular responses to hypoxia and pharmacologic PHD inhibition and suggested a critical role for MYC in modulating the HIF response in hypoxia. MYC knockdown in hypoxia increased lactate efflux while MYC overexpression in normoxia blunted the effects of molidustat treatment. Together, these data suggest that other factors, including MYC, supersede the anticipated effects of HIF-dependent up-regulation of glycolytic gene expression on glycolytic flux in hypoxic proliferating primary cells.</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 MYC, pulmonary artery smooth muscle cell, lung fibroblast</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α-ketoglutarate-dependent dioxygenase enzymes that require molecular oxygen for their enzymatic activity. When oxygen tension falls, PHD activity decreases, leading to HIF-1α stabilization and activation of its associated transcriptional program. Overall, the HIF-1 transcriptional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blocked this response. These findings suggested the existence of important hypoxia-dependent regulatory mechanisms that override the metabolic consequences of HIF-1-dependent up-regulation of glycolytic gene expression in human primary cells. Transcriptomic profiling suggested a critical role for the transcription factor c-MYC (MYC) in the adaptive response to hypoxia. Using knockdown and overexpression approaches, we demonstrate that MYC attenuates HIF-driven glycolysis in hypoxia and following BAY treatment.</w:t>
      </w:r>
    </w:p>
    <w:bookmarkEnd w:id="23"/>
    <w:bookmarkStart w:id="31"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where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determined the extracellular fluxes of pyruvate and amino acids. Overall, changes were modest, with hypoxia generally decreasing the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in 0.2% oxygen (</w:t>
      </w:r>
      <w:r>
        <w:rPr>
          <w:bCs/>
          <w:b/>
        </w:rPr>
        <w:t xml:space="preserve">Figure S2</w:t>
      </w:r>
      <w:r>
        <w:t xml:space="preserve">).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based on the observed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the findings from our extracellular flux measurements, we next treated LFs with stable carbon isotopes of glucose and glutamine to measure the rate and trace the incorporation of</w:t>
      </w:r>
      <w:r>
        <w:t xml:space="preserve"> </w:t>
      </w:r>
      <w:r>
        <w:rPr>
          <w:vertAlign w:val="superscript"/>
        </w:rPr>
        <w:t xml:space="preserve">13</w:t>
      </w:r>
      <w:r>
        <w:t xml:space="preserve">C into key downstream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6</w:t>
      </w:r>
      <w:r>
        <w:t xml:space="preserve">] glucose. These data suggest decreased glucose entry into the TCA cycle</w:t>
      </w:r>
      <w:r>
        <w:t xml:space="preserve"> </w:t>
      </w:r>
      <w:r>
        <w:rPr>
          <w:iCs/>
          <w:i/>
        </w:rPr>
        <w:t xml:space="preserve">via</w:t>
      </w:r>
      <w:r>
        <w:t xml:space="preserve"> </w:t>
      </w:r>
      <w:r>
        <w:t xml:space="preserve">pyruvate dehydrogenase and no change in the activity of pyruvate carboxylase, respectively.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 but distinct from LFs studied here.</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to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was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than among the BAY-treatment groups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the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w:t>
      </w:r>
    </w:p>
    <w:bookmarkEnd w:id="29"/>
    <w:bookmarkStart w:id="30" w:name="Xae924a8cb5609344ca559cad2dc874ccbd3c6ac"/>
    <w:p>
      <w:pPr>
        <w:pStyle w:val="Heading2"/>
      </w:pPr>
      <w:r>
        <w:t xml:space="preserve">MYC antagonizes HIF-dependent glycolytic fluxes</w:t>
      </w:r>
    </w:p>
    <w:p>
      <w:pPr>
        <w:pStyle w:val="FirstParagraph"/>
      </w:pPr>
      <w:r>
        <w:t xml:space="preserve">Consistent with our bioinformatic results, immunoblotting demonstrated increased MYC protein levels in hypoxia-treated cells, but not with BAY-treatment alone, where MYC was decreased (</w:t>
      </w:r>
      <w:r>
        <w:rPr>
          <w:bCs/>
          <w:b/>
        </w:rPr>
        <w:t xml:space="preserve">Figure</w:t>
      </w:r>
      <w:r>
        <w:rPr>
          <w:bCs/>
          <w:b/>
        </w:rPr>
        <w:t xml:space="preserve"> </w:t>
      </w:r>
      <w:r>
        <w:rPr>
          <w:bCs/>
          <w:b/>
        </w:rPr>
        <w:t xml:space="preserve">7</w:t>
      </w:r>
      <w:r>
        <w:rPr>
          <w:bCs/>
          <w:b/>
        </w:rPr>
        <w:t xml:space="preserve">A-B</w:t>
      </w:r>
      <w:r>
        <w:t xml:space="preserve">). To test the hypothesis that hypoxia-induced MYC expression inhibits glycolysis in hypoxic primary cells, we first combined MYC knockdown with hypoxia treatment (</w:t>
      </w:r>
      <w:r>
        <w:rPr>
          <w:bCs/>
          <w:b/>
        </w:rPr>
        <w:t xml:space="preserve">Figure</w:t>
      </w:r>
      <w:r>
        <w:rPr>
          <w:bCs/>
          <w:b/>
        </w:rPr>
        <w:t xml:space="preserve"> </w:t>
      </w:r>
      <w:r>
        <w:rPr>
          <w:bCs/>
          <w:b/>
        </w:rPr>
        <w:t xml:space="preserve">7</w:t>
      </w:r>
      <w:r>
        <w:rPr>
          <w:bCs/>
          <w:b/>
        </w:rPr>
        <w:t xml:space="preserve">C-E</w:t>
      </w:r>
      <w:r>
        <w:t xml:space="preserve">). As expected, MYC deficient cells proliferated more slowly in normoxia and MYC was absolutely essential to sustain cell proliferation in hypoxia (</w:t>
      </w:r>
      <w:r>
        <w:rPr>
          <w:bCs/>
          <w:b/>
        </w:rPr>
        <w:t xml:space="preserve">Figure</w:t>
      </w:r>
      <w:r>
        <w:rPr>
          <w:bCs/>
          <w:b/>
        </w:rPr>
        <w:t xml:space="preserve"> </w:t>
      </w:r>
      <w:r>
        <w:rPr>
          <w:bCs/>
          <w:b/>
        </w:rPr>
        <w:t xml:space="preserve">7</w:t>
      </w:r>
      <w:r>
        <w:rPr>
          <w:bCs/>
          <w:b/>
        </w:rPr>
        <w:t xml:space="preserve">D</w:t>
      </w:r>
      <w:r>
        <w:t xml:space="preserve">). Consistent with our hypothesis, MYC knockdown cells demonstrated increased lactate efflux upon hypoxia treatment, unlike control siRNA-treated cells (</w:t>
      </w:r>
      <w:r>
        <w:rPr>
          <w:bCs/>
          <w:b/>
        </w:rPr>
        <w:t xml:space="preserve">Figure</w:t>
      </w:r>
      <w:r>
        <w:rPr>
          <w:bCs/>
          <w:b/>
        </w:rPr>
        <w:t xml:space="preserve"> </w:t>
      </w:r>
      <w:r>
        <w:rPr>
          <w:bCs/>
          <w:b/>
        </w:rPr>
        <w:t xml:space="preserve">7</w:t>
      </w:r>
      <w:r>
        <w:rPr>
          <w:bCs/>
          <w:b/>
        </w:rPr>
        <w:t xml:space="preserve">E</w:t>
      </w:r>
      <w:r>
        <w:t xml:space="preserve">). We next performed the complementary experiment to determine whether MYC overexpression could attenuate the increase in glycolysis observed with BAY treatment (</w:t>
      </w:r>
      <w:r>
        <w:rPr>
          <w:bCs/>
          <w:b/>
        </w:rPr>
        <w:t xml:space="preserve">Figure</w:t>
      </w:r>
      <w:r>
        <w:rPr>
          <w:bCs/>
          <w:b/>
        </w:rPr>
        <w:t xml:space="preserve"> </w:t>
      </w:r>
      <w:r>
        <w:rPr>
          <w:bCs/>
          <w:b/>
        </w:rPr>
        <w:t xml:space="preserve">7</w:t>
      </w:r>
      <w:r>
        <w:rPr>
          <w:bCs/>
          <w:b/>
        </w:rPr>
        <w:t xml:space="preserve">F-H</w:t>
      </w:r>
      <w:r>
        <w:t xml:space="preserve">). MYC increased the proliferation rate of DMSO-treated cells, although did not augment the proliferation rate of BAY-treated cells. As expected, MYC overexpression blocked the BAY-stimulated increase in lactate efflux. Together, these data suggest that hypoxia-induced MYC expression may be one factor that uncouples the HIF transcriptional program from glycolytic flux in proliferating primary cells.</w:t>
      </w:r>
    </w:p>
    <w:bookmarkEnd w:id="30"/>
    <w:bookmarkEnd w:id="31"/>
    <w:bookmarkStart w:id="32"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Our data indicate that hypoxia-induced MYC expression is one such regulatory mechanism. MYC is a transcription factor that regulates the expression of numerous genes involved in many biological processes, including metabolism, proliferation, apoptosis, and differentiation</w:t>
      </w:r>
      <w:r>
        <w:t xml:space="preserve"> </w:t>
      </w:r>
      <w:r>
        <w:t xml:space="preserve">(</w:t>
      </w:r>
      <w:hyperlink w:anchor="ref-dang2006">
        <w:r>
          <w:rPr>
            <w:rStyle w:val="Hyperlink"/>
          </w:rPr>
          <w:t xml:space="preserve">Dang et al., 2006</w:t>
        </w:r>
      </w:hyperlink>
      <w:r>
        <w:t xml:space="preserve">;</w:t>
      </w:r>
      <w:r>
        <w:t xml:space="preserve"> </w:t>
      </w:r>
      <w:hyperlink w:anchor="ref-li2020d">
        <w:r>
          <w:rPr>
            <w:rStyle w:val="Hyperlink"/>
          </w:rPr>
          <w:t xml:space="preserve">Li et al., 2020</w:t>
        </w:r>
      </w:hyperlink>
      <w:r>
        <w:t xml:space="preserve">;</w:t>
      </w:r>
      <w:r>
        <w:t xml:space="preserve"> </w:t>
      </w:r>
      <w:hyperlink w:anchor="ref-stine2015">
        <w:r>
          <w:rPr>
            <w:rStyle w:val="Hyperlink"/>
          </w:rPr>
          <w:t xml:space="preserve">Stine et al., 2015</w:t>
        </w:r>
      </w:hyperlink>
      <w:r>
        <w:t xml:space="preserve">)</w:t>
      </w:r>
      <w:r>
        <w:t xml:space="preserve">. As deregulated MYC activity has been associated with the majority of human cancers</w:t>
      </w:r>
      <w:r>
        <w:t xml:space="preserve"> </w:t>
      </w:r>
      <w:r>
        <w:t xml:space="preserve">(</w:t>
      </w:r>
      <w:hyperlink w:anchor="ref-vita2006">
        <w:r>
          <w:rPr>
            <w:rStyle w:val="Hyperlink"/>
          </w:rPr>
          <w:t xml:space="preserve">Vita and Henriksson, 2006</w:t>
        </w:r>
      </w:hyperlink>
      <w:r>
        <w:t xml:space="preserve">)</w:t>
      </w:r>
      <w:r>
        <w:t xml:space="preserve">, much of our understanding of MYC regulation comes from studies using cancer cell models</w:t>
      </w:r>
      <w:r>
        <w:t xml:space="preserve"> </w:t>
      </w:r>
      <w:r>
        <w:t xml:space="preserve">(</w:t>
      </w:r>
      <w:hyperlink w:anchor="ref-dang2012a">
        <w:r>
          <w:rPr>
            <w:rStyle w:val="Hyperlink"/>
          </w:rPr>
          <w:t xml:space="preserve">Dang, 2012</w:t>
        </w:r>
      </w:hyperlink>
      <w:r>
        <w:t xml:space="preserve">;</w:t>
      </w:r>
      <w:r>
        <w:t xml:space="preserve"> </w:t>
      </w:r>
      <w:hyperlink w:anchor="ref-li2020d">
        <w:r>
          <w:rPr>
            <w:rStyle w:val="Hyperlink"/>
          </w:rPr>
          <w:t xml:space="preserve">Li et al., 2020</w:t>
        </w:r>
      </w:hyperlink>
      <w:r>
        <w:t xml:space="preserve">;</w:t>
      </w:r>
      <w:r>
        <w:t xml:space="preserve"> </w:t>
      </w:r>
      <w:hyperlink w:anchor="ref-madden2021">
        <w:r>
          <w:rPr>
            <w:rStyle w:val="Hyperlink"/>
          </w:rPr>
          <w:t xml:space="preserve">Madden et al., 2021</w:t>
        </w:r>
      </w:hyperlink>
      <w:r>
        <w:t xml:space="preserve">;</w:t>
      </w:r>
      <w:r>
        <w:t xml:space="preserve"> </w:t>
      </w:r>
      <w:hyperlink w:anchor="ref-stine2015">
        <w:r>
          <w:rPr>
            <w:rStyle w:val="Hyperlink"/>
          </w:rPr>
          <w:t xml:space="preserve">Stine et al., 2015</w:t>
        </w:r>
      </w:hyperlink>
      <w:r>
        <w:t xml:space="preserve">)</w:t>
      </w:r>
      <w:r>
        <w:t xml:space="preserve">, while the role of MYC in the biology of transformed cells is less well understood. The literature describes a complex and reciprocal relationship between HIF and MYC that depends on both environmental (</w:t>
      </w:r>
      <w:r>
        <w:rPr>
          <w:iCs/>
          <w:i/>
        </w:rPr>
        <w:t xml:space="preserve">e.g.</w:t>
      </w:r>
      <w:r>
        <w:t xml:space="preserve">, hypoxia) and cellular context</w:t>
      </w:r>
      <w:r>
        <w:t xml:space="preserve"> </w:t>
      </w:r>
      <w:r>
        <w:t xml:space="preserve">(</w:t>
      </w:r>
      <w:hyperlink w:anchor="ref-li2020d">
        <w:r>
          <w:rPr>
            <w:rStyle w:val="Hyperlink"/>
          </w:rPr>
          <w:t xml:space="preserve">Li et al., 2020</w:t>
        </w:r>
      </w:hyperlink>
      <w:r>
        <w:t xml:space="preserve">)</w:t>
      </w:r>
      <w:r>
        <w:t xml:space="preserve">. Generally, HIF-1 has been observed to inhibit MYC through multiple mechanisms [koshiji2004; koshiji2005;</w:t>
      </w:r>
      <w:r>
        <w:t xml:space="preserve"> </w:t>
      </w:r>
      <w:hyperlink w:anchor="ref-gordan2007">
        <w:r>
          <w:rPr>
            <w:rStyle w:val="Hyperlink"/>
          </w:rPr>
          <w:t xml:space="preserve">Gordan et al.</w:t>
        </w:r>
      </w:hyperlink>
      <w:r>
        <w:t xml:space="preserve"> </w:t>
      </w:r>
      <w:r>
        <w:t xml:space="preserve">(</w:t>
      </w:r>
      <w:hyperlink w:anchor="ref-gordan2007">
        <w:r>
          <w:rPr>
            <w:rStyle w:val="Hyperlink"/>
          </w:rPr>
          <w:t xml:space="preserve">2007</w:t>
        </w:r>
      </w:hyperlink>
      <w:r>
        <w:t xml:space="preserve">)</w:t>
      </w:r>
      <w:r>
        <w:t xml:space="preserve">;</w:t>
      </w:r>
      <w:r>
        <w:t xml:space="preserve"> </w:t>
      </w:r>
      <w:hyperlink w:anchor="ref-zhang2007">
        <w:r>
          <w:rPr>
            <w:rStyle w:val="Hyperlink"/>
          </w:rPr>
          <w:t xml:space="preserve">Zhang et al.</w:t>
        </w:r>
      </w:hyperlink>
      <w:r>
        <w:t xml:space="preserve"> </w:t>
      </w:r>
      <w:r>
        <w:t xml:space="preserve">(</w:t>
      </w:r>
      <w:hyperlink w:anchor="ref-zhang2007">
        <w:r>
          <w:rPr>
            <w:rStyle w:val="Hyperlink"/>
          </w:rPr>
          <w:t xml:space="preserve">2007</w:t>
        </w:r>
      </w:hyperlink>
      <w:r>
        <w:t xml:space="preserve">)</w:t>
      </w:r>
      <w:r>
        <w:t xml:space="preserve">], and this previous work is consistent with our observations that HIF stabilization following BAY treatment decreased MYC protein and target gene expression. Conversely, MYC has been implicated in increased HIF activity through transcriptional and post-transcriptional mechanisms</w:t>
      </w:r>
      <w:r>
        <w:t xml:space="preserve"> </w:t>
      </w:r>
      <w:r>
        <w:t xml:space="preserve">(</w:t>
      </w:r>
      <w:hyperlink w:anchor="ref-chen2013">
        <w:r>
          <w:rPr>
            <w:rStyle w:val="Hyperlink"/>
          </w:rPr>
          <w:t xml:space="preserve">Chen et al., 2013</w:t>
        </w:r>
      </w:hyperlink>
      <w:r>
        <w:t xml:space="preserve">;</w:t>
      </w:r>
      <w:r>
        <w:t xml:space="preserve"> </w:t>
      </w:r>
      <w:hyperlink w:anchor="ref-doe2012">
        <w:r>
          <w:rPr>
            <w:rStyle w:val="Hyperlink"/>
          </w:rPr>
          <w:t xml:space="preserve">Doe et al., 2012</w:t>
        </w:r>
      </w:hyperlink>
      <w:r>
        <w:t xml:space="preserve">;</w:t>
      </w:r>
      <w:r>
        <w:t xml:space="preserve"> </w:t>
      </w:r>
      <w:hyperlink w:anchor="ref-zhang2009a">
        <w:r>
          <w:rPr>
            <w:rStyle w:val="Hyperlink"/>
          </w:rPr>
          <w:t xml:space="preserve">Zhang et al., 2009</w:t>
        </w:r>
      </w:hyperlink>
      <w:r>
        <w:t xml:space="preserve">)</w:t>
      </w:r>
      <w:r>
        <w:t xml:space="preserve">, primarily in the context of malignant transformation. The observation that MYC may antagonize the transcriptional effects of HIF to sustain primarily cell proliferation and metabolism in hypoxia suggests a substantially different regulatory relationship than has been previously described.</w:t>
      </w:r>
    </w:p>
    <w:p>
      <w:pPr>
        <w:pStyle w:val="BodyText"/>
      </w:pPr>
      <w:r>
        <w:t xml:space="preserve">Understanding how MYC transcriptional activity affects hypoxic primary cell metabolism is imperative to our understanding of cellular adaptation to hypoxia. MYC stimulates the expression of nuclear-encoded mitochondrial genes and promotes mitochondrial biogenesis, both directly and through activation of mitochondrial transcriptional factor A (TFAM)</w:t>
      </w:r>
      <w:r>
        <w:t xml:space="preserve"> </w:t>
      </w:r>
      <w:r>
        <w:t xml:space="preserve">(</w:t>
      </w:r>
      <w:hyperlink w:anchor="ref-li2005a">
        <w:r>
          <w:rPr>
            <w:rStyle w:val="Hyperlink"/>
          </w:rPr>
          <w:t xml:space="preserve">Li et al., 2005</w:t>
        </w:r>
      </w:hyperlink>
      <w:r>
        <w:t xml:space="preserve">)</w:t>
      </w:r>
      <w:r>
        <w:t xml:space="preserve">. Indeed, the oxidative phosphorylation gene set was relatively enriched with hypoxia treatment compared to BAY treatment (</w:t>
      </w:r>
      <w:r>
        <w:rPr>
          <w:bCs/>
          <w:b/>
        </w:rPr>
        <w:t xml:space="preserve">Figure</w:t>
      </w:r>
      <w:r>
        <w:rPr>
          <w:bCs/>
          <w:b/>
        </w:rPr>
        <w:t xml:space="preserve"> </w:t>
      </w:r>
      <w:r>
        <w:rPr>
          <w:bCs/>
          <w:b/>
        </w:rPr>
        <w:t xml:space="preserve">6</w:t>
      </w:r>
      <w:r>
        <w:rPr>
          <w:bCs/>
          <w:b/>
        </w:rPr>
        <w:t xml:space="preserve">D</w:t>
      </w:r>
      <w:r>
        <w:t xml:space="preserve">). In this way, hypoxic MYC activation may sustain energy production by oxidative phosphorylation, thereby decreasing the energetic demands driving increased glycolytic flux. Beyond oxidative phosphorylation, MYC targets genes involved in many other intermediary metabolic pathways, including amino acids, nucleotides, and lipids</w:t>
      </w:r>
      <w:r>
        <w:t xml:space="preserve"> </w:t>
      </w:r>
      <w:r>
        <w:t xml:space="preserve">(</w:t>
      </w:r>
      <w:hyperlink w:anchor="ref-stine2015">
        <w:r>
          <w:rPr>
            <w:rStyle w:val="Hyperlink"/>
          </w:rPr>
          <w:t xml:space="preserve">Stine et al., 2015</w:t>
        </w:r>
      </w:hyperlink>
      <w:r>
        <w:t xml:space="preserve">)</w:t>
      </w:r>
      <w:r>
        <w:t xml:space="preserve">, that may also impact the central pathways of carbon metabolism studied in this work.</w:t>
      </w:r>
    </w:p>
    <w:p>
      <w:pPr>
        <w:pStyle w:val="BodyText"/>
      </w:pPr>
      <w:r>
        <w:t xml:space="preserve">Beyond MYC, the identification of other HIF-independent mechanisms regulating primary cell adaption to hypoxia is of critical importance.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also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 Similarly, knockout of HIF signaling did not affect growth, internal metabolite concentrations, glucose consumption, or lactate production under hypoxia by human acute myeloid leukemia cells</w:t>
      </w:r>
      <w:r>
        <w:t xml:space="preserve"> </w:t>
      </w:r>
      <w:r>
        <w:t xml:space="preserve">(</w:t>
      </w:r>
      <w:hyperlink w:anchor="ref-wierenga2019">
        <w:r>
          <w:rPr>
            <w:rStyle w:val="Hyperlink"/>
          </w:rPr>
          <w:t xml:space="preserve">Wierenga et al., 2019</w:t>
        </w:r>
      </w:hyperlink>
      <w:r>
        <w:t xml:space="preserve">)</w:t>
      </w:r>
      <w:r>
        <w:t xml:space="preserve">. Together with our results, these studies highlight the need for additional research linking hypoxia-induced metabolic changes to their transcriptional and post-transcriptional regulatory mechanisms, particularly in primary cells.</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MYC uncouples an increase in HIF-dependent glycolytic gene transcription from glycolytic flux in hypoxia. Indeed, the degree of metabolic reprogramming in hypoxia was modest and suggests close coupling between proliferation and metabolism. In light of our findings, additional studies are warranted to clarify the role of HIFs in mediating the metabolic response to hypoxia, to determine how MYC activity is regulated by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2"/>
    <w:bookmarkStart w:id="33"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3"/>
    <w:bookmarkStart w:id="34"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4"/>
    <w:bookmarkStart w:id="35" w:name="declaration-of-interests"/>
    <w:p>
      <w:pPr>
        <w:pStyle w:val="Heading1"/>
      </w:pPr>
      <w:r>
        <w:t xml:space="preserve">Declaration of Interests</w:t>
      </w:r>
    </w:p>
    <w:p>
      <w:pPr>
        <w:pStyle w:val="FirstParagraph"/>
      </w:pPr>
      <w:r>
        <w:t xml:space="preserve">The authors declare no competing interests.</w:t>
      </w:r>
    </w:p>
    <w:p>
      <w:r>
        <w:br w:type="page"/>
      </w:r>
    </w:p>
    <w:bookmarkEnd w:id="35"/>
    <w:bookmarkStart w:id="36"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w:t>
      </w:r>
    </w:p>
    <w:p>
      <w:pPr>
        <w:pStyle w:val="BodyText"/>
      </w:pPr>
      <w:r>
        <w:t xml:space="preserve">Figure 7:</w:t>
      </w:r>
      <w:r>
        <w:t xml:space="preserve"> </w:t>
      </w:r>
      <w:r>
        <w:rPr>
          <w:bCs/>
          <w:b/>
        </w:rPr>
        <w:t xml:space="preserve">MYC regulates HIF-dependent glycolytic flux.</w:t>
      </w:r>
      <w:r>
        <w:t xml:space="preserve"> </w:t>
      </w:r>
      <w:r>
        <w:t xml:space="preserve">(</w:t>
      </w:r>
      <w:r>
        <w:rPr>
          <w:bCs/>
          <w:b/>
        </w:rPr>
        <w:t xml:space="preserve">A</w:t>
      </w:r>
      <w:r>
        <w:t xml:space="preserve">) Representative immunoblot of MYC protein expression in lung fibroblsts following 72 h of treatment with 0.5% oxygen or molidustat (BAY, B). (</w:t>
      </w:r>
      <w:r>
        <w:rPr>
          <w:bCs/>
          <w:b/>
        </w:rPr>
        <w:t xml:space="preserve">B</w:t>
      </w:r>
      <w:r>
        <w:t xml:space="preserve">) Quantification of immunoblots shown in (A). (</w:t>
      </w:r>
      <w:r>
        <w:rPr>
          <w:bCs/>
          <w:b/>
        </w:rPr>
        <w:t xml:space="preserve">C</w:t>
      </w:r>
      <w:r>
        <w:t xml:space="preserve">) Representative immunoblot of lung fibroblasts (LFs) treated with siRNA targeting MYC (M) demonstrating adequate protein knockdown. (</w:t>
      </w:r>
      <w:r>
        <w:rPr>
          <w:bCs/>
          <w:b/>
        </w:rPr>
        <w:t xml:space="preserve">D</w:t>
      </w:r>
      <w:r>
        <w:t xml:space="preserve">) Growth rates of MYC-knockdown cells cultured in hypoxia. (</w:t>
      </w:r>
      <w:r>
        <w:rPr>
          <w:bCs/>
          <w:b/>
        </w:rPr>
        <w:t xml:space="preserve">E</w:t>
      </w:r>
      <w:r>
        <w:t xml:space="preserve">) Lactate efflux rates of MYC-knockdown cells cultured in hypoxia. (</w:t>
      </w:r>
      <w:r>
        <w:rPr>
          <w:bCs/>
          <w:b/>
        </w:rPr>
        <w:t xml:space="preserve">F</w:t>
      </w:r>
      <w:r>
        <w:t xml:space="preserve">) Representative immunoblot of LFs treated with MYC adenovirus. (</w:t>
      </w:r>
      <w:r>
        <w:rPr>
          <w:bCs/>
          <w:b/>
        </w:rPr>
        <w:t xml:space="preserve">G</w:t>
      </w:r>
      <w:r>
        <w:t xml:space="preserve">) Growth rates of MYC overexpressing cells cultured with BAY. (</w:t>
      </w:r>
      <w:r>
        <w:rPr>
          <w:bCs/>
          <w:b/>
        </w:rPr>
        <w:t xml:space="preserve">H</w:t>
      </w:r>
      <w:r>
        <w:t xml:space="preserve">) Lactate efflux rates of MYC overexpressing cells cultured with BAY. Data are mean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w:t>
      </w:r>
      <w:r>
        <w:t xml:space="preserve"> </w:t>
      </w:r>
      <w:r>
        <w:rPr>
          <w:iCs/>
          <w:i/>
        </w:rPr>
        <w:t xml:space="preserve">t</w:t>
      </w:r>
      <w:r>
        <w:t xml:space="preserve"> </w:t>
      </w:r>
      <w:r>
        <w:t xml:space="preserve">distribution was used to determine significant differences as indicated by black * for difference within groups defined by the x-axis and colored * for differences between groups defined by the x-axis as indicated by the color with adjusted p-values &lt; 0.05 considered significant.</w:t>
      </w:r>
    </w:p>
    <w:p>
      <w:r>
        <w:br w:type="page"/>
      </w:r>
    </w:p>
    <w:bookmarkEnd w:id="36"/>
    <w:bookmarkStart w:id="44"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7"/>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8"/>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9"/>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40"/>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562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1"/>
                    <a:stretch>
                      <a:fillRect/>
                    </a:stretch>
                  </pic:blipFill>
                  <pic:spPr bwMode="auto">
                    <a:xfrm>
                      <a:off x="0" y="0"/>
                      <a:ext cx="51562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400800" cy="2816352"/>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2"/>
                    <a:stretch>
                      <a:fillRect/>
                    </a:stretch>
                  </pic:blipFill>
                  <pic:spPr bwMode="auto">
                    <a:xfrm>
                      <a:off x="0" y="0"/>
                      <a:ext cx="6400800" cy="2816352"/>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w:t>
      </w:r>
    </w:p>
    <w:p>
      <w:r>
        <w:br w:type="page"/>
      </w:r>
    </w:p>
    <w:p>
      <w:pPr>
        <w:pStyle w:val="CaptionedFigure"/>
      </w:pPr>
      <w:r>
        <w:drawing>
          <wp:inline>
            <wp:extent cx="4826000" cy="4876800"/>
            <wp:effectExtent b="0" l="0" r="0" t="0"/>
            <wp:docPr descr="Figure 7: MYC regulates HIF-dependent glycolytic flux. (A) Representative immunoblot of MYC protein expression in lung fibroblsts following 72 h of treatment with 0.5% oxygen or molidustat (BAY, B). (B) Quantification of immunoblots shown in (A). (C) Representative immunoblot of lung fibroblasts (LFs) treated with siRNA targeting MYC (M) demonstrating adequate protein knockdown. (D) Growth rates of MYC-knockdown cells cultured in hypoxia. (E) Lactate efflux rates of MYC-knockdown cells cultured in hypoxia. (F) Representative immunoblot of LFs treated with MYC adenovirus. (G) Growth rates of MYC overexpressing cells cultured with BAY. (H) Lactate efflux rates of MYC overexpressing cells cultured with BAY. Data are mean Comparisons were performed using a mixed-effects linear model with replicate as a random effect. Adjusted p-values for the indicated comparisons were determined using Tukey’s post hoc 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 t distribution was used to determine significant differences as indicated by black * for difference within groups defined by the x-axis and colored * for differences between groups defined by the x-axis as indicated by the color with adjusted p-values &lt; 0.05 considered significant." title="" id="1" name="Picture"/>
            <a:graphic>
              <a:graphicData uri="http://schemas.openxmlformats.org/drawingml/2006/picture">
                <pic:pic>
                  <pic:nvPicPr>
                    <pic:cNvPr descr="/Users/will/Dropbox%20(Partners%20HealthCare)/Copeland.2021.hypoxia.flux/manuscript/figures/m7.pdf" id="0" name="Picture"/>
                    <pic:cNvPicPr>
                      <a:picLocks noChangeArrowheads="1" noChangeAspect="1"/>
                    </pic:cNvPicPr>
                  </pic:nvPicPr>
                  <pic:blipFill>
                    <a:blip r:embed="rId43"/>
                    <a:stretch>
                      <a:fillRect/>
                    </a:stretch>
                  </pic:blipFill>
                  <pic:spPr bwMode="auto">
                    <a:xfrm>
                      <a:off x="0" y="0"/>
                      <a:ext cx="4826000" cy="48768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MYC regulates HIF-dependent glycolytic flux.</w:t>
      </w:r>
      <w:r>
        <w:t xml:space="preserve"> </w:t>
      </w:r>
      <w:r>
        <w:t xml:space="preserve">(</w:t>
      </w:r>
      <w:r>
        <w:rPr>
          <w:bCs/>
          <w:b/>
        </w:rPr>
        <w:t xml:space="preserve">A</w:t>
      </w:r>
      <w:r>
        <w:t xml:space="preserve">) Representative immunoblot of MYC protein expression in lung fibroblsts following 72 h of treatment with 0.5% oxygen or molidustat (BAY, B). (</w:t>
      </w:r>
      <w:r>
        <w:rPr>
          <w:bCs/>
          <w:b/>
        </w:rPr>
        <w:t xml:space="preserve">B</w:t>
      </w:r>
      <w:r>
        <w:t xml:space="preserve">) Quantification of immunoblots shown in (A). (</w:t>
      </w:r>
      <w:r>
        <w:rPr>
          <w:bCs/>
          <w:b/>
        </w:rPr>
        <w:t xml:space="preserve">C</w:t>
      </w:r>
      <w:r>
        <w:t xml:space="preserve">) Representative immunoblot of lung fibroblasts (LFs) treated with siRNA targeting MYC (M) demonstrating adequate protein knockdown. (</w:t>
      </w:r>
      <w:r>
        <w:rPr>
          <w:bCs/>
          <w:b/>
        </w:rPr>
        <w:t xml:space="preserve">D</w:t>
      </w:r>
      <w:r>
        <w:t xml:space="preserve">) Growth rates of MYC-knockdown cells cultured in hypoxia. (</w:t>
      </w:r>
      <w:r>
        <w:rPr>
          <w:bCs/>
          <w:b/>
        </w:rPr>
        <w:t xml:space="preserve">E</w:t>
      </w:r>
      <w:r>
        <w:t xml:space="preserve">) Lactate efflux rates of MYC-knockdown cells cultured in hypoxia. (</w:t>
      </w:r>
      <w:r>
        <w:rPr>
          <w:bCs/>
          <w:b/>
        </w:rPr>
        <w:t xml:space="preserve">F</w:t>
      </w:r>
      <w:r>
        <w:t xml:space="preserve">) Representative immunoblot of LFs treated with MYC adenovirus. (</w:t>
      </w:r>
      <w:r>
        <w:rPr>
          <w:bCs/>
          <w:b/>
        </w:rPr>
        <w:t xml:space="preserve">G</w:t>
      </w:r>
      <w:r>
        <w:t xml:space="preserve">) Growth rates of MYC overexpressing cells cultured with BAY. (</w:t>
      </w:r>
      <w:r>
        <w:rPr>
          <w:bCs/>
          <w:b/>
        </w:rPr>
        <w:t xml:space="preserve">H</w:t>
      </w:r>
      <w:r>
        <w:t xml:space="preserve">) Lactate efflux rates of MYC overexpressing cells cultured with BAY. Data are mean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indicates a significant effect of treatment, colored * indicate a significant effect of oxygen within a given treatment as indicated by the color. Data are mean ± SEM of n = 4-5 biological replicates. Comparisons were made using linear mixed effects models with treatment group as a fixed effect and biological replicate as a random effect. The multivariate</w:t>
      </w:r>
      <w:r>
        <w:t xml:space="preserve"> </w:t>
      </w:r>
      <w:r>
        <w:rPr>
          <w:iCs/>
          <w:i/>
        </w:rPr>
        <w:t xml:space="preserve">t</w:t>
      </w:r>
      <w:r>
        <w:t xml:space="preserve"> </w:t>
      </w:r>
      <w:r>
        <w:t xml:space="preserve">distribution was used to determine significant differences as indicated by black * for difference within groups defined by the x-axis and colored * for differences between groups defined by the x-axis as indicated by the color with adjusted p-values &lt; 0.05 considered significant.</w:t>
      </w:r>
    </w:p>
    <w:p>
      <w:r>
        <w:br w:type="page"/>
      </w:r>
    </w:p>
    <w:bookmarkEnd w:id="44"/>
    <w:bookmarkStart w:id="78" w:name="star-methods"/>
    <w:p>
      <w:pPr>
        <w:pStyle w:val="Heading1"/>
      </w:pPr>
      <w:r>
        <w:t xml:space="preserve">STAR Methods</w:t>
      </w:r>
    </w:p>
    <w:bookmarkStart w:id="49" w:name="resource-availability"/>
    <w:p>
      <w:pPr>
        <w:pStyle w:val="Heading2"/>
      </w:pPr>
      <w:r>
        <w:t xml:space="preserve">Resource Availability</w:t>
      </w:r>
    </w:p>
    <w:bookmarkStart w:id="45"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5"/>
    <w:bookmarkStart w:id="46" w:name="materials-availability"/>
    <w:p>
      <w:pPr>
        <w:pStyle w:val="Heading3"/>
      </w:pPr>
      <w:r>
        <w:t xml:space="preserve">Materials Availability</w:t>
      </w:r>
    </w:p>
    <w:p>
      <w:pPr>
        <w:pStyle w:val="FirstParagraph"/>
      </w:pPr>
      <w:r>
        <w:t xml:space="preserve">This study did not generate new unique reagents.</w:t>
      </w:r>
    </w:p>
    <w:bookmarkEnd w:id="46"/>
    <w:bookmarkStart w:id="48"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7">
        <w:r>
          <w:rPr>
            <w:rStyle w:val="Hyperlink"/>
          </w:rPr>
          <w:t xml:space="preserve">https://github.com/oldhamlab/Copeland.2021.hypoxia.flux</w:t>
        </w:r>
      </w:hyperlink>
      <w:r>
        <w:t xml:space="preserve">). RNA-seq data has been deposited in the NIH Short Read Archive (PRJNA721596).</w:t>
      </w:r>
    </w:p>
    <w:bookmarkEnd w:id="48"/>
    <w:bookmarkEnd w:id="49"/>
    <w:bookmarkStart w:id="52" w:name="experimental-model-details"/>
    <w:p>
      <w:pPr>
        <w:pStyle w:val="Heading2"/>
      </w:pPr>
      <w:r>
        <w:t xml:space="preserve">Experimental Model Details</w:t>
      </w:r>
    </w:p>
    <w:bookmarkStart w:id="50"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50"/>
    <w:bookmarkStart w:id="51"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51"/>
    <w:bookmarkEnd w:id="52"/>
    <w:bookmarkStart w:id="75" w:name="method-details"/>
    <w:p>
      <w:pPr>
        <w:pStyle w:val="Heading2"/>
      </w:pPr>
      <w:r>
        <w:t xml:space="preserve">Method Details</w:t>
      </w:r>
    </w:p>
    <w:bookmarkStart w:id="53"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3"/>
    <w:bookmarkStart w:id="54"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4"/>
    <w:bookmarkStart w:id="55"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5"/>
    <w:bookmarkStart w:id="56"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6"/>
    <w:bookmarkStart w:id="57"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7"/>
    <w:bookmarkStart w:id="58"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8"/>
    <w:bookmarkStart w:id="59"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9"/>
    <w:bookmarkStart w:id="60"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60"/>
    <w:bookmarkStart w:id="61" w:name="myc-knockdown"/>
    <w:p>
      <w:pPr>
        <w:pStyle w:val="Heading3"/>
      </w:pPr>
      <w:r>
        <w:t xml:space="preserve">MYC knockdown</w:t>
      </w:r>
    </w:p>
    <w:p>
      <w:pPr>
        <w:pStyle w:val="FirstParagraph"/>
      </w:pPr>
      <w:r>
        <w:t xml:space="preserve">Approximately 1.25 M lung fibroblasts were reverse transfected in 6-cm dishes with 40 pmol siMYC or non-targeting siCTL pools (Dharmacon) in 20 uL RNAiMAX (Thermo). After 24 h, cells were collected by trypsinization and re-seeded as described in</w:t>
      </w:r>
      <w:r>
        <w:t xml:space="preserve"> </w:t>
      </w:r>
      <w:r>
        <w:rPr>
          <w:iCs/>
          <w:i/>
        </w:rPr>
        <w:t xml:space="preserve">Metabolic flux protocol</w:t>
      </w:r>
      <w:r>
        <w:t xml:space="preserve"> </w:t>
      </w:r>
      <w:r>
        <w:t xml:space="preserve">above for growth rate and lactate efflux measurements.</w:t>
      </w:r>
    </w:p>
    <w:bookmarkEnd w:id="61"/>
    <w:bookmarkStart w:id="62" w:name="myc-overexpression"/>
    <w:p>
      <w:pPr>
        <w:pStyle w:val="Heading3"/>
      </w:pPr>
      <w:r>
        <w:t xml:space="preserve">MYC overexpression</w:t>
      </w:r>
    </w:p>
    <w:p>
      <w:pPr>
        <w:pStyle w:val="FirstParagraph"/>
      </w:pPr>
      <w:r>
        <w:t xml:space="preserve">Lung fibroblasts were seeded at 25,000 cells per 35 mm dish on Day -2. On Day -1, cells were transduced with adenovirus for MYC (Vector Biolabs) or YFP overexpression</w:t>
      </w:r>
      <w:r>
        <w:t xml:space="preserve"> </w:t>
      </w:r>
      <w:r>
        <w:t xml:space="preserve">(</w:t>
      </w:r>
      <w:hyperlink w:anchor="ref-RN1603">
        <w:r>
          <w:rPr>
            <w:rStyle w:val="Hyperlink"/>
          </w:rPr>
          <w:t xml:space="preserve">Oldham et al., 2015</w:t>
        </w:r>
      </w:hyperlink>
      <w:r>
        <w:t xml:space="preserve">)</w:t>
      </w:r>
      <w:r>
        <w:t xml:space="preserve">. After 24 h, the medium was changed and samples were collected as described in</w:t>
      </w:r>
      <w:r>
        <w:t xml:space="preserve"> </w:t>
      </w:r>
      <w:r>
        <w:rPr>
          <w:iCs/>
          <w:i/>
        </w:rPr>
        <w:t xml:space="preserve">Metabolic flux protocol</w:t>
      </w:r>
      <w:r>
        <w:t xml:space="preserve"> </w:t>
      </w:r>
      <w:r>
        <w:t xml:space="preserve">above.</w:t>
      </w:r>
    </w:p>
    <w:bookmarkEnd w:id="62"/>
    <w:bookmarkStart w:id="63"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3"/>
    <w:bookmarkStart w:id="69" w:name="metabolomics"/>
    <w:p>
      <w:pPr>
        <w:pStyle w:val="Heading3"/>
      </w:pPr>
      <w:r>
        <w:t xml:space="preserve">Metabolomics</w:t>
      </w:r>
    </w:p>
    <w:bookmarkStart w:id="64"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4"/>
    <w:bookmarkStart w:id="65"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5"/>
    <w:bookmarkStart w:id="67"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6">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7"/>
    <w:bookmarkStart w:id="68"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8"/>
    <w:bookmarkEnd w:id="69"/>
    <w:bookmarkStart w:id="70"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70"/>
    <w:bookmarkStart w:id="71"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71"/>
    <w:bookmarkStart w:id="72"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72"/>
    <w:bookmarkStart w:id="74"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3">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4"/>
    <w:bookmarkEnd w:id="75"/>
    <w:bookmarkStart w:id="76"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7">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6"/>
    <w:bookmarkStart w:id="77"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Bacterial and virus strains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Vector Biolabs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Oldham et al., 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 glutamine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[U-^13^C~6~]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[U-^13^C~5~]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[U-^13^C~3~]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MYC ON-TARGETplus siRNA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Dharmacon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L-003282-02-0005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ON-TARGETplus non-targeting control pool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Dharmacon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D-001810-10-05</w:t>
            </w:r>
          </w:p>
        </w:tc>
      </w:tr>
    </w:tbl>
    <w:p>
      <w:r>
        <w:br w:type="page"/>
      </w:r>
    </w:p>
    <w:bookmarkEnd w:id="77"/>
    <w:bookmarkEnd w:id="78"/>
    <w:bookmarkStart w:id="79"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9"/>
    <w:bookmarkStart w:id="159" w:name="references"/>
    <w:p>
      <w:pPr>
        <w:pStyle w:val="Heading1"/>
      </w:pPr>
      <w:r>
        <w:t xml:space="preserve">References</w:t>
      </w:r>
    </w:p>
    <w:bookmarkStart w:id="158" w:name="refs"/>
    <w:bookmarkStart w:id="80"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80"/>
    <w:bookmarkStart w:id="81"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81"/>
    <w:bookmarkStart w:id="82"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82"/>
    <w:bookmarkStart w:id="83"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83"/>
    <w:bookmarkStart w:id="84"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4"/>
    <w:bookmarkStart w:id="85" w:name="ref-chen2013"/>
    <w:p>
      <w:pPr>
        <w:pStyle w:val="Bibliography"/>
      </w:pPr>
      <w:r>
        <w:t xml:space="preserve">Chen, C., Cai, S., Wang, G., Cao, X., Yang, X., Luo, X., Feng, Y., and Hu, J. (2013). C-</w:t>
      </w:r>
      <w:r>
        <w:t xml:space="preserve">Myc</w:t>
      </w:r>
      <w:r>
        <w:t xml:space="preserve"> </w:t>
      </w:r>
      <w:r>
        <w:t xml:space="preserve">enhances colon cancer cell-mediated angiogenesis through the regulation of</w:t>
      </w:r>
      <w:r>
        <w:t xml:space="preserve"> </w:t>
      </w:r>
      <w:r>
        <w:t xml:space="preserve">HIF</w:t>
      </w:r>
      <w:r>
        <w:t xml:space="preserve">-1</w:t>
      </w:r>
      <m:oMath>
        <m:r>
          <m:t>α</m:t>
        </m:r>
      </m:oMath>
      <w:r>
        <w:t xml:space="preserve">. Biochem Biophys Res Commun</w:t>
      </w:r>
      <w:r>
        <w:t xml:space="preserve"> </w:t>
      </w:r>
      <w:r>
        <w:rPr>
          <w:iCs/>
          <w:i/>
        </w:rPr>
        <w:t xml:space="preserve">430</w:t>
      </w:r>
      <w:r>
        <w:t xml:space="preserve">, 505–511.</w:t>
      </w:r>
    </w:p>
    <w:bookmarkEnd w:id="85"/>
    <w:bookmarkStart w:id="86"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6"/>
    <w:bookmarkStart w:id="87" w:name="ref-dang2012a"/>
    <w:p>
      <w:pPr>
        <w:pStyle w:val="Bibliography"/>
      </w:pPr>
      <w:r>
        <w:t xml:space="preserve">Dang, C.V. (2012).</w:t>
      </w:r>
      <w:r>
        <w:t xml:space="preserve"> </w:t>
      </w:r>
      <w:r>
        <w:t xml:space="preserve">MYC</w:t>
      </w:r>
      <w:r>
        <w:t xml:space="preserve"> </w:t>
      </w:r>
      <w:r>
        <w:t xml:space="preserve">on the path to cancer. Cell</w:t>
      </w:r>
      <w:r>
        <w:t xml:space="preserve"> </w:t>
      </w:r>
      <w:r>
        <w:rPr>
          <w:iCs/>
          <w:i/>
        </w:rPr>
        <w:t xml:space="preserve">149</w:t>
      </w:r>
      <w:r>
        <w:t xml:space="preserve">, 22–35.</w:t>
      </w:r>
    </w:p>
    <w:bookmarkEnd w:id="87"/>
    <w:bookmarkStart w:id="88" w:name="ref-dang2006"/>
    <w:p>
      <w:pPr>
        <w:pStyle w:val="Bibliography"/>
      </w:pPr>
      <w:r>
        <w:t xml:space="preserve">Dang, C.V., O’Donnell, K.A., Zeller, K.I., Nguyen, T., Osthus, R.C., and Li, F. (2006). The c-</w:t>
      </w:r>
      <w:r>
        <w:t xml:space="preserve">Myc</w:t>
      </w:r>
      <w:r>
        <w:t xml:space="preserve"> </w:t>
      </w:r>
      <w:r>
        <w:t xml:space="preserve">target gene network. Semin Cancer Biol</w:t>
      </w:r>
      <w:r>
        <w:t xml:space="preserve"> </w:t>
      </w:r>
      <w:r>
        <w:rPr>
          <w:iCs/>
          <w:i/>
        </w:rPr>
        <w:t xml:space="preserve">16</w:t>
      </w:r>
      <w:r>
        <w:t xml:space="preserve">, 253–264.</w:t>
      </w:r>
    </w:p>
    <w:bookmarkEnd w:id="88"/>
    <w:bookmarkStart w:id="89"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9"/>
    <w:bookmarkStart w:id="90" w:name="ref-doe2012"/>
    <w:p>
      <w:pPr>
        <w:pStyle w:val="Bibliography"/>
      </w:pPr>
      <w:r>
        <w:t xml:space="preserve">Doe, M.R., Ascano, J.M., Kaur, M., and Cole, M.D. (2012). Myc posttranscriptionally induces</w:t>
      </w:r>
      <w:r>
        <w:t xml:space="preserve"> </w:t>
      </w:r>
      <w:r>
        <w:t xml:space="preserve">HIF1</w:t>
      </w:r>
      <w:r>
        <w:t xml:space="preserve"> </w:t>
      </w:r>
      <w:r>
        <w:t xml:space="preserve">protein and target gene expression in normal and cancer cells. Cancer Res</w:t>
      </w:r>
      <w:r>
        <w:t xml:space="preserve"> </w:t>
      </w:r>
      <w:r>
        <w:rPr>
          <w:iCs/>
          <w:i/>
        </w:rPr>
        <w:t xml:space="preserve">72</w:t>
      </w:r>
      <w:r>
        <w:t xml:space="preserve">, 949–957.</w:t>
      </w:r>
    </w:p>
    <w:bookmarkEnd w:id="90"/>
    <w:bookmarkStart w:id="91"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91"/>
    <w:bookmarkStart w:id="92"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92"/>
    <w:bookmarkStart w:id="93"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93"/>
    <w:bookmarkStart w:id="94"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94"/>
    <w:bookmarkStart w:id="95"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95"/>
    <w:bookmarkStart w:id="96"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96"/>
    <w:bookmarkStart w:id="97"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97"/>
    <w:bookmarkStart w:id="98"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8"/>
    <w:bookmarkStart w:id="99"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9"/>
    <w:bookmarkStart w:id="100"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100"/>
    <w:bookmarkStart w:id="101" w:name="ref-gordan2007"/>
    <w:p>
      <w:pPr>
        <w:pStyle w:val="Bibliography"/>
      </w:pPr>
      <w:r>
        <w:t xml:space="preserve">Gordan, J.D., Bertout, J.A., Hu, C.J., Diehl, J.A., and Simon, M.C. (2007).</w:t>
      </w:r>
      <w:r>
        <w:t xml:space="preserve"> </w:t>
      </w:r>
      <w:r>
        <w:t xml:space="preserve">HIF</w:t>
      </w:r>
      <w:r>
        <w:t xml:space="preserve">-2alpha promotes hypoxic cell proliferation by enhancing c-myc transcriptional activity. Cancer Cell</w:t>
      </w:r>
      <w:r>
        <w:t xml:space="preserve"> </w:t>
      </w:r>
      <w:r>
        <w:rPr>
          <w:iCs/>
          <w:i/>
        </w:rPr>
        <w:t xml:space="preserve">11</w:t>
      </w:r>
      <w:r>
        <w:t xml:space="preserve">, 335–347.</w:t>
      </w:r>
    </w:p>
    <w:bookmarkEnd w:id="101"/>
    <w:bookmarkStart w:id="102"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102"/>
    <w:bookmarkStart w:id="103"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103"/>
    <w:bookmarkStart w:id="104"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104"/>
    <w:bookmarkStart w:id="105"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105"/>
    <w:bookmarkStart w:id="106"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106"/>
    <w:bookmarkStart w:id="107"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107"/>
    <w:bookmarkStart w:id="108" w:name="ref-RN2718"/>
    <w:p>
      <w:pPr>
        <w:pStyle w:val="Bibliography"/>
      </w:pPr>
      <w:r>
        <w:t xml:space="preserve">Hui, S., Cowan, A.J., Zeng, X., Yang, L., TeSlaa, T., Li, X., Bartman, C., Zhang, Z., Jang, C., Wang, L., et al. (2020). Quantitative fluxomics of circulating metabolites. Cell Metab.</w:t>
      </w:r>
    </w:p>
    <w:bookmarkEnd w:id="108"/>
    <w:bookmarkStart w:id="109"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9"/>
    <w:bookmarkStart w:id="110"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10"/>
    <w:bookmarkStart w:id="111"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11"/>
    <w:bookmarkStart w:id="112"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12"/>
    <w:bookmarkStart w:id="113"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13"/>
    <w:bookmarkStart w:id="114"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14"/>
    <w:bookmarkStart w:id="115"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15"/>
    <w:bookmarkStart w:id="116" w:name="ref-fgsea"/>
    <w:p>
      <w:pPr>
        <w:pStyle w:val="Bibliography"/>
      </w:pPr>
      <w:r>
        <w:t xml:space="preserve">Korotkevich, G., Sukhov, V., and Sergushichev, A. (2019). Fast gene set enrichment analysis. bioRxiv.</w:t>
      </w:r>
    </w:p>
    <w:bookmarkEnd w:id="116"/>
    <w:bookmarkStart w:id="117"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17"/>
    <w:bookmarkStart w:id="118"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18"/>
    <w:bookmarkStart w:id="119"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9"/>
    <w:bookmarkStart w:id="120" w:name="ref-li2005a"/>
    <w:p>
      <w:pPr>
        <w:pStyle w:val="Bibliography"/>
      </w:pPr>
      <w:r>
        <w:t xml:space="preserve">Li, F., Wang, Y., Zeller, K.I., Potter, J.J., Wonsey, D.R., O’Donnell, K.A., Kim, J.-W., Yustein, J.T., Lee, L.A., and Dang, C.V. (2005). Myc stimulates nuclearly encoded mitochondrial genes and mitochondrial biogenesis. Mol Cell Biol</w:t>
      </w:r>
      <w:r>
        <w:t xml:space="preserve"> </w:t>
      </w:r>
      <w:r>
        <w:rPr>
          <w:iCs/>
          <w:i/>
        </w:rPr>
        <w:t xml:space="preserve">25</w:t>
      </w:r>
      <w:r>
        <w:t xml:space="preserve">, 6225–6234.</w:t>
      </w:r>
    </w:p>
    <w:bookmarkEnd w:id="120"/>
    <w:bookmarkStart w:id="121" w:name="ref-li2020d"/>
    <w:p>
      <w:pPr>
        <w:pStyle w:val="Bibliography"/>
      </w:pPr>
      <w:r>
        <w:t xml:space="preserve">Li, Y., Sun, X.-X., Qian, D.Z., and Dai, M.-S. (2020). Molecular</w:t>
      </w:r>
      <w:r>
        <w:t xml:space="preserve"> </w:t>
      </w:r>
      <w:r>
        <w:t xml:space="preserve">Crosstalk Between MYC</w:t>
      </w:r>
      <w:r>
        <w:t xml:space="preserve"> </w:t>
      </w:r>
      <w:r>
        <w:t xml:space="preserve">and</w:t>
      </w:r>
      <w:r>
        <w:t xml:space="preserve"> </w:t>
      </w:r>
      <w:r>
        <w:t xml:space="preserve">HIF</w:t>
      </w:r>
      <w:r>
        <w:t xml:space="preserve"> </w:t>
      </w:r>
      <w:r>
        <w:t xml:space="preserve">in</w:t>
      </w:r>
      <w:r>
        <w:t xml:space="preserve"> </w:t>
      </w:r>
      <w:r>
        <w:t xml:space="preserve">Cancer</w:t>
      </w:r>
      <w:r>
        <w:t xml:space="preserve">. Front Cell Dev Biol</w:t>
      </w:r>
      <w:r>
        <w:t xml:space="preserve"> </w:t>
      </w:r>
      <w:r>
        <w:rPr>
          <w:iCs/>
          <w:i/>
        </w:rPr>
        <w:t xml:space="preserve">8</w:t>
      </w:r>
      <w:r>
        <w:t xml:space="preserve">, 590576.</w:t>
      </w:r>
    </w:p>
    <w:bookmarkEnd w:id="121"/>
    <w:bookmarkStart w:id="122"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22"/>
    <w:bookmarkStart w:id="123"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23"/>
    <w:bookmarkStart w:id="124"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24"/>
    <w:bookmarkStart w:id="125"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25"/>
    <w:bookmarkStart w:id="126" w:name="ref-madden2021"/>
    <w:p>
      <w:pPr>
        <w:pStyle w:val="Bibliography"/>
      </w:pPr>
      <w:r>
        <w:t xml:space="preserve">Madden, S.K., de Araujo, A.D., Gerhardt, M., Fairlie, D.P., and Mason, J.M. (2021). Taking the</w:t>
      </w:r>
      <w:r>
        <w:t xml:space="preserve"> </w:t>
      </w:r>
      <w:r>
        <w:t xml:space="preserve">Myc</w:t>
      </w:r>
      <w:r>
        <w:t xml:space="preserve"> </w:t>
      </w:r>
      <w:r>
        <w:t xml:space="preserve">out of cancer: Toward therapeutic strategies to directly inhibit c-</w:t>
      </w:r>
      <w:r>
        <w:t xml:space="preserve">Myc</w:t>
      </w:r>
      <w:r>
        <w:t xml:space="preserve">. Molecular Cancer</w:t>
      </w:r>
      <w:r>
        <w:t xml:space="preserve"> </w:t>
      </w:r>
      <w:r>
        <w:rPr>
          <w:iCs/>
          <w:i/>
        </w:rPr>
        <w:t xml:space="preserve">20</w:t>
      </w:r>
      <w:r>
        <w:t xml:space="preserve">, 3.</w:t>
      </w:r>
    </w:p>
    <w:bookmarkEnd w:id="126"/>
    <w:bookmarkStart w:id="127"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27"/>
    <w:bookmarkStart w:id="128"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28"/>
    <w:bookmarkStart w:id="129"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29"/>
    <w:bookmarkStart w:id="130"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30"/>
    <w:bookmarkStart w:id="131"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31"/>
    <w:bookmarkStart w:id="132"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32"/>
    <w:bookmarkStart w:id="133"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33"/>
    <w:bookmarkStart w:id="134"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34"/>
    <w:bookmarkStart w:id="135"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35"/>
    <w:bookmarkStart w:id="136"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36"/>
    <w:bookmarkStart w:id="137"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37"/>
    <w:bookmarkStart w:id="138" w:name="ref-R-base"/>
    <w:p>
      <w:pPr>
        <w:pStyle w:val="Bibliography"/>
      </w:pPr>
      <w:r>
        <w:t xml:space="preserve">R Core Team (2020). R: A language and environment for statistical computing (Vienna, Austria: R Foundation for Statistical Computing).</w:t>
      </w:r>
    </w:p>
    <w:bookmarkEnd w:id="138"/>
    <w:bookmarkStart w:id="139"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39"/>
    <w:bookmarkStart w:id="140"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40"/>
    <w:bookmarkStart w:id="141"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41"/>
    <w:bookmarkStart w:id="142"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42"/>
    <w:bookmarkStart w:id="143"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43"/>
    <w:bookmarkStart w:id="144"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44"/>
    <w:bookmarkStart w:id="145" w:name="ref-stine2015"/>
    <w:p>
      <w:pPr>
        <w:pStyle w:val="Bibliography"/>
      </w:pPr>
      <w:r>
        <w:t xml:space="preserve">Stine, Z.E., Walton, Z.E., Altman, B.J., Hsieh, A.L., and Dang, C.V. (2015).</w:t>
      </w:r>
      <w:r>
        <w:t xml:space="preserve"> </w:t>
      </w:r>
      <w:r>
        <w:t xml:space="preserve">MYC</w:t>
      </w:r>
      <w:r>
        <w:t xml:space="preserve">,</w:t>
      </w:r>
      <w:r>
        <w:t xml:space="preserve"> </w:t>
      </w:r>
      <w:r>
        <w:t xml:space="preserve">Metabolism</w:t>
      </w:r>
      <w:r>
        <w:t xml:space="preserve">, and</w:t>
      </w:r>
      <w:r>
        <w:t xml:space="preserve"> </w:t>
      </w:r>
      <w:r>
        <w:t xml:space="preserve">Cancer</w:t>
      </w:r>
      <w:r>
        <w:t xml:space="preserve">. Cancer Discov</w:t>
      </w:r>
      <w:r>
        <w:t xml:space="preserve"> </w:t>
      </w:r>
      <w:r>
        <w:rPr>
          <w:iCs/>
          <w:i/>
        </w:rPr>
        <w:t xml:space="preserve">5</w:t>
      </w:r>
      <w:r>
        <w:t xml:space="preserve">, 1024–1039.</w:t>
      </w:r>
    </w:p>
    <w:bookmarkEnd w:id="145"/>
    <w:bookmarkStart w:id="146"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46"/>
    <w:bookmarkStart w:id="147"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47"/>
    <w:bookmarkStart w:id="148" w:name="ref-vita2006"/>
    <w:p>
      <w:pPr>
        <w:pStyle w:val="Bibliography"/>
      </w:pPr>
      <w:r>
        <w:t xml:space="preserve">Vita, M., and Henriksson, M. (2006). The</w:t>
      </w:r>
      <w:r>
        <w:t xml:space="preserve"> </w:t>
      </w:r>
      <w:r>
        <w:t xml:space="preserve">Myc</w:t>
      </w:r>
      <w:r>
        <w:t xml:space="preserve"> </w:t>
      </w:r>
      <w:r>
        <w:t xml:space="preserve">oncoprotein as a therapeutic target for human cancer. Semin Cancer Biol</w:t>
      </w:r>
      <w:r>
        <w:t xml:space="preserve"> </w:t>
      </w:r>
      <w:r>
        <w:rPr>
          <w:iCs/>
          <w:i/>
        </w:rPr>
        <w:t xml:space="preserve">16</w:t>
      </w:r>
      <w:r>
        <w:t xml:space="preserve">, 318–330.</w:t>
      </w:r>
    </w:p>
    <w:bookmarkEnd w:id="148"/>
    <w:bookmarkStart w:id="149" w:name="ref-wierenga2019"/>
    <w:p>
      <w:pPr>
        <w:pStyle w:val="Bibliography"/>
      </w:pPr>
      <w:r>
        <w:t xml:space="preserve">Wierenga, A.T.J., Cunningham, A., Erdem, A., Lopera, N.V., Brouwers-Vos, A.Z., Pruis, M., Mulder, A.B., Gunther, U.L., Martens, J.H.A., Vellenga, E., et al. (2019).</w:t>
      </w:r>
      <w:r>
        <w:t xml:space="preserve"> </w:t>
      </w:r>
      <w:r>
        <w:t xml:space="preserve">HIF1</w:t>
      </w:r>
      <w:r>
        <w:t xml:space="preserve">/2-exerted control over glycolytic gene expression is not functionally relevant for glycolysis in human leukemic stem/progenitor cells. Cancer Metab</w:t>
      </w:r>
      <w:r>
        <w:t xml:space="preserve"> </w:t>
      </w:r>
      <w:r>
        <w:rPr>
          <w:iCs/>
          <w:i/>
        </w:rPr>
        <w:t xml:space="preserve">7</w:t>
      </w:r>
      <w:r>
        <w:t xml:space="preserve">, 11.</w:t>
      </w:r>
    </w:p>
    <w:bookmarkEnd w:id="149"/>
    <w:bookmarkStart w:id="150"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50"/>
    <w:bookmarkStart w:id="151"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51"/>
    <w:bookmarkStart w:id="152"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52"/>
    <w:bookmarkStart w:id="153"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53"/>
    <w:bookmarkStart w:id="154"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54"/>
    <w:bookmarkStart w:id="155" w:name="ref-zhang2007"/>
    <w:p>
      <w:pPr>
        <w:pStyle w:val="Bibliography"/>
      </w:pPr>
      <w:r>
        <w:t xml:space="preserve">Zhang, H., Gao, P., Fukuda, R., Kumar, G., Krishnamachary, B., Zeller, K.I., Dang, C.V., and Semenza, G.L. (2007).</w:t>
      </w:r>
      <w:r>
        <w:t xml:space="preserve"> </w:t>
      </w:r>
      <w:r>
        <w:t xml:space="preserve">HIF</w:t>
      </w:r>
      <w:r>
        <w:t xml:space="preserve">-1</w:t>
      </w:r>
      <w:r>
        <w:t xml:space="preserve"> </w:t>
      </w:r>
      <w:r>
        <w:t xml:space="preserve">Inhibits Mitochondrial Biogenesis</w:t>
      </w:r>
      <w:r>
        <w:t xml:space="preserve"> </w:t>
      </w:r>
      <w:r>
        <w:t xml:space="preserve">and</w:t>
      </w:r>
      <w:r>
        <w:t xml:space="preserve"> </w:t>
      </w:r>
      <w:r>
        <w:t xml:space="preserve">Cellular Respiration</w:t>
      </w:r>
      <w:r>
        <w:t xml:space="preserve"> </w:t>
      </w:r>
      <w:r>
        <w:t xml:space="preserve">in</w:t>
      </w:r>
      <w:r>
        <w:t xml:space="preserve"> </w:t>
      </w:r>
      <w:r>
        <w:t xml:space="preserve">VHL</w:t>
      </w:r>
      <w:r>
        <w:t xml:space="preserve">-</w:t>
      </w:r>
      <w:r>
        <w:t xml:space="preserve">Deficient Renal Cell Carcinoma</w:t>
      </w:r>
      <w:r>
        <w:t xml:space="preserve"> </w:t>
      </w:r>
      <w:r>
        <w:t xml:space="preserve">by</w:t>
      </w:r>
      <w:r>
        <w:t xml:space="preserve"> </w:t>
      </w:r>
      <w:r>
        <w:t xml:space="preserve">Repression</w:t>
      </w:r>
      <w:r>
        <w:t xml:space="preserve"> </w:t>
      </w:r>
      <w:r>
        <w:t xml:space="preserve">of</w:t>
      </w:r>
      <w:r>
        <w:t xml:space="preserve"> </w:t>
      </w:r>
      <w:r>
        <w:t xml:space="preserve">C</w:t>
      </w:r>
      <w:r>
        <w:t xml:space="preserve">-</w:t>
      </w:r>
      <w:r>
        <w:t xml:space="preserve">MYC Activity</w:t>
      </w:r>
      <w:r>
        <w:t xml:space="preserve">. Cancer Cell</w:t>
      </w:r>
      <w:r>
        <w:t xml:space="preserve"> </w:t>
      </w:r>
      <w:r>
        <w:rPr>
          <w:iCs/>
          <w:i/>
        </w:rPr>
        <w:t xml:space="preserve">11</w:t>
      </w:r>
      <w:r>
        <w:t xml:space="preserve">, 407–420.</w:t>
      </w:r>
    </w:p>
    <w:bookmarkEnd w:id="155"/>
    <w:bookmarkStart w:id="156"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56"/>
    <w:bookmarkStart w:id="157" w:name="ref-zhang2009a"/>
    <w:p>
      <w:pPr>
        <w:pStyle w:val="Bibliography"/>
      </w:pPr>
      <w:r>
        <w:t xml:space="preserve">Zhang, J., Sattler, M., Tonon, G., Grabher, C., Lababidi, S., Zimmerhackl, A., Raab, M.S., Vallet, S., Zhou, Y., Cartron, M.-A., et al. (2009). Targeting angiogenesis via a c-</w:t>
      </w:r>
      <w:r>
        <w:t xml:space="preserve">Myc</w:t>
      </w:r>
      <w:r>
        <w:t xml:space="preserve">/hypoxia-inducible factor-1alpha-dependent pathway in multiple myeloma. Cancer Res</w:t>
      </w:r>
      <w:r>
        <w:t xml:space="preserve"> </w:t>
      </w:r>
      <w:r>
        <w:rPr>
          <w:iCs/>
          <w:i/>
        </w:rPr>
        <w:t xml:space="preserve">69</w:t>
      </w:r>
      <w:r>
        <w:t xml:space="preserve">, 5082–5090.</w:t>
      </w:r>
    </w:p>
    <w:bookmarkEnd w:id="157"/>
    <w:bookmarkEnd w:id="158"/>
    <w:bookmarkEnd w:id="159"/>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image" Id="rId43" Target="media/rId43.pdf" /><Relationship Type="http://schemas.openxmlformats.org/officeDocument/2006/relationships/hyperlink" Id="rId47" Target="https://github.com/oldhamlab/Copeland.2021.hypoxia.flux" TargetMode="External" /><Relationship Type="http://schemas.openxmlformats.org/officeDocument/2006/relationships/hyperlink" Id="rId66" Target="https://github.com/oldhamlab/mzrtools" TargetMode="External" /><Relationship Type="http://schemas.openxmlformats.org/officeDocument/2006/relationships/hyperlink" Id="rId73"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7" Target="https://github.com/oldhamlab/Copeland.2021.hypoxia.flux" TargetMode="External" /><Relationship Type="http://schemas.openxmlformats.org/officeDocument/2006/relationships/hyperlink" Id="rId66" Target="https://github.com/oldhamlab/mzrtools" TargetMode="External" /><Relationship Type="http://schemas.openxmlformats.org/officeDocument/2006/relationships/hyperlink" Id="rId73"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uncouples HIF target gene expression from glycolytic flux in hypoxic proliferating primary cells</dc:title>
  <dc:creator>Courtney A. Copeland1, Benjamin A. Olenchock1,2, David R. Ziehr1,4, Sarah McGarrity1,5, Kevin Leahy1, Jamey D. Young3, Joseph Loscalzo1, and William M. Oldham1,‡</dc:creator>
  <cp:keywords/>
  <dcterms:created xsi:type="dcterms:W3CDTF">2021-12-07T18:56:17Z</dcterms:created>
  <dcterms:modified xsi:type="dcterms:W3CDTF">2021-12-07T18:56:17Z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ies>
</file>