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stressor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increased expression of glycolytic enzymes,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HIF-1 transriptional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determinted the extracellular fluxes of pyruvate and amino acids. Overall, changes were modest, with hypoxia generally associated with decreased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 in these cells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under 0.2% oxygen culture conditions.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3</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3</w:t>
      </w:r>
      <w:r>
        <w:t xml:space="preserve">] glucose.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were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and lactate were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were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Principal component analysis revealed greater class similarity among both treatment groups cultured in 0.5% oxygen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than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suggests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where BAY decreases HDAC9 expression and increases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w:t>
      </w:r>
      <w:r>
        <w:t xml:space="preserve">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 Consistent with these bioinformatic results, immunoblotting demonstrated up-regulation of Myc protein in hypoxia-treated cells, but not with BAY-treatment alone (</w:t>
      </w:r>
      <w:r>
        <w:rPr>
          <w:bCs/>
          <w:b/>
        </w:rPr>
        <w:t xml:space="preserve">Figure</w:t>
      </w:r>
      <w:r>
        <w:rPr>
          <w:bCs/>
          <w:b/>
        </w:rPr>
        <w:t xml:space="preserve"> </w:t>
      </w:r>
      <w:r>
        <w:rPr>
          <w:bCs/>
          <w:b/>
        </w:rPr>
        <w:t xml:space="preserve">6</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reported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t>
      </w:r>
      <w:r>
        <w:t xml:space="preserve">and this is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and inhibition of E2F targets</w:t>
      </w:r>
      <w:r>
        <w:t xml:space="preserve"> </w:t>
      </w:r>
      <w:r>
        <w:t xml:space="preserve">(</w:t>
      </w:r>
      <w:hyperlink w:anchor="ref-RN3152">
        <w:r>
          <w:rPr>
            <w:rStyle w:val="Hyperlink"/>
          </w:rPr>
          <w:t xml:space="preserve">Gardner et al., 2001</w:t>
        </w:r>
      </w:hyperlink>
      <w:r>
        <w:t xml:space="preserve">)</w:t>
      </w:r>
      <w:r>
        <w:t xml:space="preserve"> </w:t>
      </w:r>
      <w:r>
        <w:t xml:space="preserve">and inhibition of pro-proliferative Myc signaling</w:t>
      </w:r>
      <w:r>
        <w:t xml:space="preserve"> </w:t>
      </w:r>
      <w:r>
        <w:t xml:space="preserve">(</w:t>
      </w:r>
      <w:hyperlink w:anchor="ref-RN3151">
        <w:r>
          <w:rPr>
            <w:rStyle w:val="Hyperlink"/>
          </w:rPr>
          <w:t xml:space="preserve">Koshiji et al., 2004</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however, the relative importance of Myc and the hypoxia-mediated mechanism of its induction remain to be elucidated in these primary cells. Clarifying the complex interactions among HIFs, Myc, and cell proliferation will be important for understanding the cellular response of these mesenchymal cells to tissue injury.</w:t>
      </w:r>
    </w:p>
    <w:p>
      <w:pPr>
        <w:pStyle w:val="BodyText"/>
      </w:pPr>
      <w:r>
        <w:t xml:space="preserve">Altogether,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clarify the role of HIFs in mediating the metabolic response to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2" w:name="figures"/>
    <w:p>
      <w:pPr>
        <w:pStyle w:val="Heading1"/>
      </w:pPr>
      <w:r>
        <w:t xml:space="preserve">Figures</w:t>
      </w:r>
    </w:p>
    <w:p>
      <w:pPr>
        <w:pStyle w:val="CaptionedFigure"/>
      </w:pPr>
      <w:r>
        <w:drawing>
          <wp:inline>
            <wp:extent cx="5257800" cy="66548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54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181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2"/>
    <w:bookmarkStart w:id="74" w:name="star-methods"/>
    <w:p>
      <w:pPr>
        <w:pStyle w:val="Heading1"/>
      </w:pPr>
      <w:r>
        <w:t xml:space="preserve">STAR Methods</w:t>
      </w:r>
    </w:p>
    <w:bookmarkStart w:id="47" w:name="resource-availability"/>
    <w:p>
      <w:pPr>
        <w:pStyle w:val="Heading2"/>
      </w:pPr>
      <w:r>
        <w:t xml:space="preserve">Resource Availability</w:t>
      </w:r>
    </w:p>
    <w:bookmarkStart w:id="43"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3"/>
    <w:bookmarkStart w:id="44" w:name="materials-availability"/>
    <w:p>
      <w:pPr>
        <w:pStyle w:val="Heading3"/>
      </w:pPr>
      <w:r>
        <w:t xml:space="preserve">Materials Availability</w:t>
      </w:r>
    </w:p>
    <w:p>
      <w:pPr>
        <w:pStyle w:val="FirstParagraph"/>
      </w:pPr>
      <w:r>
        <w:t xml:space="preserve">This study did not generate new unique reagents.</w:t>
      </w:r>
    </w:p>
    <w:bookmarkEnd w:id="44"/>
    <w:bookmarkStart w:id="46"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5">
        <w:r>
          <w:rPr>
            <w:rStyle w:val="Hyperlink"/>
          </w:rPr>
          <w:t xml:space="preserve">https://github.com/oldhamlab/Copeland.2021.hypoxia.flux</w:t>
        </w:r>
      </w:hyperlink>
      <w:r>
        <w:t xml:space="preserve">). RNA-seq data has been deposited in the NIH Short Read Archive (PRJNA721596).</w:t>
      </w:r>
    </w:p>
    <w:bookmarkEnd w:id="46"/>
    <w:bookmarkEnd w:id="47"/>
    <w:bookmarkStart w:id="50" w:name="experimental-model-details"/>
    <w:p>
      <w:pPr>
        <w:pStyle w:val="Heading2"/>
      </w:pPr>
      <w:r>
        <w:t xml:space="preserve">Experimental Model Details</w:t>
      </w:r>
    </w:p>
    <w:bookmarkStart w:id="48"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8"/>
    <w:bookmarkStart w:id="49"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49"/>
    <w:bookmarkEnd w:id="50"/>
    <w:bookmarkStart w:id="71" w:name="method-details"/>
    <w:p>
      <w:pPr>
        <w:pStyle w:val="Heading2"/>
      </w:pPr>
      <w:r>
        <w:t xml:space="preserve">Method Details</w:t>
      </w:r>
    </w:p>
    <w:bookmarkStart w:id="51"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1"/>
    <w:bookmarkStart w:id="52"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2"/>
    <w:bookmarkStart w:id="53"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3"/>
    <w:bookmarkStart w:id="54"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4"/>
    <w:bookmarkStart w:id="55"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5"/>
    <w:bookmarkStart w:id="56"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6"/>
    <w:bookmarkStart w:id="57"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7"/>
    <w:bookmarkStart w:id="58"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8"/>
    <w:bookmarkStart w:id="59"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59"/>
    <w:bookmarkStart w:id="65" w:name="metabolomics"/>
    <w:p>
      <w:pPr>
        <w:pStyle w:val="Heading3"/>
      </w:pPr>
      <w:r>
        <w:t xml:space="preserve">Metabolomics</w:t>
      </w:r>
    </w:p>
    <w:bookmarkStart w:id="60"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0"/>
    <w:bookmarkStart w:id="61"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1"/>
    <w:bookmarkStart w:id="63"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2">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3"/>
    <w:bookmarkStart w:id="64"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4"/>
    <w:bookmarkEnd w:id="65"/>
    <w:bookmarkStart w:id="66"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6"/>
    <w:bookmarkStart w:id="67"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7"/>
    <w:bookmarkStart w:id="68"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8"/>
    <w:bookmarkStart w:id="70"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69">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0"/>
    <w:bookmarkEnd w:id="71"/>
    <w:bookmarkStart w:id="72"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5">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2"/>
    <w:bookmarkStart w:id="73"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3"/>
    <w:bookmarkEnd w:id="74"/>
    <w:bookmarkStart w:id="75"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75"/>
    <w:bookmarkStart w:id="142" w:name="references"/>
    <w:p>
      <w:pPr>
        <w:pStyle w:val="Heading1"/>
      </w:pPr>
      <w:r>
        <w:t xml:space="preserve">References</w:t>
      </w:r>
    </w:p>
    <w:bookmarkStart w:id="141" w:name="refs"/>
    <w:bookmarkStart w:id="76"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6"/>
    <w:bookmarkStart w:id="77"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7"/>
    <w:bookmarkStart w:id="78"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8"/>
    <w:bookmarkStart w:id="79"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79"/>
    <w:bookmarkStart w:id="80"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0"/>
    <w:bookmarkStart w:id="81"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1"/>
    <w:bookmarkStart w:id="82"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2"/>
    <w:bookmarkStart w:id="83"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1"/>
    <w:bookmarkStart w:id="92"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2"/>
    <w:bookmarkStart w:id="93"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3"/>
    <w:bookmarkStart w:id="94"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4"/>
    <w:bookmarkStart w:id="95"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5"/>
    <w:bookmarkStart w:id="96"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96"/>
    <w:bookmarkStart w:id="97"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97"/>
    <w:bookmarkStart w:id="98"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98"/>
    <w:bookmarkStart w:id="99" w:name="ref-RN2718"/>
    <w:p>
      <w:pPr>
        <w:pStyle w:val="Bibliography"/>
      </w:pPr>
      <w:r>
        <w:t xml:space="preserve">Hui, S., Cowan, A.J., Zeng, X., Yang, L., TeSlaa, T., Li, X., Bartman, C., Zhang, Z., Jang, C., Wang, L., et al. (2020). Quantitative fluxomics of circulating metabolites. Cell Metab.</w:t>
      </w:r>
    </w:p>
    <w:bookmarkEnd w:id="99"/>
    <w:bookmarkStart w:id="100"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0"/>
    <w:bookmarkStart w:id="101"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01"/>
    <w:bookmarkStart w:id="102"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02"/>
    <w:bookmarkStart w:id="103"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03"/>
    <w:bookmarkStart w:id="104"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4"/>
    <w:bookmarkStart w:id="105"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5"/>
    <w:bookmarkStart w:id="106"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6"/>
    <w:bookmarkStart w:id="107" w:name="ref-fgsea"/>
    <w:p>
      <w:pPr>
        <w:pStyle w:val="Bibliography"/>
      </w:pPr>
      <w:r>
        <w:t xml:space="preserve">Korotkevich, G., Sukhov, V., and Sergushichev, A. (2019). Fast gene set enrichment analysis. bioRxiv.</w:t>
      </w:r>
    </w:p>
    <w:bookmarkEnd w:id="107"/>
    <w:bookmarkStart w:id="108"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08"/>
    <w:bookmarkStart w:id="109"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9"/>
    <w:bookmarkStart w:id="110"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0"/>
    <w:bookmarkStart w:id="111"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11"/>
    <w:bookmarkStart w:id="112"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12"/>
    <w:bookmarkStart w:id="113"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13"/>
    <w:bookmarkStart w:id="114"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14"/>
    <w:bookmarkStart w:id="115"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5"/>
    <w:bookmarkStart w:id="116"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6"/>
    <w:bookmarkStart w:id="117"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7"/>
    <w:bookmarkStart w:id="118"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18"/>
    <w:bookmarkStart w:id="119"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9"/>
    <w:bookmarkStart w:id="120"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20"/>
    <w:bookmarkStart w:id="121"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21"/>
    <w:bookmarkStart w:id="122"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22"/>
    <w:bookmarkStart w:id="123"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23"/>
    <w:bookmarkStart w:id="124"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24"/>
    <w:bookmarkStart w:id="125"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25"/>
    <w:bookmarkStart w:id="126" w:name="ref-R-base"/>
    <w:p>
      <w:pPr>
        <w:pStyle w:val="Bibliography"/>
      </w:pPr>
      <w:r>
        <w:t xml:space="preserve">R Core Team (2020). R: A language and environment for statistical computing (Vienna, Austria: R Foundation for Statistical Computing).</w:t>
      </w:r>
    </w:p>
    <w:bookmarkEnd w:id="126"/>
    <w:bookmarkStart w:id="127"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27"/>
    <w:bookmarkStart w:id="128"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8"/>
    <w:bookmarkStart w:id="129"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9"/>
    <w:bookmarkStart w:id="130"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0"/>
    <w:bookmarkStart w:id="131"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31"/>
    <w:bookmarkStart w:id="132"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32"/>
    <w:bookmarkStart w:id="133"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33"/>
    <w:bookmarkStart w:id="134"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34"/>
    <w:bookmarkStart w:id="135"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35"/>
    <w:bookmarkStart w:id="136"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36"/>
    <w:bookmarkStart w:id="137"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7"/>
    <w:bookmarkStart w:id="138"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8"/>
    <w:bookmarkStart w:id="139"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9"/>
    <w:bookmarkStart w:id="140"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40"/>
    <w:bookmarkEnd w:id="141"/>
    <w:bookmarkEnd w:id="142"/>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2021-09-03T16:55:23Z</dcterms:created>
  <dcterms:modified xsi:type="dcterms:W3CDTF">2021-09-03T16:55:23Z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