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stressor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increased expression of glycolytic enzymes,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separately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with their associated energetic and metabolic demands, even in the face of limited oxygen availability, or hypoxia. Metazoan cells depend on aerobic respiration to meet cellular energy needs.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α-ketoglutrate-dependent dioxygenase enzymes that require molecular oxygen for their enzymatic activity. When oxygen tension falls, PHD activity decreases, leading to HIF-1α stabilization and activation of its associated transcriptional program. Overall, the HIF-1 transriptional program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 yielding important insights into the metabolic pathobiology of cancer</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here we have developed models of bioenergetic carbon flux in human lung fibroblasts (LFs) and pulmonary artery smooth muscle cells (PASMCs) cultured in 21% or 0.5% oxygen.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human lung diseases where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K, E-H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pPr>
        <w:pStyle w:val="BodyText"/>
      </w:pPr>
      <w:r>
        <w:t xml:space="preserve">In addition to glucose and lactate, we also determinted the extracellular fluxes of pyruvate and amino acids. Overall, changes were modest, with hypoxia generally associated with decreased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 in these cells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under 0.2% oxygen culture conditions.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D-H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glutamate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our findings from extracellular flux measurements, we next treated LFs with stable carbon isotopes of glucose and glutamine to measure the rate and trace the incorporation of label into key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3</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3</w:t>
      </w:r>
      <w:r>
        <w:t xml:space="preserve">] glucose.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as hypoxia in decreasing serine and glutamine incorporation. Metabolite fluxes in DMSO-treated cells were similar to 21% oxygen controls.</w:t>
      </w:r>
    </w:p>
    <w:p>
      <w:pPr>
        <w:pStyle w:val="BodyText"/>
      </w:pPr>
      <w:r>
        <w:t xml:space="preserve">In normoxia, the magnitude of intracellular metabolite fluxes were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is similar to a prior report of glutamine-driven oxidative phosphorylation in hypoxic cancer cells</w:t>
      </w:r>
      <w:r>
        <w:t xml:space="preserve"> </w:t>
      </w:r>
      <w:r>
        <w:t xml:space="preserve">(</w:t>
      </w:r>
      <w:hyperlink w:anchor="ref-RN528">
        <w:r>
          <w:rPr>
            <w:rStyle w:val="Hyperlink"/>
          </w:rPr>
          <w:t xml:space="preserve">Fan et al., 2013</w:t>
        </w:r>
      </w:hyperlink>
      <w:r>
        <w:t xml:space="preserve">)</w:t>
      </w:r>
      <w:r>
        <w:t xml:space="preserve">, although glycolysis was also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in normoxia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2017a</w:t>
        </w:r>
      </w:hyperlink>
      <w:r>
        <w:t xml:space="preserve">,</w:t>
      </w:r>
      <w:r>
        <w:t xml:space="preserve"> </w:t>
      </w:r>
      <w:hyperlink w:anchor="ref-RN2718">
        <w:r>
          <w:rPr>
            <w:rStyle w:val="Hyperlink"/>
          </w:rPr>
          <w:t xml:space="preserve">2020</w:t>
        </w:r>
      </w:hyperlink>
      <w:r>
        <w:t xml:space="preserve">)</w:t>
      </w:r>
      <w:r>
        <w:t xml:space="preserve">. With hypoxia or BAY treatment, we observed increased labeling of the TCA metabolites citrate (CIT), α-ketoglutarate (AKG), malate (MAL), and aspartate (ASP) in LFs. Interestingly, although increased labeling of pyruvate and lactate were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were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decreased metabolite with both treatments, consistent with prior reports demonstrating an important role for HIF-1 regulation of aspartate biosynthesis in cancer cells</w:t>
      </w:r>
      <w:r>
        <w:t xml:space="preserve"> </w:t>
      </w:r>
      <w:r>
        <w:t xml:space="preserve">(</w:t>
      </w:r>
      <w:hyperlink w:anchor="ref-RN634">
        <w:r>
          <w:rPr>
            <w:rStyle w:val="Hyperlink"/>
          </w:rPr>
          <w:t xml:space="preserve">Garcia-Bermudez et al., 2018</w:t>
        </w:r>
      </w:hyperlink>
      <w:r>
        <w:t xml:space="preserve">;</w:t>
      </w:r>
      <w:r>
        <w:t xml:space="preserve"> </w:t>
      </w:r>
      <w:hyperlink w:anchor="ref-RN1438">
        <w:r>
          <w:rPr>
            <w:rStyle w:val="Hyperlink"/>
          </w:rPr>
          <w:t xml:space="preserve">Melendez-Rodriguez et al., 2019</w:t>
        </w:r>
      </w:hyperlink>
      <w:r>
        <w:t xml:space="preserve">)</w:t>
      </w:r>
      <w:r>
        <w:t xml:space="preserve">.</w:t>
      </w:r>
    </w:p>
    <w:p>
      <w:pPr>
        <w:pStyle w:val="BodyText"/>
      </w:pPr>
      <w:r>
        <w:t xml:space="preserve">Principal component analysis revealed greater class similarity among both treatment groups cultured in 0.5% oxygen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than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r>
        <w:t xml:space="preserve"> </w:t>
      </w:r>
      <w:r>
        <w:t xml:space="preserve">(</w:t>
      </w:r>
      <w:hyperlink w:anchor="ref-RN1603">
        <w:r>
          <w:rPr>
            <w:rStyle w:val="Hyperlink"/>
          </w:rPr>
          <w:t xml:space="preserve">Oldham et al., 2015</w:t>
        </w:r>
      </w:hyperlink>
      <w:r>
        <w:t xml:space="preserve">)</w:t>
      </w:r>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 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suggests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Principal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principal components correspond to 0.5% oxygen and BAY treatments, respectively. Consistent with our prior observations, the combination of 0.5% oxygen plus BAY was more similar to 0.5% oxygen alone with decreased distance between both hypoxia-treated groups along the axis of the second principal component. Again, consistent with the hypothesis that hypoxia uncouples the effects of BAY treatment. To identify those transcripts that were differentially affected by hypoxia compared to BAY treatment alone, we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where BAY decreases HDAC9 expression and increases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gene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w:t>
      </w:r>
      <w:r>
        <w:t xml:space="preserve"> </w:t>
      </w:r>
      <w:r>
        <w:t xml:space="preserve">“</w:t>
      </w:r>
      <w:r>
        <w:t xml:space="preserve">E2F targets</w:t>
      </w:r>
      <w:r>
        <w:t xml:space="preserve">”</w:t>
      </w:r>
      <w:r>
        <w:t xml:space="preserve"> </w:t>
      </w:r>
      <w:r>
        <w:t xml:space="preserve">and</w:t>
      </w:r>
      <w:r>
        <w:t xml:space="preserve"> </w:t>
      </w:r>
      <w:r>
        <w:t xml:space="preserve">“</w:t>
      </w:r>
      <w:r>
        <w:t xml:space="preserve">G2/M checkpoint</w:t>
      </w:r>
      <w:r>
        <w:t xml:space="preserve">”</w:t>
      </w:r>
      <w:r>
        <w:t xml:space="preserve"> </w:t>
      </w:r>
      <w:r>
        <w:t xml:space="preserve">proteins as well as</w:t>
      </w:r>
      <w:r>
        <w:t xml:space="preserve"> </w:t>
      </w:r>
      <w:r>
        <w:t xml:space="preserve">“</w:t>
      </w:r>
      <w:r>
        <w:t xml:space="preserve">Myc targets.</w:t>
      </w:r>
      <w:r>
        <w:t xml:space="preserve">”</w:t>
      </w:r>
      <w:r>
        <w:t xml:space="preserve"> </w:t>
      </w:r>
      <w:r>
        <w:t xml:space="preserve">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 Consistent with these bioinformatic results, immunoblotting demonstrated up-regulation of Myc protein in hypoxia-treated cells, but not with BAY-treatment alone (</w:t>
      </w:r>
      <w:r>
        <w:rPr>
          <w:bCs/>
          <w:b/>
        </w:rPr>
        <w:t xml:space="preserve">Figure</w:t>
      </w:r>
      <w:r>
        <w:rPr>
          <w:bCs/>
          <w:b/>
        </w:rPr>
        <w:t xml:space="preserve"> </w:t>
      </w:r>
      <w:r>
        <w:rPr>
          <w:bCs/>
          <w:b/>
        </w:rPr>
        <w:t xml:space="preserve">6</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reported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or all of these molecular mechanisms may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r>
        <w:t xml:space="preserve"> </w:t>
      </w:r>
      <w:r>
        <w:t xml:space="preserve">(</w:t>
      </w:r>
      <w:hyperlink w:anchor="ref-RN615">
        <w:r>
          <w:rPr>
            <w:rStyle w:val="Hyperlink"/>
          </w:rPr>
          <w:t xml:space="preserve">Hubbi and Semenza, 2015</w:t>
        </w:r>
      </w:hyperlink>
      <w:r>
        <w:t xml:space="preserve">)</w:t>
      </w:r>
      <w:r>
        <w:t xml:space="preserve"> </w:t>
      </w:r>
      <w:r>
        <w:t xml:space="preserve">and this is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and inhibition of E2F targets</w:t>
      </w:r>
      <w:r>
        <w:t xml:space="preserve"> </w:t>
      </w:r>
      <w:r>
        <w:t xml:space="preserve">(</w:t>
      </w:r>
      <w:hyperlink w:anchor="ref-RN3152">
        <w:r>
          <w:rPr>
            <w:rStyle w:val="Hyperlink"/>
          </w:rPr>
          <w:t xml:space="preserve">Gardner et al., 2001</w:t>
        </w:r>
      </w:hyperlink>
      <w:r>
        <w:t xml:space="preserve">)</w:t>
      </w:r>
      <w:r>
        <w:t xml:space="preserve"> </w:t>
      </w:r>
      <w:r>
        <w:t xml:space="preserve">and inhibition of pro-proliferative Myc signaling</w:t>
      </w:r>
      <w:r>
        <w:t xml:space="preserve"> </w:t>
      </w:r>
      <w:r>
        <w:t xml:space="preserve">(</w:t>
      </w:r>
      <w:hyperlink w:anchor="ref-RN3151">
        <w:r>
          <w:rPr>
            <w:rStyle w:val="Hyperlink"/>
          </w:rPr>
          <w:t xml:space="preserve">Koshiji et al., 2004</w:t>
        </w:r>
      </w:hyperlink>
      <w:r>
        <w:t xml:space="preserve">)</w:t>
      </w:r>
      <w:r>
        <w:t xml:space="preserve">. These transcriptional effects are precisely what is observed in BAY treated LFs in normoxia. By contrast, hypoxia culture was associated with decreased expression of p21, consistent with a previous report</w:t>
      </w:r>
      <w:r>
        <w:t xml:space="preserve"> </w:t>
      </w:r>
      <w:r>
        <w:t xml:space="preserve">(</w:t>
      </w:r>
      <w:hyperlink w:anchor="ref-RN3150">
        <w:r>
          <w:rPr>
            <w:rStyle w:val="Hyperlink"/>
          </w:rPr>
          <w:t xml:space="preserve">Mizuno et al., 2009</w:t>
        </w:r>
      </w:hyperlink>
      <w:r>
        <w:t xml:space="preserve">)</w:t>
      </w:r>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r>
        <w:t xml:space="preserve"> </w:t>
      </w:r>
      <w:r>
        <w:t xml:space="preserve">(</w:t>
      </w:r>
      <w:hyperlink w:anchor="ref-RN3154">
        <w:r>
          <w:rPr>
            <w:rStyle w:val="Hyperlink"/>
          </w:rPr>
          <w:t xml:space="preserve">Hydbring et al., 2017</w:t>
        </w:r>
      </w:hyperlink>
      <w:r>
        <w:t xml:space="preserve">)</w:t>
      </w:r>
      <w:r>
        <w:t xml:space="preserve">; however, the relative importance of Myc and the hypoxia-mediated mechanism of its induction remain to be elucidated in these primary cells. Clarifying the complex interactions among HIFs, Myc, and cell proliferation will be important for understanding the cellular response of these mesenchymal cells to tissue injury.</w:t>
      </w:r>
    </w:p>
    <w:p>
      <w:pPr>
        <w:pStyle w:val="BodyText"/>
      </w:pPr>
      <w:r>
        <w:t xml:space="preserve">Altogether,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r>
        <w:t xml:space="preserve"> </w:t>
      </w:r>
      <w:r>
        <w:t xml:space="preserve">(</w:t>
      </w:r>
      <w:hyperlink w:anchor="ref-RN2600">
        <w:r>
          <w:rPr>
            <w:rStyle w:val="Hyperlink"/>
          </w:rPr>
          <w:t xml:space="preserve">Faubert et al., 2013</w:t>
        </w:r>
      </w:hyperlink>
      <w:r>
        <w:t xml:space="preserve">;</w:t>
      </w:r>
      <w:r>
        <w:t xml:space="preserve"> </w:t>
      </w:r>
      <w:hyperlink w:anchor="ref-RN1157">
        <w:r>
          <w:rPr>
            <w:rStyle w:val="Hyperlink"/>
          </w:rPr>
          <w:t xml:space="preserve">Hui et al., 2017b</w:t>
        </w:r>
      </w:hyperlink>
      <w:r>
        <w:t xml:space="preserve">)</w:t>
      </w:r>
      <w:r>
        <w:t xml:space="preserve">. Although typically considered a metabolic waste product</w:t>
      </w:r>
      <w:r>
        <w:t xml:space="preserve"> </w:t>
      </w:r>
      <w:r>
        <w:t xml:space="preserve">(</w:t>
      </w:r>
      <w:hyperlink w:anchor="ref-RN3081">
        <w:r>
          <w:rPr>
            <w:rStyle w:val="Hyperlink"/>
          </w:rPr>
          <w:t xml:space="preserve">Rabinowitz and Enerback, 2020</w:t>
        </w:r>
      </w:hyperlink>
      <w:r>
        <w:t xml:space="preserve">)</w:t>
      </w:r>
      <w:r>
        <w:t xml:space="preserve">, an important contribution of lactate</w:t>
      </w:r>
      <w:r>
        <w:t xml:space="preserve"> </w:t>
      </w:r>
      <w:r>
        <w:rPr>
          <w:iCs/>
          <w:i/>
        </w:rPr>
        <w:t xml:space="preserve">import</w:t>
      </w:r>
      <w:r>
        <w:t xml:space="preserve"> </w:t>
      </w:r>
      <w:r>
        <w:t xml:space="preserve">in supporting metabolic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Hypoxia drives PASMC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r>
        <w:t xml:space="preserve"> </w:t>
      </w:r>
      <w:r>
        <w:t xml:space="preserve">(</w:t>
      </w:r>
      <w:hyperlink w:anchor="ref-RN1259">
        <w:r>
          <w:rPr>
            <w:rStyle w:val="Hyperlink"/>
          </w:rPr>
          <w:t xml:space="preserve">Fessel et al., 2012</w:t>
        </w:r>
      </w:hyperlink>
      <w:r>
        <w:t xml:space="preserve">)</w:t>
      </w:r>
      <w:r>
        <w:t xml:space="preserve">, and our findings suggest that reductive carboxylation catalyzed by isocitrate dehydrogenase may be a metabolic vulnerability of hypoxic PASMCs associated with pulmonary vascular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clarify the role of HIFs in mediating the metabolic response to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pPr>
        <w:pStyle w:val="BodyText"/>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pPr>
        <w:pStyle w:val="BodyText"/>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2" w:name="figures"/>
    <w:p>
      <w:pPr>
        <w:pStyle w:val="Heading1"/>
      </w:pPr>
      <w:r>
        <w:t xml:space="preserve">Figures</w:t>
      </w:r>
    </w:p>
    <w:p>
      <w:pPr>
        <w:pStyle w:val="CaptionedFigure"/>
      </w:pPr>
      <w:r>
        <w:drawing>
          <wp:inline>
            <wp:extent cx="5257800" cy="66548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6"/>
                    <a:stretch>
                      <a:fillRect/>
                    </a:stretch>
                  </pic:blipFill>
                  <pic:spPr bwMode="auto">
                    <a:xfrm>
                      <a:off x="0" y="0"/>
                      <a:ext cx="5257800" cy="6654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7"/>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73394"/>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8"/>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39"/>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562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reversed y-axis) (B) and lactate (C). (D) Principal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0"/>
                    <a:stretch>
                      <a:fillRect/>
                    </a:stretch>
                  </pic:blipFill>
                  <pic:spPr bwMode="auto">
                    <a:xfrm>
                      <a:off x="0" y="0"/>
                      <a:ext cx="51562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6: Transcriptomic analysis of molidustat treamtent in normoxia and hypoxia. (A) Principal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1"/>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2"/>
    <w:bookmarkStart w:id="74" w:name="star-methods"/>
    <w:p>
      <w:pPr>
        <w:pStyle w:val="Heading1"/>
      </w:pPr>
      <w:r>
        <w:t xml:space="preserve">STAR Methods</w:t>
      </w:r>
    </w:p>
    <w:bookmarkStart w:id="47" w:name="resource-availability"/>
    <w:p>
      <w:pPr>
        <w:pStyle w:val="Heading2"/>
      </w:pPr>
      <w:r>
        <w:t xml:space="preserve">Resource Availability</w:t>
      </w:r>
    </w:p>
    <w:bookmarkStart w:id="43"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3"/>
    <w:bookmarkStart w:id="44" w:name="materials-availability"/>
    <w:p>
      <w:pPr>
        <w:pStyle w:val="Heading3"/>
      </w:pPr>
      <w:r>
        <w:t xml:space="preserve">Materials Availability</w:t>
      </w:r>
    </w:p>
    <w:p>
      <w:pPr>
        <w:pStyle w:val="FirstParagraph"/>
      </w:pPr>
      <w:r>
        <w:t xml:space="preserve">This study did not generate new unique reagents.</w:t>
      </w:r>
    </w:p>
    <w:bookmarkEnd w:id="44"/>
    <w:bookmarkStart w:id="46"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5">
        <w:r>
          <w:rPr>
            <w:rStyle w:val="Hyperlink"/>
          </w:rPr>
          <w:t xml:space="preserve">https://github.com/oldhamlab/Copeland.2021.hypoxia.flux</w:t>
        </w:r>
      </w:hyperlink>
      <w:r>
        <w:t xml:space="preserve">). RNA-seq data has been deposited in the NIH Short Read Archive (PRJNA721596).</w:t>
      </w:r>
    </w:p>
    <w:bookmarkEnd w:id="46"/>
    <w:bookmarkEnd w:id="47"/>
    <w:bookmarkStart w:id="50" w:name="experimental-model-details"/>
    <w:p>
      <w:pPr>
        <w:pStyle w:val="Heading2"/>
      </w:pPr>
      <w:r>
        <w:t xml:space="preserve">Experimental Model Details</w:t>
      </w:r>
    </w:p>
    <w:bookmarkStart w:id="48"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48"/>
    <w:bookmarkStart w:id="49"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49"/>
    <w:bookmarkEnd w:id="50"/>
    <w:bookmarkStart w:id="71" w:name="method-details"/>
    <w:p>
      <w:pPr>
        <w:pStyle w:val="Heading2"/>
      </w:pPr>
      <w:r>
        <w:t xml:space="preserve">Method Details</w:t>
      </w:r>
    </w:p>
    <w:bookmarkStart w:id="51"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1"/>
    <w:bookmarkStart w:id="52"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2"/>
    <w:bookmarkStart w:id="53"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3"/>
    <w:bookmarkStart w:id="54"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4"/>
    <w:bookmarkStart w:id="55"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5"/>
    <w:bookmarkStart w:id="56"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6"/>
    <w:bookmarkStart w:id="57"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7"/>
    <w:bookmarkStart w:id="58"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8"/>
    <w:bookmarkStart w:id="59"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59"/>
    <w:bookmarkStart w:id="65" w:name="metabolomics"/>
    <w:p>
      <w:pPr>
        <w:pStyle w:val="Heading3"/>
      </w:pPr>
      <w:r>
        <w:t xml:space="preserve">Metabolomics</w:t>
      </w:r>
    </w:p>
    <w:bookmarkStart w:id="60"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0"/>
    <w:bookmarkStart w:id="61"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1"/>
    <w:bookmarkStart w:id="63"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2">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3"/>
    <w:bookmarkStart w:id="64"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4"/>
    <w:bookmarkEnd w:id="65"/>
    <w:bookmarkStart w:id="66"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6"/>
    <w:bookmarkStart w:id="67"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7"/>
    <w:bookmarkStart w:id="68"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8"/>
    <w:bookmarkStart w:id="70"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69">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0"/>
    <w:bookmarkEnd w:id="71"/>
    <w:bookmarkStart w:id="72"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5">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referenced in the data supplement.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2"/>
    <w:bookmarkStart w:id="73"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bl>
    <w:p>
      <w:r>
        <w:br w:type="page"/>
      </w:r>
    </w:p>
    <w:bookmarkEnd w:id="73"/>
    <w:bookmarkEnd w:id="74"/>
    <w:bookmarkStart w:id="75"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Isotope incorporation in key metabolites over the experimental time course.</w:t>
      </w:r>
    </w:p>
    <w:p>
      <w:pPr>
        <w:pStyle w:val="BodyText"/>
      </w:pPr>
      <w:r>
        <w:t xml:space="preserve">Figure S7:</w:t>
      </w:r>
      <w:r>
        <w:t xml:space="preserve"> </w:t>
      </w:r>
      <w:r>
        <w:rPr>
          <w:bCs/>
          <w:b/>
        </w:rPr>
        <w:t xml:space="preserve">Isotopically non-stationary metabolic flux analysis.</w:t>
      </w:r>
    </w:p>
    <w:p>
      <w:pPr>
        <w:pStyle w:val="BodyText"/>
      </w:pPr>
      <w:r>
        <w:t xml:space="preserve">Figure S8:</w:t>
      </w:r>
      <w:r>
        <w:t xml:space="preserve"> </w:t>
      </w:r>
      <w:r>
        <w:rPr>
          <w:bCs/>
          <w:b/>
        </w:rPr>
        <w:t xml:space="preserve">Metabolomic profiling of hypoxia and BAY treated lung fibroblasts.</w:t>
      </w:r>
    </w:p>
    <w:p>
      <w:pPr>
        <w:pStyle w:val="BodyText"/>
      </w:pPr>
      <w:r>
        <w:t xml:space="preserve">Figure S9:</w:t>
      </w:r>
      <w:r>
        <w:t xml:space="preserve"> </w:t>
      </w:r>
      <w:r>
        <w:rPr>
          <w:bCs/>
          <w:b/>
        </w:rPr>
        <w:t xml:space="preserve">Transcriptomic profiling of hypoxia and BAY treated lung fibroblasts.</w:t>
      </w:r>
    </w:p>
    <w:p>
      <w:r>
        <w:br w:type="page"/>
      </w:r>
    </w:p>
    <w:bookmarkEnd w:id="75"/>
    <w:bookmarkStart w:id="142" w:name="references"/>
    <w:p>
      <w:pPr>
        <w:pStyle w:val="Heading1"/>
      </w:pPr>
      <w:r>
        <w:t xml:space="preserve">References</w:t>
      </w:r>
    </w:p>
    <w:bookmarkStart w:id="141" w:name="refs"/>
    <w:bookmarkStart w:id="76"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6"/>
    <w:bookmarkStart w:id="77"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7"/>
    <w:bookmarkStart w:id="78"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8"/>
    <w:bookmarkStart w:id="79"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79"/>
    <w:bookmarkStart w:id="80"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0"/>
    <w:bookmarkStart w:id="81"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1"/>
    <w:bookmarkStart w:id="82"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2"/>
    <w:bookmarkStart w:id="83" w:name="ref-RN528"/>
    <w:p>
      <w:pPr>
        <w:pStyle w:val="Bibliography"/>
      </w:pPr>
      <w:r>
        <w:t xml:space="preserve">Fan, J., Kamphorst, J.J., Mathew, R., Chung, M.K., White, E., Shlomi, T., and Rabinowitz, J.D. (2013). Glutamine-driven oxidative phosphorylation is a major ATP source in transformed mammalian cells in both normoxia and hypoxia. Mol Syst Biol</w:t>
      </w:r>
      <w:r>
        <w:t xml:space="preserve"> </w:t>
      </w:r>
      <w:r>
        <w:rPr>
          <w:iCs/>
          <w:i/>
        </w:rPr>
        <w:t xml:space="preserve">9</w:t>
      </w:r>
      <w:r>
        <w:t xml:space="preserve">, 712.</w:t>
      </w:r>
    </w:p>
    <w:bookmarkEnd w:id="83"/>
    <w:bookmarkStart w:id="84"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1259"/>
    <w:p>
      <w:pPr>
        <w:pStyle w:val="Bibliography"/>
      </w:pPr>
      <w:r>
        <w:t xml:space="preserve">Fessel, J.P., Hamid, R., Wittmann, B.M., Robinson, L.J., Blackwell, T., Tada, Y., Tanabe, N., Tatsumi, K., Hemnes, A.R., and West, J.D. (2012). Metabolomic analysis of bone morphogenetic protein receptor type 2 mutations in human pulmonary endothelium reveals widespread metabolic reprogramming. Pulm Circ</w:t>
      </w:r>
      <w:r>
        <w:t xml:space="preserve"> </w:t>
      </w:r>
      <w:r>
        <w:rPr>
          <w:iCs/>
          <w:i/>
        </w:rPr>
        <w:t xml:space="preserve">2</w:t>
      </w:r>
      <w:r>
        <w:t xml:space="preserve">, 201–213.</w:t>
      </w:r>
    </w:p>
    <w:bookmarkEnd w:id="87"/>
    <w:bookmarkStart w:id="88"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8"/>
    <w:bookmarkStart w:id="89"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9"/>
    <w:bookmarkStart w:id="90"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0"/>
    <w:bookmarkStart w:id="91" w:name="ref-RN3152"/>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p>
    <w:bookmarkEnd w:id="91"/>
    <w:bookmarkStart w:id="92"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2"/>
    <w:bookmarkStart w:id="93"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3"/>
    <w:bookmarkStart w:id="94"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4"/>
    <w:bookmarkStart w:id="95"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5"/>
    <w:bookmarkStart w:id="96" w:name="ref-RN6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p>
    <w:bookmarkEnd w:id="96"/>
    <w:bookmarkStart w:id="97" w:name="ref-RN1157"/>
    <w:p>
      <w:pPr>
        <w:pStyle w:val="Bibliography"/>
      </w:pPr>
      <w:r>
        <w:t xml:space="preserve">Hui, S., Ghergurovich, J.M., Morscher, R.J., Jang, C., Teng, X., Lu, W., Esparza, L.A., Reya, T., Le, Z., Yanxiang Guo, J., et al. (2017b). Glucose feeds the TCA cycle via circulating lactate. Nature</w:t>
      </w:r>
      <w:r>
        <w:t xml:space="preserve"> </w:t>
      </w:r>
      <w:r>
        <w:rPr>
          <w:iCs/>
          <w:i/>
        </w:rPr>
        <w:t xml:space="preserve">551</w:t>
      </w:r>
      <w:r>
        <w:t xml:space="preserve">, 115–118.</w:t>
      </w:r>
    </w:p>
    <w:bookmarkEnd w:id="97"/>
    <w:bookmarkStart w:id="98" w:name="ref-RN2756"/>
    <w:p>
      <w:pPr>
        <w:pStyle w:val="Bibliography"/>
      </w:pPr>
      <w:r>
        <w:t xml:space="preserve">Hui, S., Ghergurovich, J.M., Morscher, R.J., Jang, C., Teng, X., Lu, W., Esparza, L.A., Reya, T., Le, Z., Yanxiang Guo, J., et al. (2017a). Glucose feeds the TCA cycle via circulating lactate. Nature</w:t>
      </w:r>
      <w:r>
        <w:t xml:space="preserve"> </w:t>
      </w:r>
      <w:r>
        <w:rPr>
          <w:iCs/>
          <w:i/>
        </w:rPr>
        <w:t xml:space="preserve">551</w:t>
      </w:r>
      <w:r>
        <w:t xml:space="preserve">, 115–118.</w:t>
      </w:r>
    </w:p>
    <w:bookmarkEnd w:id="98"/>
    <w:bookmarkStart w:id="99" w:name="ref-RN2718"/>
    <w:p>
      <w:pPr>
        <w:pStyle w:val="Bibliography"/>
      </w:pPr>
      <w:r>
        <w:t xml:space="preserve">Hui, S., Cowan, A.J., Zeng, X., Yang, L., TeSlaa, T., Li, X., Bartman, C., Zhang, Z., Jang, C., Wang, L., et al. (2020). Quantitative fluxomics of circulating metabolites. Cell Metab.</w:t>
      </w:r>
    </w:p>
    <w:bookmarkEnd w:id="99"/>
    <w:bookmarkStart w:id="100" w:name="ref-RN3154"/>
    <w:p>
      <w:pPr>
        <w:pStyle w:val="Bibliography"/>
      </w:pPr>
      <w:r>
        <w:t xml:space="preserve">Hydbring, P., Castell, A., and Larsson, L.G. (2017). MYC modulation around the CDK2/p27/SKP2 axis. Genes (Basel)</w:t>
      </w:r>
      <w:r>
        <w:t xml:space="preserve"> </w:t>
      </w:r>
      <w:r>
        <w:rPr>
          <w:iCs/>
          <w:i/>
        </w:rPr>
        <w:t xml:space="preserve">8</w:t>
      </w:r>
      <w:r>
        <w:t xml:space="preserve">.</w:t>
      </w:r>
    </w:p>
    <w:bookmarkEnd w:id="100"/>
    <w:bookmarkStart w:id="101"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101"/>
    <w:bookmarkStart w:id="102"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102"/>
    <w:bookmarkStart w:id="103"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103"/>
    <w:bookmarkStart w:id="104"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04"/>
    <w:bookmarkStart w:id="105"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5"/>
    <w:bookmarkStart w:id="106"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6"/>
    <w:bookmarkStart w:id="107" w:name="ref-fgsea"/>
    <w:p>
      <w:pPr>
        <w:pStyle w:val="Bibliography"/>
      </w:pPr>
      <w:r>
        <w:t xml:space="preserve">Korotkevich, G., Sukhov, V., and Sergushichev, A. (2019). Fast gene set enrichment analysis. bioRxiv.</w:t>
      </w:r>
    </w:p>
    <w:bookmarkEnd w:id="107"/>
    <w:bookmarkStart w:id="108" w:name="ref-RN3151"/>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p>
    <w:bookmarkEnd w:id="108"/>
    <w:bookmarkStart w:id="109"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9"/>
    <w:bookmarkStart w:id="110"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10"/>
    <w:bookmarkStart w:id="111"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11"/>
    <w:bookmarkStart w:id="112"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12"/>
    <w:bookmarkStart w:id="113"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13"/>
    <w:bookmarkStart w:id="114"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14"/>
    <w:bookmarkStart w:id="115"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15"/>
    <w:bookmarkStart w:id="116"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6"/>
    <w:bookmarkStart w:id="117"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7"/>
    <w:bookmarkStart w:id="118" w:name="ref-RN3150"/>
    <w:p>
      <w:pPr>
        <w:pStyle w:val="Bibliography"/>
      </w:pPr>
      <w:r>
        <w:t xml:space="preserve">Mizuno, S., Bogaard, H.J., Voelkel, N.F., Umeda, Y., Kadowaki, M., Ameshima, S., Miyamori, I., and Ishizaki, T. (2009). Hypoxia regulates human lung fibroblast proliferation via p53-dependent and -independent pathways. Respir Res</w:t>
      </w:r>
      <w:r>
        <w:t xml:space="preserve"> </w:t>
      </w:r>
      <w:r>
        <w:rPr>
          <w:iCs/>
          <w:i/>
        </w:rPr>
        <w:t xml:space="preserve">10</w:t>
      </w:r>
      <w:r>
        <w:t xml:space="preserve">, 17.</w:t>
      </w:r>
    </w:p>
    <w:bookmarkEnd w:id="118"/>
    <w:bookmarkStart w:id="119"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9"/>
    <w:bookmarkStart w:id="120"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20"/>
    <w:bookmarkStart w:id="121"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21"/>
    <w:bookmarkStart w:id="122"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22"/>
    <w:bookmarkStart w:id="123"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23"/>
    <w:bookmarkStart w:id="124"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24"/>
    <w:bookmarkStart w:id="125"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25"/>
    <w:bookmarkStart w:id="126" w:name="ref-R-base"/>
    <w:p>
      <w:pPr>
        <w:pStyle w:val="Bibliography"/>
      </w:pPr>
      <w:r>
        <w:t xml:space="preserve">R Core Team (2020). R: A language and environment for statistical computing (Vienna, Austria: R Foundation for Statistical Computing).</w:t>
      </w:r>
    </w:p>
    <w:bookmarkEnd w:id="126"/>
    <w:bookmarkStart w:id="127" w:name="ref-RN3081"/>
    <w:p>
      <w:pPr>
        <w:pStyle w:val="Bibliography"/>
      </w:pPr>
      <w:r>
        <w:t xml:space="preserve">Rabinowitz, J.D., and Enerback, S. (2020). Lactate: The ugly duckling of energy metabolism. Nat Metab</w:t>
      </w:r>
      <w:r>
        <w:t xml:space="preserve"> </w:t>
      </w:r>
      <w:r>
        <w:rPr>
          <w:iCs/>
          <w:i/>
        </w:rPr>
        <w:t xml:space="preserve">2</w:t>
      </w:r>
      <w:r>
        <w:t xml:space="preserve">, 566–571.</w:t>
      </w:r>
    </w:p>
    <w:bookmarkEnd w:id="127"/>
    <w:bookmarkStart w:id="128"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8"/>
    <w:bookmarkStart w:id="129"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9"/>
    <w:bookmarkStart w:id="130"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30"/>
    <w:bookmarkStart w:id="131"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31"/>
    <w:bookmarkStart w:id="132"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32"/>
    <w:bookmarkStart w:id="133"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33"/>
    <w:bookmarkStart w:id="134"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34"/>
    <w:bookmarkStart w:id="135"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35"/>
    <w:bookmarkStart w:id="136"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36"/>
    <w:bookmarkStart w:id="137"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37"/>
    <w:bookmarkStart w:id="138"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8"/>
    <w:bookmarkStart w:id="139"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9"/>
    <w:bookmarkStart w:id="140"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40"/>
    <w:bookmarkEnd w:id="141"/>
    <w:bookmarkEnd w:id="142"/>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2021-11-23T19:22:48Z</dcterms:created>
  <dcterms:modified xsi:type="dcterms:W3CDTF">2021-11-23T19:22:48Z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