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transcription</w:t>
      </w:r>
      <w:r>
        <w:t xml:space="preserve"> </w:t>
      </w:r>
      <w:r>
        <w:t xml:space="preserve">and</w:t>
      </w:r>
      <w:r>
        <w:t xml:space="preserve"> </w:t>
      </w:r>
      <w:r>
        <w:t xml:space="preserve">glycolytic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is an important environmental stressor that causes transcriptional and metabolic reprogramming in cells to facilitate their survival. Here, we performed stable isotope tracing and metabolic flux analyses of proliferating human lung fibroblasts and pulmonary artery smooth muscle cells in hypoxia. Despite activation of the hypoxia-inducible factor (HIF) transcriptional program and increased expression of glycolytic enzymes, glycolytic flux was decreased in hypoxic cells. While pharmacologic stabilization of HIF in normoxia with the prolyl hydroxylase inhibitor molidustat did increase glycolytic flux as expected, hypoxia abrogated this effect of molidustat treatment. Multi-omic profiling of cells treated with hypoxia or molidustat, separately or together, revealed distinct molecular responses to hypoxia and pharmacologic prolyl hydroxylase inhibition. Together, these data suggest that primary cell bioenergetic metabolism is closely coupled to cell proliferation rate, and that other factors supersede the anticipated effects of HIF-dependent up-regulation of glycolytic gene expression on glycolytic flux.</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Cellular responses to ambient oxygen levels drive numerous physiologic and pathologic processes from wound healing and angiogenesis to pulmonary vascular remodeling and fibrosis</w:t>
      </w:r>
      <w:r>
        <w:t xml:space="preserve"> </w:t>
      </w:r>
      <w:r>
        <w:t xml:space="preserve">(</w:t>
      </w:r>
      <w:hyperlink w:anchor="ref-RN1980">
        <w:r>
          <w:rPr>
            <w:rStyle w:val="Hyperlink"/>
          </w:rPr>
          <w:t xml:space="preserve">Semenza, 2012</w:t>
        </w:r>
      </w:hyperlink>
      <w:r>
        <w:t xml:space="preserve">)</w:t>
      </w:r>
      <w:r>
        <w:t xml:space="preserve">. These responses require a sustained capacity for cell proliferation, migration, and protein synthesis, with their associated energetic and metabolic demands, even in the face of limited oxygen availability, or hypoxia. Metazoan cells depend on aerobic respiration to meet cellular energy needs. With an inadequate oxygen supply,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enzymes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α-ketoglutrate-dependent dioxygenase enzymes that require molecular oxygen for their enzymatic activity. When oxygen tension falls, PHD activity decreases, leading to HIF-1α stabilization and activation of its associated transcriptional program. Overall, the HIF-1 transriptional program should increase glycolytic capacity and divert glucose-derived pyruvate from oxidative phosphorylation toward lactate fermentation to maintain ATP production and to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 yielding important insights into the metabolic pathobiology of cancer</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supporting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how hypoxic metabolic reprogramming supports homeostasis or promotes pathobiology. Indeed, the importance of reductive carboxylation or aspartate biosynthesis remains to be elucidated in these cells. This and related information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here we have developed models of bioenergetic carbon flux in human lung fibroblasts (LFs) and pulmonary artery smooth muscle cells (PASMCs) cultured in 21% or 0.5% oxygen. These cells were selected as they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human lung diseases where tissue hypoxia is a prominent feature. We found that hypoxia fails to increase glycolysis in these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HIF-1-dependent up-regulation of glycolytic gene expression in human primary cells.</w:t>
      </w:r>
    </w:p>
    <w:bookmarkEnd w:id="23"/>
    <w:bookmarkStart w:id="30" w:name="results"/>
    <w:p>
      <w:pPr>
        <w:pStyle w:val="Heading1"/>
      </w:pPr>
      <w:r>
        <w:t xml:space="preserve">Results</w:t>
      </w:r>
    </w:p>
    <w:p>
      <w:pPr>
        <w:pStyle w:val="FirstParagraph"/>
      </w:pPr>
      <w:r>
        <w:t xml:space="preserve">The goal of this study was to identify the metabolic changes associated with hypoxia in proliferating primary LFs and PASMCs.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 LFs cultured in 0.5% oxygen grew slower than LFs cultured in 21% oxygen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 S1A</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K, E-H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we observed no significant differences in glucose uptake or lactate efflux rates in 0.5% oxygen cultures (</w:t>
      </w:r>
      <w:r>
        <w:rPr>
          <w:bCs/>
          <w:b/>
        </w:rPr>
        <w:t xml:space="preserve">Figure</w:t>
      </w:r>
      <w:r>
        <w:rPr>
          <w:bCs/>
          <w:b/>
        </w:rPr>
        <w:t xml:space="preserve"> </w:t>
      </w:r>
      <w:r>
        <w:rPr>
          <w:bCs/>
          <w:b/>
        </w:rPr>
        <w:t xml:space="preserve">1</w:t>
      </w:r>
      <w:r>
        <w:rPr>
          <w:bCs/>
          <w:b/>
        </w:rPr>
        <w:t xml:space="preserve">I</w:t>
      </w:r>
      <w:r>
        <w:t xml:space="preserve">) despite activation of the HIF-1 transcriptional program as reflected by increased expression of GLUT1 and LDHA. No change in glucose or lactate fluxes were observed when the ambient oxygen level was decreased further to 0.2% (</w:t>
      </w:r>
      <w:r>
        <w:rPr>
          <w:bCs/>
          <w:b/>
        </w:rPr>
        <w:t xml:space="preserve">Figure S2</w:t>
      </w:r>
      <w:r>
        <w:t xml:space="preserve">). Similar results were also observed in PASMCs were lactate efflux was significantly</w:t>
      </w:r>
      <w:r>
        <w:t xml:space="preserve"> </w:t>
      </w:r>
      <w:r>
        <w:rPr>
          <w:iCs/>
          <w:i/>
        </w:rPr>
        <w:t xml:space="preserve">decreased</w:t>
      </w:r>
      <w:r>
        <w:t xml:space="preserve"> </w:t>
      </w:r>
      <w:r>
        <w:t xml:space="preserve">by 0.5% ambient oxygen (</w:t>
      </w:r>
      <w:r>
        <w:rPr>
          <w:bCs/>
          <w:b/>
        </w:rPr>
        <w:t xml:space="preserve">Figure S3</w:t>
      </w:r>
      <w:r>
        <w:t xml:space="preserve">).</w:t>
      </w:r>
    </w:p>
    <w:p>
      <w:pPr>
        <w:pStyle w:val="BodyText"/>
      </w:pPr>
      <w:r>
        <w:t xml:space="preserve">In addition to glucose and lactate, we also determinted the extracellular fluxes of pyruvate and amino acids. Overall, changes were modest, with hypoxia generally associated with decreased fluxes of all measured metabolites. Notably, a substantial decrease in glutamine consumption was observed in LFs cultured in 0.5% oxygen. This observation is in contrast to previous studies in cancer cell metabolism demonstrating increased glutamine uptake as a key feature of the metabolic response to hypoxia in these cells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Similar patterns were observed under 0.2% oxygen culture conditions. In PASMCs, glutamine uptake did increase, as did the uptake of branched-chain amino acids and arginine (</w:t>
      </w:r>
      <w:r>
        <w:rPr>
          <w:bCs/>
          <w:b/>
        </w:rPr>
        <w:t xml:space="preserve">Figure S3</w:t>
      </w:r>
      <w:r>
        <w:t xml:space="preserve">), highlighting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the prolyl hydroxylase inhibitor BAY to stabilize HIF-1α under 21% oxygen conditions (</w:t>
      </w:r>
      <w:r>
        <w:rPr>
          <w:bCs/>
          <w:b/>
        </w:rPr>
        <w:t xml:space="preserve">Figure</w:t>
      </w:r>
      <w:r>
        <w:rPr>
          <w:bCs/>
          <w:b/>
        </w:rPr>
        <w:t xml:space="preserve"> </w:t>
      </w:r>
      <w:r>
        <w:rPr>
          <w:bCs/>
          <w:b/>
        </w:rPr>
        <w:t xml:space="preserve">1</w:t>
      </w:r>
      <w:r>
        <w:t xml:space="preserve">). Similar to hypoxia, BAY decreased cell growth rate (</w:t>
      </w:r>
      <w:r>
        <w:rPr>
          <w:bCs/>
          <w:b/>
        </w:rPr>
        <w:t xml:space="preserve">Figures</w:t>
      </w:r>
      <w:r>
        <w:rPr>
          <w:bCs/>
          <w:b/>
        </w:rPr>
        <w:t xml:space="preserve"> </w:t>
      </w:r>
      <w:r>
        <w:rPr>
          <w:bCs/>
          <w:b/>
        </w:rPr>
        <w:t xml:space="preserve">1</w:t>
      </w:r>
      <w:r>
        <w:rPr>
          <w:bCs/>
          <w:b/>
        </w:rPr>
        <w:t xml:space="preserve">A-B</w:t>
      </w:r>
      <w:r>
        <w:t xml:space="preserve">) and activated the HIF-1 transcriptional program (</w:t>
      </w:r>
      <w:r>
        <w:rPr>
          <w:bCs/>
          <w:b/>
        </w:rPr>
        <w:t xml:space="preserve">Figures</w:t>
      </w:r>
      <w:r>
        <w:rPr>
          <w:bCs/>
          <w:b/>
        </w:rPr>
        <w:t xml:space="preserve"> </w:t>
      </w:r>
      <w:r>
        <w:rPr>
          <w:bCs/>
          <w:b/>
        </w:rPr>
        <w:t xml:space="preserve">1</w:t>
      </w:r>
      <w:r>
        <w:rPr>
          <w:bCs/>
          <w:b/>
        </w:rPr>
        <w:t xml:space="preserve">D-H</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1</w:t>
      </w:r>
      <w:r>
        <w:rPr>
          <w:bCs/>
          <w:b/>
        </w:rPr>
        <w:t xml:space="preserve">I</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1</w:t>
      </w:r>
      <w:r>
        <w:rPr>
          <w:bCs/>
          <w:b/>
        </w:rPr>
        <w:t xml:space="preserve">J</w:t>
      </w:r>
      <w:r>
        <w:t xml:space="preserve">) with preservation of glutamine uptake, alanine efflux, and glutamate efflux rates.</w:t>
      </w:r>
    </w:p>
    <w:bookmarkEnd w:id="24"/>
    <w:bookmarkStart w:id="25" w:name="Xa098555e30bc717eff33fb63d083d29d057d6b2"/>
    <w:p>
      <w:pPr>
        <w:pStyle w:val="Heading2"/>
      </w:pPr>
      <w:r>
        <w:t xml:space="preserve">Stable isotope labeling suggests limited metabolic reprogramming in hypoxia</w:t>
      </w:r>
    </w:p>
    <w:p>
      <w:pPr>
        <w:pStyle w:val="FirstParagraph"/>
      </w:pPr>
      <w:r>
        <w:t xml:space="preserve">To validate our findings from extracellular flux measurements, we next treated LFs with stable carbon isotopes of glucose and glutamine to measure the rate and trace the incorporation of label into key carbon utilization pathways (</w:t>
      </w:r>
      <w:r>
        <w:rPr>
          <w:bCs/>
          <w:b/>
        </w:rPr>
        <w:t xml:space="preserve">Figures</w:t>
      </w:r>
      <w:r>
        <w:rPr>
          <w:bCs/>
          <w:b/>
        </w:rPr>
        <w:t xml:space="preserve"> </w:t>
      </w:r>
      <w:r>
        <w:rPr>
          <w:bCs/>
          <w:b/>
        </w:rPr>
        <w:t xml:space="preserve">2</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3</w:t>
      </w:r>
      <w:r>
        <w:rPr>
          <w:bCs/>
          <w:b/>
        </w:rPr>
        <w:t xml:space="preserve">A-B</w:t>
      </w:r>
      <w:r>
        <w:t xml:space="preserve">).</w:t>
      </w:r>
    </w:p>
    <w:p>
      <w:pPr>
        <w:pStyle w:val="BodyText"/>
      </w:pPr>
      <w:r>
        <w:t xml:space="preserve">Several patterns of isotope labeling emerge across the treatment conditions (</w:t>
      </w:r>
      <w:r>
        <w:rPr>
          <w:bCs/>
          <w:b/>
        </w:rPr>
        <w:t xml:space="preserve">Figures</w:t>
      </w:r>
      <w:r>
        <w:rPr>
          <w:bCs/>
          <w:b/>
        </w:rPr>
        <w:t xml:space="preserve"> </w:t>
      </w:r>
      <w:r>
        <w:rPr>
          <w:bCs/>
          <w:b/>
        </w:rPr>
        <w:t xml:space="preserve">3</w:t>
      </w:r>
      <w:r>
        <w:rPr>
          <w:bCs/>
          <w:b/>
        </w:rPr>
        <w:t xml:space="preserve">C, S4</w:t>
      </w:r>
      <w:r>
        <w:t xml:space="preserve">). For the glycolytic intermediates fructose bisphosphate (FBP), 3-phosphoglycerate (3PG), and pyruvate (PYR), label incorporation from the glucose tracers is decreased with hypoxia and BAY treatments (</w:t>
      </w:r>
      <w:r>
        <w:rPr>
          <w:iCs/>
          <w:i/>
        </w:rPr>
        <w:t xml:space="preserve">i.e.</w:t>
      </w:r>
      <w:r>
        <w:t xml:space="preserve">, the unlabeled, or M0, fraction was greater). This is also true for the tricarboxylic acid cycle (TCA) metabolites citrate (CIT), α-ketoglutarate (AKG), and malate (MAL) labeled with [1,2-</w:t>
      </w:r>
      <w:r>
        <w:t xml:space="preserve"> </w:t>
      </w:r>
      <w:r>
        <w:rPr>
          <w:vertAlign w:val="superscript"/>
        </w:rPr>
        <w:t xml:space="preserve">13</w:t>
      </w:r>
      <w:r>
        <w:t xml:space="preserve">C</w:t>
      </w:r>
      <w:r>
        <w:rPr>
          <w:vertAlign w:val="subscript"/>
        </w:rPr>
        <w:t xml:space="preserve">2</w:t>
      </w:r>
      <w:r>
        <w:t xml:space="preserve"> </w:t>
      </w:r>
      <w:r>
        <w:t xml:space="preserve">glucose]. By contrast, these metabolites show increased labeling with [U-</w:t>
      </w:r>
      <w:r>
        <w:rPr>
          <w:vertAlign w:val="superscript"/>
        </w:rPr>
        <w:t xml:space="preserve">13</w:t>
      </w:r>
      <w:r>
        <w:t xml:space="preserve">C</w:t>
      </w:r>
      <w:r>
        <w:rPr>
          <w:vertAlign w:val="subscript"/>
        </w:rPr>
        <w:t xml:space="preserve">6</w:t>
      </w:r>
      <w:r>
        <w:t xml:space="preserve">] glucose. The citrate labeling pattern indicates increased label incorporation into M3 and M5 isotopes, reflecting carbon entry through pyruvate carboxylase, which catalyzes the carboxylation of pyruvate to oxaloacetate. The [U-</w:t>
      </w:r>
      <w:r>
        <w:rPr>
          <w:vertAlign w:val="superscript"/>
        </w:rPr>
        <w:t xml:space="preserve">13</w:t>
      </w:r>
      <w:r>
        <w:t xml:space="preserve">C</w:t>
      </w:r>
      <w:r>
        <w:rPr>
          <w:vertAlign w:val="subscript"/>
        </w:rPr>
        <w:t xml:space="preserve">5</w:t>
      </w:r>
      <w:r>
        <w:t xml:space="preserve">] glutamine label was not incorporated into pyruvate or upstream glycolytic intermediates. The labeling of TCA metabolites by glutamine was decreased in hypoxia and BAY treatment with a more pronounced effect of BAY treatment.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suggesting no change in reductive carboxylation for lipid synthesis in LFs. The overall fraction of M5-citrate in these cells was low (&lt; 7%).</w:t>
      </w:r>
    </w:p>
    <w:p>
      <w:pPr>
        <w:pStyle w:val="BodyText"/>
      </w:pPr>
      <w:r>
        <w:t xml:space="preserve">The stable isotope labeling patterns in PASMCs were similar to LFs (</w:t>
      </w:r>
      <w:r>
        <w:rPr>
          <w:bCs/>
          <w:b/>
        </w:rPr>
        <w:t xml:space="preserve">Figure S5</w:t>
      </w:r>
      <w:r>
        <w:t xml:space="preserve">) where labeling was attenuated in hypoxia. The most notable differences between LF and PASMC labeling were observed in citrate. Compared with LFs, PASMCs demonstrated a marked reduction of M2-citrate labeled by glucose and no change in the labeling of M3-citrate by [U-</w:t>
      </w:r>
      <w:r>
        <w:rPr>
          <w:vertAlign w:val="superscript"/>
        </w:rPr>
        <w:t xml:space="preserve">13</w:t>
      </w:r>
      <w:r>
        <w:t xml:space="preserve">C</w:t>
      </w:r>
      <w:r>
        <w:rPr>
          <w:vertAlign w:val="subscript"/>
        </w:rPr>
        <w:t xml:space="preserve">3</w:t>
      </w:r>
      <w:r>
        <w:t xml:space="preserve">] glucose. Interestingly, unlike LFs, PASMCs demonstrated increased production of M5-citrate from [U-</w:t>
      </w:r>
      <w:r>
        <w:rPr>
          <w:vertAlign w:val="superscript"/>
        </w:rPr>
        <w:t xml:space="preserve">13</w:t>
      </w:r>
      <w:r>
        <w:t xml:space="preserve">C</w:t>
      </w:r>
      <w:r>
        <w:rPr>
          <w:vertAlign w:val="subscript"/>
        </w:rPr>
        <w:t xml:space="preserve">5</w:t>
      </w:r>
      <w:r>
        <w:t xml:space="preserve">] glutamine in hypoxia (7.91% ± 0.89%</w:t>
      </w:r>
      <w:r>
        <w:t xml:space="preserve"> </w:t>
      </w:r>
      <w:r>
        <w:rPr>
          <w:iCs/>
          <w:i/>
        </w:rPr>
        <w:t xml:space="preserve">v</w:t>
      </w:r>
      <w:r>
        <w:t xml:space="preserve">. 18.24% ± 2.67%, p = 0.04) consistent with increased reductive carboxylation in support of lipid synthesis in these cells, similar to prior observations in cancer cells.</w:t>
      </w:r>
    </w:p>
    <w:bookmarkEnd w:id="25"/>
    <w:bookmarkStart w:id="26" w:name="Xa0cce43288fafe1b70f997ac6f69a5eef717cae"/>
    <w:p>
      <w:pPr>
        <w:pStyle w:val="Heading2"/>
      </w:pPr>
      <w:r>
        <w:t xml:space="preserve">Glycolytic flux in hypoxia is closely coupled to cell growth rate</w:t>
      </w:r>
    </w:p>
    <w:p>
      <w:pPr>
        <w:pStyle w:val="FirstParagraph"/>
      </w:pPr>
      <w:r>
        <w:t xml:space="preserve">The mass isotopomer distribution for a given metabolite is determined based on a complicated relationship among the rate of isotope incorporation into the metabolic network, the contributions of unlabeled substrates, and fluxes through related pathways. To clarify how these labeling patterns reflect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Figures</w:t>
      </w:r>
      <w:r>
        <w:rPr>
          <w:bCs/>
          <w:b/>
        </w:rPr>
        <w:t xml:space="preserve"> </w:t>
      </w:r>
      <w:r>
        <w:rPr>
          <w:bCs/>
          <w:b/>
        </w:rPr>
        <w:t xml:space="preserve">3</w:t>
      </w:r>
      <w:r>
        <w:rPr>
          <w:bCs/>
          <w:b/>
        </w:rPr>
        <w:t xml:space="preserve">A, S6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3</w:t>
      </w:r>
      <w:r>
        <w:rPr>
          <w:bCs/>
          <w:b/>
        </w:rPr>
        <w:t xml:space="preserve">, S7, Tables S1-S3</w:t>
      </w:r>
      <w:r>
        <w:t xml:space="preserve">). Overall, proliferating LFs demonstrated high rates of glucose uptake and glycolysis. Approximately 10% of cytoplasmic pyruvate enters the TCA cycle with the balance converted to lactate (</w:t>
      </w:r>
      <w:r>
        <w:rPr>
          <w:bCs/>
          <w:b/>
        </w:rPr>
        <w:t xml:space="preserve">Figure S7A</w:t>
      </w:r>
      <w:r>
        <w:t xml:space="preserve">). Consistent with extracellular flux measurements and isotope labeling patterns described above, significant reductions in glycolysis, the TCA cycle, and amino acid metabolism were observed in the metabolic flux models of LFs cultured in hypoxia. A significant increase in pentose phosphate pathway flux was also observed, although the absolute flux through this pathway is low (</w:t>
      </w:r>
      <w:r>
        <w:rPr>
          <w:bCs/>
          <w:b/>
        </w:rPr>
        <w:t xml:space="preserve">Figure</w:t>
      </w:r>
      <w:r>
        <w:rPr>
          <w:bCs/>
          <w:b/>
        </w:rPr>
        <w:t xml:space="preserve"> </w:t>
      </w:r>
      <w:r>
        <w:rPr>
          <w:bCs/>
          <w:b/>
        </w:rPr>
        <w:t xml:space="preserve">3</w:t>
      </w:r>
      <w:r>
        <w:rPr>
          <w:bCs/>
          <w:b/>
        </w:rPr>
        <w:t xml:space="preserve">A</w:t>
      </w:r>
      <w:r>
        <w:t xml:space="preserve">). By contrast, HIF-1 activation by BAY in 21% oxygen increased glycolysis and lactate fermentation by ~50% (</w:t>
      </w:r>
      <w:r>
        <w:rPr>
          <w:bCs/>
          <w:b/>
        </w:rPr>
        <w:t xml:space="preserve">Figure</w:t>
      </w:r>
      <w:r>
        <w:rPr>
          <w:bCs/>
          <w:b/>
        </w:rPr>
        <w:t xml:space="preserve"> </w:t>
      </w:r>
      <w:r>
        <w:rPr>
          <w:bCs/>
          <w:b/>
        </w:rPr>
        <w:t xml:space="preserve">3</w:t>
      </w:r>
      <w:r>
        <w:rPr>
          <w:bCs/>
          <w:b/>
        </w:rPr>
        <w:t xml:space="preserve">B</w:t>
      </w:r>
      <w:r>
        <w:t xml:space="preserve">), but had a similar effect as hypoxia in decreasing serine and glutamine incorporation. Metabolite fluxes in DMSO-treated cells were similar to 21% oxygen controls.</w:t>
      </w:r>
    </w:p>
    <w:p>
      <w:pPr>
        <w:pStyle w:val="BodyText"/>
      </w:pPr>
      <w:r>
        <w:t xml:space="preserve">In normoxia, the magnitude of intracellular metabolite fluxes were generally similar in LFs and PASMCs (</w:t>
      </w:r>
      <w:r>
        <w:rPr>
          <w:bCs/>
          <w:b/>
        </w:rPr>
        <w:t xml:space="preserve">Figures S7A, S7B, Tables S1, S3</w:t>
      </w:r>
      <w:r>
        <w:t xml:space="preserve">). LFs had greater consumption of serine while PASMCs had greater efflux of alanine. In hypoxia, PASMCs exhibited similar decreases in glycolytic flux as LFs but also a marked, and unexpected, increase in TCA flux (</w:t>
      </w:r>
      <w:r>
        <w:rPr>
          <w:bCs/>
          <w:b/>
        </w:rPr>
        <w:t xml:space="preserve">Figure S7C</w:t>
      </w:r>
      <w:r>
        <w:t xml:space="preserve">). The increased TCA flux in PASMCs was driven by increased glutamine consumption in these cells. This is similar to a prior report of glutamine-driven oxidative phosphorylation in hypoxic cancer cells</w:t>
      </w:r>
      <w:r>
        <w:t xml:space="preserve"> </w:t>
      </w:r>
      <w:r>
        <w:t xml:space="preserve">(</w:t>
      </w:r>
      <w:hyperlink w:anchor="ref-RN528">
        <w:r>
          <w:rPr>
            <w:rStyle w:val="Hyperlink"/>
          </w:rPr>
          <w:t xml:space="preserve">Fan et al., 2013</w:t>
        </w:r>
      </w:hyperlink>
      <w:r>
        <w:t xml:space="preserve">)</w:t>
      </w:r>
      <w:r>
        <w:t xml:space="preserve">, although glycolysis was also up-regulated in the hypoxia-exposed cancer cells studied in this report.</w:t>
      </w:r>
    </w:p>
    <w:p>
      <w:pPr>
        <w:pStyle w:val="BodyText"/>
      </w:pPr>
      <w:r>
        <w:t xml:space="preserve">Given the global decrease in bioenergetic metabolic flux in hypoxic LFs, we hypothesized that these differences may be a consequence of decreased growth rate. After normalizing metabolite fluxes in normoxia and hypoxia to the cell growth rate, modest increases (~10%) in glycolytic flux were observed (</w:t>
      </w:r>
      <w:r>
        <w:rPr>
          <w:bCs/>
          <w:b/>
        </w:rPr>
        <w:t xml:space="preserve">Figure S7D</w:t>
      </w:r>
      <w:r>
        <w:t xml:space="preserve">). This finding suggests that, while glycolysis increases relative to growth rate in hypoxic cells, the regulators of cell proliferation rate override the consequences of the HIF-1 transcriptional program. Indeed, even after adjusting for cell growth rate, the relative increase in glycolytic flux is modest compared to the marked up-regulation of glycolytic protein levels. BAY treatment decreased cell proliferation rate (</w:t>
      </w:r>
      <w:r>
        <w:rPr>
          <w:bCs/>
          <w:b/>
        </w:rPr>
        <w:t xml:space="preserve">Figure</w:t>
      </w:r>
      <w:r>
        <w:rPr>
          <w:bCs/>
          <w:b/>
        </w:rPr>
        <w:t xml:space="preserve"> </w:t>
      </w:r>
      <w:r>
        <w:rPr>
          <w:bCs/>
          <w:b/>
        </w:rPr>
        <w:t xml:space="preserve">1</w:t>
      </w:r>
      <w:r>
        <w:rPr>
          <w:bCs/>
          <w:b/>
        </w:rPr>
        <w:t xml:space="preserve">B</w:t>
      </w:r>
      <w:r>
        <w:t xml:space="preserve">), indicating that, unlike hypoxia, BAY treatment in normoxia uncouples cell proliferation and metabolic flux.</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modeled rate of reductive carboxylation through reverse flux by isocitrate dehydrogenase in LFs is low (~4 fmol/cell/h), unchanged by hypoxia, and modestly increased by BAY treatment. By contrast, the rate of reductive carboxylation increases 6-fold in PASMCs in hypoxia, highlighting an important role for this pathway in the metabolic response of these cells to hypoxia.</w:t>
      </w:r>
    </w:p>
    <w:p>
      <w:pPr>
        <w:pStyle w:val="BodyText"/>
      </w:pPr>
      <w:r>
        <w:t xml:space="preserve">Second, PHD inhibition is associated with a marked increase in the lactate transport exchange flux in LFs from ~ 0 to 1,500 and 700 fmol/cell/h in 0.5% oxygen and BAY treatment conditions, respectively, with similar results in PASMCs. Since the net lactate transport flux is secretion, this observation suggests increased lactate uptake with hypoxia or BAY treatment. This finding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4</w:t>
      </w:r>
      <w:r>
        <w:rPr>
          <w:bCs/>
          <w:b/>
        </w:rPr>
        <w:t xml:space="preserve">, S5</w:t>
      </w:r>
      <w:r>
        <w:t xml:space="preserve">). 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 ]-fluorodeoxyglucose positron emission tomography, suggesting that lactate consumption can occur in areas of high glucose utilization. Subsequently,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2017a</w:t>
        </w:r>
      </w:hyperlink>
      <w:r>
        <w:t xml:space="preserve">,</w:t>
      </w:r>
      <w:r>
        <w:t xml:space="preserve"> </w:t>
      </w:r>
      <w:hyperlink w:anchor="ref-RN2718">
        <w:r>
          <w:rPr>
            <w:rStyle w:val="Hyperlink"/>
          </w:rPr>
          <w:t xml:space="preserve">2020</w:t>
        </w:r>
      </w:hyperlink>
      <w:r>
        <w:t xml:space="preserve">)</w:t>
      </w:r>
      <w:r>
        <w:t xml:space="preserve">. With hypoxia or BAY treatment, we observed increased labeling of the TCA metabolites citrate (CIT), α-ketoglutarate (AKG), malate (MAL), and aspartate (ASP) in LFs. Interestingly, although increased labeling of pyruvate and lactate were observed in hypoxic PASMCs, the label was not incorporated into the TCA cycle as observed in LFs (</w:t>
      </w:r>
      <w:r>
        <w:rPr>
          <w:bCs/>
          <w:b/>
        </w:rPr>
        <w:t xml:space="preserve">Figure S5</w:t>
      </w:r>
      <w:r>
        <w:t xml:space="preserve">).</w:t>
      </w:r>
    </w:p>
    <w:p>
      <w:pPr>
        <w:pStyle w:val="BodyText"/>
      </w:pPr>
      <w:r>
        <w:t xml:space="preserve">In addition to downstream metabolites, we also observed hypoxia- and BAY-dependent increases in lactate incorporation in fructose bisphosphate (FBP) and 3-phosphoglycerate (3PG). This observation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glycogen precursors.</w:t>
      </w:r>
    </w:p>
    <w:bookmarkEnd w:id="27"/>
    <w:bookmarkStart w:id="28" w:name="Xd3038a27a292152e1874a714408dc016ffef486"/>
    <w:p>
      <w:pPr>
        <w:pStyle w:val="Heading2"/>
      </w:pPr>
      <w:r>
        <w:t xml:space="preserve">Hypoxia abrogates the effects of BAY on increasing glycolysis</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5</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5</w:t>
      </w:r>
      <w:r>
        <w:rPr>
          <w:bCs/>
          <w:b/>
        </w:rPr>
        <w:t xml:space="preserve">D-F</w:t>
      </w:r>
      <w:r>
        <w:t xml:space="preserve">). Both 0.5% oxygen and BAY treatment induced marked changes in intracellular metabolite levels (</w:t>
      </w:r>
      <w:r>
        <w:rPr>
          <w:bCs/>
          <w:b/>
        </w:rPr>
        <w:t xml:space="preserve">Figure S8</w:t>
      </w:r>
      <w:r>
        <w:t xml:space="preserve">). Of 133 metabolites, 98 were differentially regulated by hypoxia and 54 were differentially regulated by BAY. Of the differentially regulated metabolites, 44 were affected by both 0.5% oxygen and BAY treatment (</w:t>
      </w:r>
      <w:r>
        <w:rPr>
          <w:bCs/>
          <w:b/>
        </w:rPr>
        <w:t xml:space="preserve">Figure S8C</w:t>
      </w:r>
      <w:r>
        <w:t xml:space="preserve">). Metabolite set enrichment analysis of KEGG biochemical pathways were consistent with the results of the metabolic models demonstrating significant enrichment of the pentose phosphate pathway with 0.5% oxygen or BAY treatment; decreased alanine, aspartate, and glutamate metabolism with hypoxia; and increased glycolysis/gluconeogenesis with BAY (</w:t>
      </w:r>
      <w:r>
        <w:rPr>
          <w:bCs/>
          <w:b/>
        </w:rPr>
        <w:t xml:space="preserve">Figures S8D, S8E</w:t>
      </w:r>
      <w:r>
        <w:t xml:space="preserve">). Indeed, aspartate was the most decreased metabolite with both treatments, consistent with prior reports demonstrating an important role for HIF-1 regulation of aspartate biosynthesis in cancer cells</w:t>
      </w:r>
      <w:r>
        <w:t xml:space="preserve"> </w:t>
      </w:r>
      <w:r>
        <w:t xml:space="preserve">(</w:t>
      </w:r>
      <w:hyperlink w:anchor="ref-RN634">
        <w:r>
          <w:rPr>
            <w:rStyle w:val="Hyperlink"/>
          </w:rPr>
          <w:t xml:space="preserve">Garcia-Bermudez et al., 2018</w:t>
        </w:r>
      </w:hyperlink>
      <w:r>
        <w:t xml:space="preserve">;</w:t>
      </w:r>
      <w:r>
        <w:t xml:space="preserve"> </w:t>
      </w:r>
      <w:hyperlink w:anchor="ref-RN1438">
        <w:r>
          <w:rPr>
            <w:rStyle w:val="Hyperlink"/>
          </w:rPr>
          <w:t xml:space="preserve">Melendez-Rodriguez et al., 2019</w:t>
        </w:r>
      </w:hyperlink>
      <w:r>
        <w:t xml:space="preserve">)</w:t>
      </w:r>
      <w:r>
        <w:t xml:space="preserve">.</w:t>
      </w:r>
    </w:p>
    <w:p>
      <w:pPr>
        <w:pStyle w:val="BodyText"/>
      </w:pPr>
      <w:r>
        <w:t xml:space="preserve">Principal component analysis revealed greater class similarity among both treatment groups cultured in 0.5% oxygen (</w:t>
      </w:r>
      <w:r>
        <w:rPr>
          <w:bCs/>
          <w:b/>
        </w:rPr>
        <w:t xml:space="preserve">Figure</w:t>
      </w:r>
      <w:r>
        <w:rPr>
          <w:bCs/>
          <w:b/>
        </w:rPr>
        <w:t xml:space="preserve"> </w:t>
      </w:r>
      <w:r>
        <w:rPr>
          <w:bCs/>
          <w:b/>
        </w:rPr>
        <w:t xml:space="preserve">5</w:t>
      </w:r>
      <w:r>
        <w:rPr>
          <w:bCs/>
          <w:b/>
        </w:rPr>
        <w:t xml:space="preserve">D</w:t>
      </w:r>
      <w:r>
        <w:t xml:space="preserve">). Moreover, these hypoxia-treated cells were well-segregated from BAY-treated cells. These observations are again consistent with the results of metabolic flux models demonstrating an overriding effect of hypoxia</w:t>
      </w:r>
      <w:r>
        <w:t xml:space="preserve"> </w:t>
      </w:r>
      <w:r>
        <w:rPr>
          <w:iCs/>
          <w:i/>
        </w:rPr>
        <w:t xml:space="preserve">per se</w:t>
      </w:r>
      <w:r>
        <w:t xml:space="preserve"> </w:t>
      </w:r>
      <w:r>
        <w:t xml:space="preserve">on metabolic flux and highlighting important differences between hypoxic and pharmacologic PHD inhibition. To identify the key differences among these treatments, we performed linear modeling focusing on those metabolites with a significant interaction term in the model described by treatment × oxygen (</w:t>
      </w:r>
      <w:r>
        <w:rPr>
          <w:bCs/>
          <w:b/>
        </w:rPr>
        <w:t xml:space="preserve">Figure</w:t>
      </w:r>
      <w:r>
        <w:rPr>
          <w:bCs/>
          <w:b/>
        </w:rPr>
        <w:t xml:space="preserve"> </w:t>
      </w:r>
      <w:r>
        <w:rPr>
          <w:bCs/>
          <w:b/>
        </w:rPr>
        <w:t xml:space="preserve">5</w:t>
      </w:r>
      <w:r>
        <w:rPr>
          <w:bCs/>
          <w:b/>
        </w:rPr>
        <w:t xml:space="preserve">E</w:t>
      </w:r>
      <w:r>
        <w:t xml:space="preserve">) (</w:t>
      </w:r>
      <w:r>
        <w:rPr>
          <w:iCs/>
          <w:i/>
        </w:rPr>
        <w:t xml:space="preserve">i.e.</w:t>
      </w:r>
      <w:r>
        <w:t xml:space="preserve">, metabolites where the change with hypoxia treatment was different than the change with BAY treatment). Of 133 metabolites, 77 were significantly differentially regulated by hypoxia and BAY treatments. Several patterns emerged from this analysis (</w:t>
      </w:r>
      <w:r>
        <w:rPr>
          <w:bCs/>
          <w:b/>
        </w:rPr>
        <w:t xml:space="preserve">Figure</w:t>
      </w:r>
      <w:r>
        <w:rPr>
          <w:bCs/>
          <w:b/>
        </w:rPr>
        <w:t xml:space="preserve"> </w:t>
      </w:r>
      <w:r>
        <w:rPr>
          <w:bCs/>
          <w:b/>
        </w:rPr>
        <w:t xml:space="preserve">5</w:t>
      </w:r>
      <w:r>
        <w:rPr>
          <w:bCs/>
          <w:b/>
        </w:rPr>
        <w:t xml:space="preserve">F</w:t>
      </w:r>
      <w:r>
        <w:t xml:space="preserve">). Interestingly, the hypoxia-regulated metabolite, 2-hydroxyglutarate</w:t>
      </w:r>
      <w:r>
        <w:t xml:space="preserve"> </w:t>
      </w:r>
      <w:r>
        <w:t xml:space="preserve">(</w:t>
      </w:r>
      <w:hyperlink w:anchor="ref-RN1603">
        <w:r>
          <w:rPr>
            <w:rStyle w:val="Hyperlink"/>
          </w:rPr>
          <w:t xml:space="preserve">Oldham et al., 2015</w:t>
        </w:r>
      </w:hyperlink>
      <w:r>
        <w:t xml:space="preserve">)</w:t>
      </w:r>
      <w:r>
        <w:t xml:space="preserve">, increased following BAY treatment, but was unaffected by hypoxia treatment in proliferating LFs. The tricarboxylic acid (TCA) cycle metabolite aconitate was decreased in hypoxia, but increased by BAY treatment while the opposite effect was observed for hydroxyproline and taurine. The glycolytic intermediate glyceraldehyde 3-phosphate (GAP) was decreased by both hypoxia and BAY, while hypoxia reversed the BAY-mediated decrease in γ-aminobutyric acid (GABA). A metabolite set enrichment analysis of these differentially regulated metabolites revealed the TCA cycle to be the most enriched KEGG metabolite set (</w:t>
      </w:r>
      <w:r>
        <w:rPr>
          <w:bCs/>
          <w:b/>
        </w:rPr>
        <w:t xml:space="preserve">Figure</w:t>
      </w:r>
      <w:r>
        <w:rPr>
          <w:bCs/>
          <w:b/>
        </w:rPr>
        <w:t xml:space="preserve"> </w:t>
      </w:r>
      <w:r>
        <w:rPr>
          <w:bCs/>
          <w:b/>
        </w:rPr>
        <w:t xml:space="preserve">5</w:t>
      </w:r>
      <w:r>
        <w:rPr>
          <w:bCs/>
          <w:b/>
        </w:rPr>
        <w:t xml:space="preserve">G</w:t>
      </w:r>
      <w:r>
        <w:t xml:space="preserve">). Leading edge analysis demonstrated negative enrichment scores associated with all of the TCA metabolites detected by our platform (</w:t>
      </w:r>
      <w:r>
        <w:rPr>
          <w:bCs/>
          <w:b/>
        </w:rPr>
        <w:t xml:space="preserve">Figure</w:t>
      </w:r>
      <w:r>
        <w:rPr>
          <w:bCs/>
          <w:b/>
        </w:rPr>
        <w:t xml:space="preserve"> </w:t>
      </w:r>
      <w:r>
        <w:rPr>
          <w:bCs/>
          <w:b/>
        </w:rPr>
        <w:t xml:space="preserve">5</w:t>
      </w:r>
      <w:r>
        <w:rPr>
          <w:bCs/>
          <w:b/>
        </w:rPr>
        <w:t xml:space="preserve">H</w:t>
      </w:r>
      <w:r>
        <w:t xml:space="preserve">). This result suggests a more modest impact of BAY treatment on the TCA cycle than hypoxia, as suggested by our metabolic flux models where hypoxia resulted in a 1.5-2-fold reduction of TCA flux compared to a 1.1-1.5-fold reduction with BAY treatment in normoxia (</w:t>
      </w:r>
      <w:r>
        <w:rPr>
          <w:bCs/>
          <w:b/>
        </w:rPr>
        <w:t xml:space="preserve">Figure</w:t>
      </w:r>
      <w:r>
        <w:rPr>
          <w:bCs/>
          <w:b/>
        </w:rPr>
        <w:t xml:space="preserve"> </w:t>
      </w:r>
      <w:r>
        <w:rPr>
          <w:bCs/>
          <w:b/>
        </w:rPr>
        <w:t xml:space="preserve">3</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5</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09083696a6992394a2386abfb785d1b83cc4896"/>
    <w:p>
      <w:pPr>
        <w:pStyle w:val="Heading2"/>
      </w:pPr>
      <w:r>
        <w:t xml:space="preserve">Transcriptomic analysis identifies regulators of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6</w:t>
      </w:r>
      <w:r>
        <w:rPr>
          <w:bCs/>
          <w:b/>
        </w:rPr>
        <w:t xml:space="preserve">, S9</w:t>
      </w:r>
      <w:r>
        <w:t xml:space="preserve">). As anticipated, both hypoxia and BAY treatment induced substantial changes in gene expression (</w:t>
      </w:r>
      <w:r>
        <w:rPr>
          <w:bCs/>
          <w:b/>
        </w:rPr>
        <w:t xml:space="preserve">Figure S9A, S9B</w:t>
      </w:r>
      <w:r>
        <w:t xml:space="preserve">). Of the 7789 differentially expressed genes across both conditions, 891 (11%) were unique to BAY treatment in normoxia, 1649 (21%) were shared between BAY and hypoxia, while 5249 (67%) were unique to 0.5% culture (</w:t>
      </w:r>
      <w:r>
        <w:rPr>
          <w:bCs/>
          <w:b/>
        </w:rPr>
        <w:t xml:space="preserve">Figure S9C</w:t>
      </w:r>
      <w:r>
        <w:t xml:space="preserve">). Gene set enrichment analysis of these differentially regulated metabolites was performed using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w:t>
      </w:r>
      <w:r>
        <w:rPr>
          <w:bCs/>
          <w:b/>
        </w:rPr>
        <w:t xml:space="preserve">Figures S9D, S9E, S9F</w:t>
      </w:r>
      <w:r>
        <w:t xml:space="preserve">). As expected, both treatments were associated with enrichment of the</w:t>
      </w:r>
      <w:r>
        <w:t xml:space="preserve"> </w:t>
      </w:r>
      <w:r>
        <w:t xml:space="preserve">“</w:t>
      </w:r>
      <w:r>
        <w:t xml:space="preserve">hypoxia</w:t>
      </w:r>
      <w:r>
        <w:t xml:space="preserve">”</w:t>
      </w:r>
      <w:r>
        <w:t xml:space="preserve"> </w:t>
      </w:r>
      <w:r>
        <w:t xml:space="preserve">and</w:t>
      </w:r>
      <w:r>
        <w:t xml:space="preserve"> </w:t>
      </w:r>
      <w:r>
        <w:t xml:space="preserve">“</w:t>
      </w:r>
      <w:r>
        <w:t xml:space="preserve">glycolysis</w:t>
      </w:r>
      <w:r>
        <w:t xml:space="preserve">”</w:t>
      </w:r>
      <w:r>
        <w:t xml:space="preserve"> </w:t>
      </w:r>
      <w:r>
        <w:t xml:space="preserve">gene sets.</w:t>
      </w:r>
    </w:p>
    <w:p>
      <w:pPr>
        <w:pStyle w:val="BodyText"/>
      </w:pPr>
      <w:r>
        <w:t xml:space="preserve">Given the disparate effects of hypoxic and pharmacologic PHD inhibition on cellular metabolism described above, we focused our transcriptomics analyses on the differences between hypoxia and BAY treatments. Principal component analysis again demonstrates clear separation among the four treatment groups (</w:t>
      </w:r>
      <w:r>
        <w:rPr>
          <w:bCs/>
          <w:b/>
        </w:rPr>
        <w:t xml:space="preserve">Figure</w:t>
      </w:r>
      <w:r>
        <w:rPr>
          <w:bCs/>
          <w:b/>
        </w:rPr>
        <w:t xml:space="preserve"> </w:t>
      </w:r>
      <w:r>
        <w:rPr>
          <w:bCs/>
          <w:b/>
        </w:rPr>
        <w:t xml:space="preserve">6</w:t>
      </w:r>
      <w:r>
        <w:rPr>
          <w:bCs/>
          <w:b/>
        </w:rPr>
        <w:t xml:space="preserve">A</w:t>
      </w:r>
      <w:r>
        <w:t xml:space="preserve">). The first and second principal components correspond to 0.5% oxygen and BAY treatments, respectively. Consistent with our prior observations, the combination of 0.5% oxygen plus BAY was more similar to 0.5% oxygen alone with decreased distance between both hypoxia-treated groups along the axis of the second principal component. Again, consistent with the hypothesis that hypoxia uncouples the effects of BAY treatment. To identify those transcripts that were differentially affected by hypoxia compared to BAY treatment alone, we performed linear modeling to identify transcripts with a significant interaction term in the model described by treatment × oxygen (</w:t>
      </w:r>
      <w:r>
        <w:rPr>
          <w:bCs/>
          <w:b/>
        </w:rPr>
        <w:t xml:space="preserve">Figure</w:t>
      </w:r>
      <w:r>
        <w:rPr>
          <w:bCs/>
          <w:b/>
        </w:rPr>
        <w:t xml:space="preserve"> </w:t>
      </w:r>
      <w:r>
        <w:rPr>
          <w:bCs/>
          <w:b/>
        </w:rPr>
        <w:t xml:space="preserve">6</w:t>
      </w:r>
      <w:r>
        <w:rPr>
          <w:bCs/>
          <w:b/>
        </w:rPr>
        <w:t xml:space="preserve">B</w:t>
      </w:r>
      <w:r>
        <w:t xml:space="preserve">). With this analysis, we found several patterns of transcriptional changes (</w:t>
      </w:r>
      <w:r>
        <w:rPr>
          <w:bCs/>
          <w:b/>
        </w:rPr>
        <w:t xml:space="preserve">Figure</w:t>
      </w:r>
      <w:r>
        <w:rPr>
          <w:bCs/>
          <w:b/>
        </w:rPr>
        <w:t xml:space="preserve"> </w:t>
      </w:r>
      <w:r>
        <w:rPr>
          <w:bCs/>
          <w:b/>
        </w:rPr>
        <w:t xml:space="preserve">6</w:t>
      </w:r>
      <w:r>
        <w:rPr>
          <w:bCs/>
          <w:b/>
        </w:rPr>
        <w:t xml:space="preserve">C</w:t>
      </w:r>
      <w:r>
        <w:t xml:space="preserve">). For example, EPAS1, the gene encoding the HIF-2α protein, was markedly decreased by hypoxia, compared to its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where BAY decreases HDAC9 expression and increases P4HA2 expression. Together, this subset of transcriptional changes illustrates important differences between hypoxia and HIF stabilization in normoxia.</w:t>
      </w:r>
    </w:p>
    <w:p>
      <w:pPr>
        <w:pStyle w:val="BodyText"/>
      </w:pPr>
      <w:r>
        <w:t xml:space="preserve">Interestingly, an enrichment analysis of transcripts differentially regulated by 0.5% oxygen and BAY treatment actually demonstrated greater enrichment of the</w:t>
      </w:r>
      <w:r>
        <w:t xml:space="preserve"> </w:t>
      </w:r>
      <w:r>
        <w:t xml:space="preserve">“</w:t>
      </w:r>
      <w:r>
        <w:t xml:space="preserve">hypoxia</w:t>
      </w:r>
      <w:r>
        <w:t xml:space="preserve">”</w:t>
      </w:r>
      <w:r>
        <w:t xml:space="preserve"> </w:t>
      </w:r>
      <w:r>
        <w:t xml:space="preserve">gene set following BAY treatment alone than with hypoxia itself (</w:t>
      </w:r>
      <w:r>
        <w:rPr>
          <w:bCs/>
          <w:b/>
        </w:rPr>
        <w:t xml:space="preserve">Figure</w:t>
      </w:r>
      <w:r>
        <w:rPr>
          <w:bCs/>
          <w:b/>
        </w:rPr>
        <w:t xml:space="preserve"> </w:t>
      </w:r>
      <w:r>
        <w:rPr>
          <w:bCs/>
          <w:b/>
        </w:rPr>
        <w:t xml:space="preserve">6</w:t>
      </w:r>
      <w:r>
        <w:rPr>
          <w:bCs/>
          <w:b/>
        </w:rPr>
        <w:t xml:space="preserve">D</w:t>
      </w:r>
      <w:r>
        <w:t xml:space="preserve">). Similarly, the gene set for glycolysis was also more enriched following BAY treatment than hypoxia treatment. The most enriched gene sets associated with hypoxia included pro-proliferative</w:t>
      </w:r>
      <w:r>
        <w:t xml:space="preserve"> </w:t>
      </w:r>
      <w:r>
        <w:t xml:space="preserve">“</w:t>
      </w:r>
      <w:r>
        <w:t xml:space="preserve">E2F targets</w:t>
      </w:r>
      <w:r>
        <w:t xml:space="preserve">”</w:t>
      </w:r>
      <w:r>
        <w:t xml:space="preserve"> </w:t>
      </w:r>
      <w:r>
        <w:t xml:space="preserve">and</w:t>
      </w:r>
      <w:r>
        <w:t xml:space="preserve"> </w:t>
      </w:r>
      <w:r>
        <w:t xml:space="preserve">“</w:t>
      </w:r>
      <w:r>
        <w:t xml:space="preserve">G2/M checkpoint</w:t>
      </w:r>
      <w:r>
        <w:t xml:space="preserve">”</w:t>
      </w:r>
      <w:r>
        <w:t xml:space="preserve"> </w:t>
      </w:r>
      <w:r>
        <w:t xml:space="preserve">proteins as well as</w:t>
      </w:r>
      <w:r>
        <w:t xml:space="preserve"> </w:t>
      </w:r>
      <w:r>
        <w:t xml:space="preserve">“</w:t>
      </w:r>
      <w:r>
        <w:t xml:space="preserve">Myc targets.</w:t>
      </w:r>
      <w:r>
        <w:t xml:space="preserve">”</w:t>
      </w:r>
      <w:r>
        <w:t xml:space="preserve"> </w:t>
      </w:r>
      <w:r>
        <w:t xml:space="preserve">These findings were further supported by a transcription factor enrichment analysis identifying enrichment of Myc target proteins associated with hypoxia (</w:t>
      </w:r>
      <w:r>
        <w:rPr>
          <w:bCs/>
          <w:b/>
        </w:rPr>
        <w:t xml:space="preserve">Figure</w:t>
      </w:r>
      <w:r>
        <w:rPr>
          <w:bCs/>
          <w:b/>
        </w:rPr>
        <w:t xml:space="preserve"> </w:t>
      </w:r>
      <w:r>
        <w:rPr>
          <w:bCs/>
          <w:b/>
        </w:rPr>
        <w:t xml:space="preserve">6</w:t>
      </w:r>
      <w:r>
        <w:rPr>
          <w:bCs/>
          <w:b/>
        </w:rPr>
        <w:t xml:space="preserve">E</w:t>
      </w:r>
      <w:r>
        <w:t xml:space="preserve">). Consistent with these bioinformatic results, immunoblotting demonstrated up-regulation of Myc protein in hypoxia-treated cells, but not with BAY-treatment alone (</w:t>
      </w:r>
      <w:r>
        <w:rPr>
          <w:bCs/>
          <w:b/>
        </w:rPr>
        <w:t xml:space="preserve">Figure</w:t>
      </w:r>
      <w:r>
        <w:rPr>
          <w:bCs/>
          <w:b/>
        </w:rPr>
        <w:t xml:space="preserve"> </w:t>
      </w:r>
      <w:r>
        <w:rPr>
          <w:bCs/>
          <w:b/>
        </w:rPr>
        <w:t xml:space="preserve">6</w:t>
      </w:r>
      <w:r>
        <w:rPr>
          <w:bCs/>
          <w:b/>
        </w:rPr>
        <w:t xml:space="preserve">F</w:t>
      </w:r>
      <w:r>
        <w:t xml:space="preserve">). These data provide a starting point for interrogating the relative hierarchy of transcription factor regulation of gene expression by hypoxia in proliferating primary cells and suggest several potential mechanisms that may contribute to the uncoupling of glycolytic gene transcription and glycolytic flux reported here.</w:t>
      </w:r>
    </w:p>
    <w:bookmarkEnd w:id="29"/>
    <w:bookmarkEnd w:id="30"/>
    <w:bookmarkStart w:id="31"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The identification of these mechanisms is of critical importance for our understanding of primary cell adaptation to hypoxia. While the role of HIFs in the hypoxia response has been extensively studied, relatively less is known about HIF-independent features of the hypoxia response. Cells express several oxygen-dependent enzymes in addition to PHD whose activities may be impacted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Indeed, our transcription factor enrichment analysis (</w:t>
      </w:r>
      <w:r>
        <w:rPr>
          <w:bCs/>
          <w:b/>
        </w:rPr>
        <w:t xml:space="preserve">Figure</w:t>
      </w:r>
      <w:r>
        <w:rPr>
          <w:bCs/>
          <w:b/>
        </w:rPr>
        <w:t xml:space="preserve"> </w:t>
      </w:r>
      <w:r>
        <w:rPr>
          <w:bCs/>
          <w:b/>
        </w:rPr>
        <w:t xml:space="preserve">6</w:t>
      </w:r>
      <w:r>
        <w:rPr>
          <w:bCs/>
          <w:b/>
        </w:rPr>
        <w:t xml:space="preserve">E</w:t>
      </w:r>
      <w:r>
        <w:t xml:space="preserve">) demonstrates that this family of lysine demethylases (KDMs) was the most enriched with 0.5% oxygen treatment as compared to BAY treatment.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 (</w:t>
      </w:r>
      <w:r>
        <w:rPr>
          <w:bCs/>
          <w:b/>
        </w:rPr>
        <w:t xml:space="preserve">Figure S5K</w:t>
      </w:r>
      <w:r>
        <w:t xml:space="preserve">)</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or all of these molecular mechanisms may contribute to uncoupling glycolytic enzyme expression from glycolytic flux as observed in the experiments described here.</w:t>
      </w:r>
    </w:p>
    <w:p>
      <w:pPr>
        <w:pStyle w:val="BodyText"/>
      </w:pPr>
      <w:r>
        <w:t xml:space="preserve">In addition to its effects on cellular metabolism, another canonical role of HIF-1 activation is slowing of cellular proliferation rate in the face of limited oxygen availability</w:t>
      </w:r>
      <w:r>
        <w:t xml:space="preserve"> </w:t>
      </w:r>
      <w:r>
        <w:t xml:space="preserve">(</w:t>
      </w:r>
      <w:hyperlink w:anchor="ref-RN615">
        <w:r>
          <w:rPr>
            <w:rStyle w:val="Hyperlink"/>
          </w:rPr>
          <w:t xml:space="preserve">Hubbi and Semenza, 2015</w:t>
        </w:r>
      </w:hyperlink>
      <w:r>
        <w:t xml:space="preserve">)</w:t>
      </w:r>
      <w:r>
        <w:t xml:space="preserve"> </w:t>
      </w:r>
      <w:r>
        <w:t xml:space="preserve">and this is what we observed here (</w:t>
      </w:r>
      <w:r>
        <w:rPr>
          <w:bCs/>
          <w:b/>
        </w:rPr>
        <w:t xml:space="preserve">Figures</w:t>
      </w:r>
      <w:r>
        <w:rPr>
          <w:bCs/>
          <w:b/>
        </w:rPr>
        <w:t xml:space="preserve"> </w:t>
      </w:r>
      <w:r>
        <w:rPr>
          <w:bCs/>
          <w:b/>
        </w:rPr>
        <w:t xml:space="preserve">1</w:t>
      </w:r>
      <w:r>
        <w:rPr>
          <w:bCs/>
          <w:b/>
        </w:rPr>
        <w:t xml:space="preserve">B,</w:t>
      </w:r>
      <w:r>
        <w:rPr>
          <w:bCs/>
          <w:b/>
        </w:rPr>
        <w:t xml:space="preserve"> </w:t>
      </w:r>
      <w:r>
        <w:rPr>
          <w:bCs/>
          <w:b/>
        </w:rPr>
        <w:t xml:space="preserve">5</w:t>
      </w:r>
      <w:r>
        <w:rPr>
          <w:bCs/>
          <w:b/>
        </w:rPr>
        <w:t xml:space="preserve">A</w:t>
      </w:r>
      <w:r>
        <w:t xml:space="preserve">). The effects of HIF-1 on cell proliferation rate are mediated, in part, by increased expression of cyclin-dependent kinase inhibitor p21 (</w:t>
      </w:r>
      <w:r>
        <w:rPr>
          <w:iCs/>
          <w:i/>
        </w:rPr>
        <w:t xml:space="preserve">CDKN1A</w:t>
      </w:r>
      <w:r>
        <w:t xml:space="preserve">) and inhibition of E2F targets</w:t>
      </w:r>
      <w:r>
        <w:t xml:space="preserve"> </w:t>
      </w:r>
      <w:r>
        <w:t xml:space="preserve">(</w:t>
      </w:r>
      <w:hyperlink w:anchor="ref-RN3152">
        <w:r>
          <w:rPr>
            <w:rStyle w:val="Hyperlink"/>
          </w:rPr>
          <w:t xml:space="preserve">Gardner et al., 2001</w:t>
        </w:r>
      </w:hyperlink>
      <w:r>
        <w:t xml:space="preserve">)</w:t>
      </w:r>
      <w:r>
        <w:t xml:space="preserve"> </w:t>
      </w:r>
      <w:r>
        <w:t xml:space="preserve">and inhibition of pro-proliferative Myc signaling</w:t>
      </w:r>
      <w:r>
        <w:t xml:space="preserve"> </w:t>
      </w:r>
      <w:r>
        <w:t xml:space="preserve">(</w:t>
      </w:r>
      <w:hyperlink w:anchor="ref-RN3151">
        <w:r>
          <w:rPr>
            <w:rStyle w:val="Hyperlink"/>
          </w:rPr>
          <w:t xml:space="preserve">Koshiji et al., 2004</w:t>
        </w:r>
      </w:hyperlink>
      <w:r>
        <w:t xml:space="preserve">)</w:t>
      </w:r>
      <w:r>
        <w:t xml:space="preserve">. These transcriptional effects are precisely what is observed in BAY treated LFs in normoxia. By contrast, hypoxia culture was associated with decreased expression of p21, consistent with a previous report</w:t>
      </w:r>
      <w:r>
        <w:t xml:space="preserve"> </w:t>
      </w:r>
      <w:r>
        <w:t xml:space="preserve">(</w:t>
      </w:r>
      <w:hyperlink w:anchor="ref-RN3150">
        <w:r>
          <w:rPr>
            <w:rStyle w:val="Hyperlink"/>
          </w:rPr>
          <w:t xml:space="preserve">Mizuno et al., 2009</w:t>
        </w:r>
      </w:hyperlink>
      <w:r>
        <w:t xml:space="preserve">)</w:t>
      </w:r>
      <w:r>
        <w:t xml:space="preserve">, as well as increased expression of Myc protein and enrichment of Myc target genes. Indeed, the most marked differences between hypoxia and BAY treatment on LF gene transcription were the up-regulation of pro-proliferative gene sets containing E2F targets and G2/M checkpoint proteins. Much of this transcriptional response may be mediated by hypoxia-induced up-regulation of Myc, which is known to stimulate cell cycle progression through its effects on the expression and activity of cyclins, cyclin-dependent kinases, and cyclin-dependent kinase inhibitors</w:t>
      </w:r>
      <w:r>
        <w:t xml:space="preserve"> </w:t>
      </w:r>
      <w:r>
        <w:t xml:space="preserve">(</w:t>
      </w:r>
      <w:hyperlink w:anchor="ref-RN3154">
        <w:r>
          <w:rPr>
            <w:rStyle w:val="Hyperlink"/>
          </w:rPr>
          <w:t xml:space="preserve">Hydbring et al., 2017</w:t>
        </w:r>
      </w:hyperlink>
      <w:r>
        <w:t xml:space="preserve">)</w:t>
      </w:r>
      <w:r>
        <w:t xml:space="preserve">; however, the relative importance of Myc and the hypoxia-mediated mechanism of its induction remain to be elucidated in these primary cells. Clarifying the complex interactions among HIFs, Myc, and cell proliferation will be important for understanding the cellular response of these mesenchymal cells to tissue injury.</w:t>
      </w:r>
    </w:p>
    <w:p>
      <w:pPr>
        <w:pStyle w:val="BodyText"/>
      </w:pPr>
      <w:r>
        <w:t xml:space="preserve">Altogether, 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neither PHD, HIFs, nor their downstream targets were found to be selectively essential as a function of oxygen tension in a genome-wide CRISPR growth screen of K562 human lymphoblasts cultured in normoxia or hypoxia</w:t>
      </w:r>
      <w:r>
        <w:t xml:space="preserve"> </w:t>
      </w:r>
      <w:r>
        <w:t xml:space="preserve">(</w:t>
      </w:r>
      <w:hyperlink w:anchor="ref-RN953">
        <w:r>
          <w:rPr>
            <w:rStyle w:val="Hyperlink"/>
          </w:rPr>
          <w:t xml:space="preserve">Jain et al., 2020</w:t>
        </w:r>
      </w:hyperlink>
      <w:r>
        <w:t xml:space="preserve">)</w:t>
      </w:r>
      <w:r>
        <w:t xml:space="preserve">.</w:t>
      </w:r>
    </w:p>
    <w:p>
      <w:pPr>
        <w:pStyle w:val="BodyText"/>
      </w:pPr>
      <w:r>
        <w:t xml:space="preserve">This work also highlights two specific metabolic features that appear to be important in the metabolic response of these primary cells to hypoxia. First, both LFs and PASMCs demonstrated notable incorporation of lactate-derived carbon into intracellular metabolic pathways that increased with hypoxia and BAY treatments (</w:t>
      </w:r>
      <w:r>
        <w:rPr>
          <w:bCs/>
          <w:b/>
        </w:rPr>
        <w:t xml:space="preserve">Figures</w:t>
      </w:r>
      <w:r>
        <w:rPr>
          <w:bCs/>
          <w:b/>
        </w:rPr>
        <w:t xml:space="preserve"> </w:t>
      </w:r>
      <w:r>
        <w:rPr>
          <w:bCs/>
          <w:b/>
        </w:rPr>
        <w:t xml:space="preserve">4</w:t>
      </w:r>
      <w:r>
        <w:rPr>
          <w:bCs/>
          <w:b/>
        </w:rPr>
        <w:t xml:space="preserve">, S5</w:t>
      </w:r>
      <w:r>
        <w:t xml:space="preserve">). This finding is consistent with increasing evidence suggesting an important role for lactate as a metabolic fuel in several organ systems</w:t>
      </w:r>
      <w:r>
        <w:t xml:space="preserve"> </w:t>
      </w:r>
      <w:r>
        <w:t xml:space="preserve">(</w:t>
      </w:r>
      <w:hyperlink w:anchor="ref-RN2600">
        <w:r>
          <w:rPr>
            <w:rStyle w:val="Hyperlink"/>
          </w:rPr>
          <w:t xml:space="preserve">Faubert et al., 2013</w:t>
        </w:r>
      </w:hyperlink>
      <w:r>
        <w:t xml:space="preserve">;</w:t>
      </w:r>
      <w:r>
        <w:t xml:space="preserve"> </w:t>
      </w:r>
      <w:hyperlink w:anchor="ref-RN1157">
        <w:r>
          <w:rPr>
            <w:rStyle w:val="Hyperlink"/>
          </w:rPr>
          <w:t xml:space="preserve">Hui et al., 2017b</w:t>
        </w:r>
      </w:hyperlink>
      <w:r>
        <w:t xml:space="preserve">)</w:t>
      </w:r>
      <w:r>
        <w:t xml:space="preserve">. Although typically considered a metabolic waste product</w:t>
      </w:r>
      <w:r>
        <w:t xml:space="preserve"> </w:t>
      </w:r>
      <w:r>
        <w:t xml:space="preserve">(</w:t>
      </w:r>
      <w:hyperlink w:anchor="ref-RN3081">
        <w:r>
          <w:rPr>
            <w:rStyle w:val="Hyperlink"/>
          </w:rPr>
          <w:t xml:space="preserve">Rabinowitz and Enerback, 2020</w:t>
        </w:r>
      </w:hyperlink>
      <w:r>
        <w:t xml:space="preserve">)</w:t>
      </w:r>
      <w:r>
        <w:t xml:space="preserve">, an important contribution of lactate</w:t>
      </w:r>
      <w:r>
        <w:t xml:space="preserve"> </w:t>
      </w:r>
      <w:r>
        <w:rPr>
          <w:iCs/>
          <w:i/>
        </w:rPr>
        <w:t xml:space="preserve">import</w:t>
      </w:r>
      <w:r>
        <w:t xml:space="preserve"> </w:t>
      </w:r>
      <w:r>
        <w:t xml:space="preserve">in supporting metabolic homeostasis in the face of an ischemic insult, which is associated with increased extracellular lactate, is an evolutionarily attractive hypothesis that merits further investigation. Second, PASMCs, but not LFs, demonstrated significant rates of reductive carboxylation that increased in 0.5% oxygen (</w:t>
      </w:r>
      <w:r>
        <w:rPr>
          <w:bCs/>
          <w:b/>
        </w:rPr>
        <w:t xml:space="preserve">Figure S5</w:t>
      </w:r>
      <w:r>
        <w:t xml:space="preserve">). Reductive carboxylation was first identified in hypoxic tumor cells where stable isotope tracing revealed</w:t>
      </w:r>
      <w:r>
        <w:t xml:space="preserve"> </w:t>
      </w:r>
      <w:r>
        <w:rPr>
          <w:vertAlign w:val="superscript"/>
        </w:rPr>
        <w:t xml:space="preserve">13</w:t>
      </w:r>
      <w:r>
        <w:t xml:space="preserve">C incorporation from labeled glutamine into lipids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Hypoxia drives PASMC proliferation</w:t>
      </w:r>
      <w:r>
        <w:t xml:space="preserve"> </w:t>
      </w:r>
      <w:r>
        <w:rPr>
          <w:iCs/>
          <w:i/>
        </w:rPr>
        <w:t xml:space="preserve">in vivo</w:t>
      </w:r>
      <w:r>
        <w:t xml:space="preserve"> </w:t>
      </w:r>
      <w:r>
        <w:t xml:space="preserve">contributing to the development pulmonary hypertension in humans and animal models. Isocitrate dehydrogenase has previously been implicated in the pathobiology of this disease</w:t>
      </w:r>
      <w:r>
        <w:t xml:space="preserve"> </w:t>
      </w:r>
      <w:r>
        <w:t xml:space="preserve">(</w:t>
      </w:r>
      <w:hyperlink w:anchor="ref-RN1259">
        <w:r>
          <w:rPr>
            <w:rStyle w:val="Hyperlink"/>
          </w:rPr>
          <w:t xml:space="preserve">Fessel et al., 2012</w:t>
        </w:r>
      </w:hyperlink>
      <w:r>
        <w:t xml:space="preserve">)</w:t>
      </w:r>
      <w:r>
        <w:t xml:space="preserve">, and our findings suggest that reductive carboxylation catalyzed by isocitrate dehydrogenase may be a metabolic vulnerability of hypoxic PASMCs associated with pulmonary vascular disease.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 Although both cell types used in this study were derived from lung, we anticipate that many of our findings will be generalizable to primary cells from different tissues.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hypoxia uncouples an increase in HIF-dependent glycolytic gene transcription from glycolytic flux. Indeed, the degree of metabolic reprogramming in hypoxia was modest and suggests close coupling between proliferation and metabolism. In light of our findings, additional studies are warranted to clarify the role of HIFs in mediating the metabolic response to hypoxia and to identify other key regulators of hypoxic metabolic reprogramming in primary cells. Moreover, these data strongly caution investigators against drawing conclusions about metabolite flux from measures of gene transcription alone.</w:t>
      </w:r>
    </w:p>
    <w:p>
      <w:r>
        <w:br w:type="page"/>
      </w:r>
    </w:p>
    <w:bookmarkEnd w:id="31"/>
    <w:bookmarkStart w:id="32"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32"/>
    <w:bookmarkStart w:id="33"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3"/>
    <w:bookmarkStart w:id="34" w:name="declaration-of-interests"/>
    <w:p>
      <w:pPr>
        <w:pStyle w:val="Heading1"/>
      </w:pPr>
      <w:r>
        <w:t xml:space="preserve">Declaration of Interests</w:t>
      </w:r>
    </w:p>
    <w:p>
      <w:pPr>
        <w:pStyle w:val="FirstParagraph"/>
      </w:pPr>
      <w:r>
        <w:t xml:space="preserve">The authors declare no competing interests.</w:t>
      </w:r>
    </w:p>
    <w:p>
      <w:r>
        <w:br w:type="page"/>
      </w:r>
    </w:p>
    <w:bookmarkEnd w:id="34"/>
    <w:bookmarkStart w:id="35" w:name="figure-legends"/>
    <w:p>
      <w:pPr>
        <w:pStyle w:val="Heading1"/>
      </w:pPr>
      <w:r>
        <w:t xml:space="preserve">Figure Legends</w:t>
      </w:r>
    </w:p>
    <w:p>
      <w:pPr>
        <w:pStyle w:val="FirstParagraph"/>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pPr>
        <w:pStyle w:val="BodyText"/>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pPr>
        <w:pStyle w:val="BodyText"/>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35"/>
    <w:bookmarkStart w:id="42" w:name="figures"/>
    <w:p>
      <w:pPr>
        <w:pStyle w:val="Heading1"/>
      </w:pPr>
      <w:r>
        <w:t xml:space="preserve">Figures</w:t>
      </w:r>
    </w:p>
    <w:p>
      <w:pPr>
        <w:pStyle w:val="CaptionedFigure"/>
      </w:pPr>
      <w:r>
        <w:drawing>
          <wp:inline>
            <wp:extent cx="5257800" cy="6654800"/>
            <wp:effectExtent b="0" l="0" r="0" t="0"/>
            <wp:docPr descr="Figure 1: Effects of prolyl hydroxylase inhibition on extracellular metabolite fluxes in lung fibroblasts. Lung fibroblasts (LFs) were cultured with 21% oxygen (red), 0.5% oxygen (blue), DMSO (0.1% v/v, green), or molidustat (BAY, 10 μM, purple) beginning 24 h prior to time 0. (A) Growth curves of LFs in each experimental condition (n = 8). (B) Growth rates from (A) were determined by robust linear modeling of log-transformed growth curves. (C, D) Representative immunoblots of LF protein lysates cultured as in (A). (E, F) Relative change in HIF-1α (E) and LDHA (F) protein levels normalized to 21% oxygen or DMSO treatment time 0 (n = 4). (G, H) Relative changes in GLUT1 (G) and LDHA (H) mRNA levels normalized to 21% oxygen or DMSO treatment time 0 (n = 4). (I, J)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1.pdf" id="0" name="Picture"/>
                    <pic:cNvPicPr>
                      <a:picLocks noChangeArrowheads="1" noChangeAspect="1"/>
                    </pic:cNvPicPr>
                  </pic:nvPicPr>
                  <pic:blipFill>
                    <a:blip r:embed="rId36"/>
                    <a:stretch>
                      <a:fillRect/>
                    </a:stretch>
                  </pic:blipFill>
                  <pic:spPr bwMode="auto">
                    <a:xfrm>
                      <a:off x="0" y="0"/>
                      <a:ext cx="5257800" cy="6654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334000" cy="4648200"/>
            <wp:effectExtent b="0" l="0" r="0" t="0"/>
            <wp:docPr descr="Figure 2: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 title="" id="1" name="Picture"/>
            <a:graphic>
              <a:graphicData uri="http://schemas.openxmlformats.org/drawingml/2006/picture">
                <pic:pic>
                  <pic:nvPicPr>
                    <pic:cNvPr descr="/Users/will/Dropbox%20(Partners%20HealthCare)/Copeland.2021.hypoxia.flux/manuscript/figures/m2.pdf" id="0" name="Picture"/>
                    <pic:cNvPicPr>
                      <a:picLocks noChangeArrowheads="1" noChangeAspect="1"/>
                    </pic:cNvPicPr>
                  </pic:nvPicPr>
                  <pic:blipFill>
                    <a:blip r:embed="rId37"/>
                    <a:stretch>
                      <a:fillRect/>
                    </a:stretch>
                  </pic:blipFill>
                  <pic:spPr bwMode="auto">
                    <a:xfrm>
                      <a:off x="0" y="0"/>
                      <a:ext cx="5334000" cy="46482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r>
        <w:br w:type="page"/>
      </w:r>
    </w:p>
    <w:p>
      <w:pPr>
        <w:pStyle w:val="CaptionedFigure"/>
      </w:pPr>
      <w:r>
        <w:drawing>
          <wp:inline>
            <wp:extent cx="6400800" cy="3373394"/>
            <wp:effectExtent b="0" l="0" r="0" t="0"/>
            <wp:docPr descr="Figure 3: Metabolic flux maps of lung fibroblasts. (A) Ratio of metabolic fluxes in 0.5% oxygen compared to 21% oxygen. (B)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 title="" id="1" name="Picture"/>
            <a:graphic>
              <a:graphicData uri="http://schemas.openxmlformats.org/drawingml/2006/picture">
                <pic:pic>
                  <pic:nvPicPr>
                    <pic:cNvPr descr="/Users/will/Dropbox%20(Partners%20HealthCare)/Copeland.2021.hypoxia.flux/manuscript/figures/m3.pdf" id="0" name="Picture"/>
                    <pic:cNvPicPr>
                      <a:picLocks noChangeArrowheads="1" noChangeAspect="1"/>
                    </pic:cNvPicPr>
                  </pic:nvPicPr>
                  <pic:blipFill>
                    <a:blip r:embed="rId38"/>
                    <a:stretch>
                      <a:fillRect/>
                    </a:stretch>
                  </pic:blipFill>
                  <pic:spPr bwMode="auto">
                    <a:xfrm>
                      <a:off x="0" y="0"/>
                      <a:ext cx="6400800" cy="3373394"/>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r>
        <w:br w:type="page"/>
      </w:r>
    </w:p>
    <w:p>
      <w:pPr>
        <w:pStyle w:val="CaptionedFigure"/>
      </w:pPr>
      <w:r>
        <w:drawing>
          <wp:inline>
            <wp:extent cx="4025900" cy="2895600"/>
            <wp:effectExtent b="0" l="0" r="0" t="0"/>
            <wp:docPr descr="Figure 4: PHD inhibition increases lactate uptake and oxidation. Mass isotopomer distributions of key metabolites following labeling with [U-13C3]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4.pdf" id="0" name="Picture"/>
                    <pic:cNvPicPr>
                      <a:picLocks noChangeArrowheads="1" noChangeAspect="1"/>
                    </pic:cNvPicPr>
                  </pic:nvPicPr>
                  <pic:blipFill>
                    <a:blip r:embed="rId39"/>
                    <a:stretch>
                      <a:fillRect/>
                    </a:stretch>
                  </pic:blipFill>
                  <pic:spPr bwMode="auto">
                    <a:xfrm>
                      <a:off x="0" y="0"/>
                      <a:ext cx="4025900" cy="2895600"/>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118100" cy="8470900"/>
            <wp:effectExtent b="0" l="0" r="0" t="0"/>
            <wp:docPr descr="Figure 5: Metabolomic analysis of molidustat treatm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note reversed y-axis) (B) and lactate (C). (D) Principal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Blue circles indicate the fold change with hypoxia was greater than the fold change with BAY treatment while purple circles indicate the opposite. (F) Representative metabolites highlighted in (E) reveal different patterns of metabolic effects. (G) Metabolite set enrichment analysis of metabolites from (E). KEGG pathways with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manuscript/figures/m5.pdf" id="0" name="Picture"/>
                    <pic:cNvPicPr>
                      <a:picLocks noChangeArrowheads="1" noChangeAspect="1"/>
                    </pic:cNvPicPr>
                  </pic:nvPicPr>
                  <pic:blipFill>
                    <a:blip r:embed="rId40"/>
                    <a:stretch>
                      <a:fillRect/>
                    </a:stretch>
                  </pic:blipFill>
                  <pic:spPr bwMode="auto">
                    <a:xfrm>
                      <a:off x="0" y="0"/>
                      <a:ext cx="5118100" cy="84709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324600" cy="5334000"/>
            <wp:effectExtent b="0" l="0" r="0" t="0"/>
            <wp:docPr descr="Figure 6: Transcriptomic analysis of molidustat treamtent in normoxia and hypoxia. (A) Principal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F) Relative change in 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manuscript/figures/m6.pdf" id="0" name="Picture"/>
                    <pic:cNvPicPr>
                      <a:picLocks noChangeArrowheads="1" noChangeAspect="1"/>
                    </pic:cNvPicPr>
                  </pic:nvPicPr>
                  <pic:blipFill>
                    <a:blip r:embed="rId41"/>
                    <a:stretch>
                      <a:fillRect/>
                    </a:stretch>
                  </pic:blipFill>
                  <pic:spPr bwMode="auto">
                    <a:xfrm>
                      <a:off x="0" y="0"/>
                      <a:ext cx="6324600" cy="53340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2"/>
    <w:bookmarkStart w:id="74" w:name="star-methods"/>
    <w:p>
      <w:pPr>
        <w:pStyle w:val="Heading1"/>
      </w:pPr>
      <w:r>
        <w:t xml:space="preserve">STAR Methods</w:t>
      </w:r>
    </w:p>
    <w:bookmarkStart w:id="47" w:name="resource-availability"/>
    <w:p>
      <w:pPr>
        <w:pStyle w:val="Heading2"/>
      </w:pPr>
      <w:r>
        <w:t xml:space="preserve">Resource Availability</w:t>
      </w:r>
    </w:p>
    <w:bookmarkStart w:id="43"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3"/>
    <w:bookmarkStart w:id="44" w:name="materials-availability"/>
    <w:p>
      <w:pPr>
        <w:pStyle w:val="Heading3"/>
      </w:pPr>
      <w:r>
        <w:t xml:space="preserve">Materials Availability</w:t>
      </w:r>
    </w:p>
    <w:p>
      <w:pPr>
        <w:pStyle w:val="FirstParagraph"/>
      </w:pPr>
      <w:r>
        <w:t xml:space="preserve">This study did not generate new unique reagents.</w:t>
      </w:r>
    </w:p>
    <w:bookmarkEnd w:id="44"/>
    <w:bookmarkStart w:id="46"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5">
        <w:r>
          <w:rPr>
            <w:rStyle w:val="Hyperlink"/>
          </w:rPr>
          <w:t xml:space="preserve">https://github.com/oldhamlab/Copeland.2021.hypoxia.flux</w:t>
        </w:r>
      </w:hyperlink>
      <w:r>
        <w:t xml:space="preserve">). RNA-seq data has been deposited in the NIH Short Read Archive (PRJNA721596).</w:t>
      </w:r>
    </w:p>
    <w:bookmarkEnd w:id="46"/>
    <w:bookmarkEnd w:id="47"/>
    <w:bookmarkStart w:id="50" w:name="experimental-model-details"/>
    <w:p>
      <w:pPr>
        <w:pStyle w:val="Heading2"/>
      </w:pPr>
      <w:r>
        <w:t xml:space="preserve">Experimental Model Details</w:t>
      </w:r>
    </w:p>
    <w:bookmarkStart w:id="48"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48"/>
    <w:bookmarkStart w:id="49"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49"/>
    <w:bookmarkEnd w:id="50"/>
    <w:bookmarkStart w:id="71" w:name="method-details"/>
    <w:p>
      <w:pPr>
        <w:pStyle w:val="Heading2"/>
      </w:pPr>
      <w:r>
        <w:t xml:space="preserve">Method Details</w:t>
      </w:r>
    </w:p>
    <w:bookmarkStart w:id="51"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1"/>
    <w:bookmarkStart w:id="52"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52"/>
    <w:bookmarkStart w:id="53"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3"/>
    <w:bookmarkStart w:id="54"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4"/>
    <w:bookmarkStart w:id="55"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5"/>
    <w:bookmarkStart w:id="56"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6"/>
    <w:bookmarkStart w:id="57"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7"/>
    <w:bookmarkStart w:id="58"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58"/>
    <w:bookmarkStart w:id="59"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sep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sep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sep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sep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59"/>
    <w:bookmarkStart w:id="65" w:name="metabolomics"/>
    <w:p>
      <w:pPr>
        <w:pStyle w:val="Heading3"/>
      </w:pPr>
      <w:r>
        <w:t xml:space="preserve">Metabolomics</w:t>
      </w:r>
    </w:p>
    <w:bookmarkStart w:id="60"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0"/>
    <w:bookmarkStart w:id="61"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1"/>
    <w:bookmarkStart w:id="63"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2">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3"/>
    <w:bookmarkStart w:id="64"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4"/>
    <w:bookmarkEnd w:id="65"/>
    <w:bookmarkStart w:id="66"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6"/>
    <w:bookmarkStart w:id="67"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7"/>
    <w:bookmarkStart w:id="68"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68"/>
    <w:bookmarkStart w:id="70"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69">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0"/>
    <w:bookmarkEnd w:id="71"/>
    <w:bookmarkStart w:id="72"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5">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referenced in the data supplement.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2"/>
    <w:bookmarkStart w:id="73"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bl>
    <w:p>
      <w:r>
        <w:br w:type="page"/>
      </w:r>
    </w:p>
    <w:bookmarkEnd w:id="73"/>
    <w:bookmarkEnd w:id="74"/>
    <w:bookmarkStart w:id="75"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Isotope incorporation in key metabolites over the experimental time course.</w:t>
      </w:r>
    </w:p>
    <w:p>
      <w:pPr>
        <w:pStyle w:val="BodyText"/>
      </w:pPr>
      <w:r>
        <w:t xml:space="preserve">Figure S7:</w:t>
      </w:r>
      <w:r>
        <w:t xml:space="preserve"> </w:t>
      </w:r>
      <w:r>
        <w:rPr>
          <w:bCs/>
          <w:b/>
        </w:rPr>
        <w:t xml:space="preserve">Isotopically non-stationary metabolic flux analysis.</w:t>
      </w:r>
    </w:p>
    <w:p>
      <w:pPr>
        <w:pStyle w:val="BodyText"/>
      </w:pPr>
      <w:r>
        <w:t xml:space="preserve">Figure S8:</w:t>
      </w:r>
      <w:r>
        <w:t xml:space="preserve"> </w:t>
      </w:r>
      <w:r>
        <w:rPr>
          <w:bCs/>
          <w:b/>
        </w:rPr>
        <w:t xml:space="preserve">Metabolomic profiling of hypoxia and BAY treated lung fibroblasts.</w:t>
      </w:r>
    </w:p>
    <w:p>
      <w:pPr>
        <w:pStyle w:val="BodyText"/>
      </w:pPr>
      <w:r>
        <w:t xml:space="preserve">Figure S9:</w:t>
      </w:r>
      <w:r>
        <w:t xml:space="preserve"> </w:t>
      </w:r>
      <w:r>
        <w:rPr>
          <w:bCs/>
          <w:b/>
        </w:rPr>
        <w:t xml:space="preserve">Transcriptomic profiling of hypoxia and BAY treated lung fibroblasts.</w:t>
      </w:r>
    </w:p>
    <w:p>
      <w:r>
        <w:br w:type="page"/>
      </w:r>
    </w:p>
    <w:bookmarkEnd w:id="75"/>
    <w:bookmarkStart w:id="142" w:name="references"/>
    <w:p>
      <w:pPr>
        <w:pStyle w:val="Heading1"/>
      </w:pPr>
      <w:r>
        <w:t xml:space="preserve">References</w:t>
      </w:r>
    </w:p>
    <w:bookmarkStart w:id="141" w:name="refs"/>
    <w:bookmarkStart w:id="76" w:name="ref-RN60"/>
    <w:p>
      <w:pPr>
        <w:pStyle w:val="Bibliography"/>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6"/>
    <w:bookmarkStart w:id="77" w:name="ref-RN3117"/>
    <w:p>
      <w:pPr>
        <w:pStyle w:val="Bibliography"/>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77"/>
    <w:bookmarkStart w:id="78" w:name="ref-RN3077"/>
    <w:p>
      <w:pPr>
        <w:pStyle w:val="Bibliography"/>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78"/>
    <w:bookmarkStart w:id="79" w:name="ref-RN2618"/>
    <w:p>
      <w:pPr>
        <w:pStyle w:val="Bibliography"/>
      </w:pPr>
      <w:r>
        <w:t xml:space="preserve">Chance, B., and Williams, G.R. (1955). Respiratory enzymes in oxidative phosphorylation. III. The steady state. J Biol Chem</w:t>
      </w:r>
      <w:r>
        <w:t xml:space="preserve"> </w:t>
      </w:r>
      <w:r>
        <w:rPr>
          <w:iCs/>
          <w:i/>
        </w:rPr>
        <w:t xml:space="preserve">217</w:t>
      </w:r>
      <w:r>
        <w:t xml:space="preserve">, 409–427.</w:t>
      </w:r>
    </w:p>
    <w:bookmarkEnd w:id="79"/>
    <w:bookmarkStart w:id="80" w:name="ref-RN295"/>
    <w:p>
      <w:pPr>
        <w:pStyle w:val="Bibliography"/>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0"/>
    <w:bookmarkStart w:id="81" w:name="ref-RN366"/>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1"/>
    <w:bookmarkStart w:id="82" w:name="ref-RN3094"/>
    <w:p>
      <w:pPr>
        <w:pStyle w:val="Bibliography"/>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2"/>
    <w:bookmarkStart w:id="83" w:name="ref-RN528"/>
    <w:p>
      <w:pPr>
        <w:pStyle w:val="Bibliography"/>
      </w:pPr>
      <w:r>
        <w:t xml:space="preserve">Fan, J., Kamphorst, J.J., Mathew, R., Chung, M.K., White, E., Shlomi, T., and Rabinowitz, J.D. (2013). Glutamine-driven oxidative phosphorylation is a major ATP source in transformed mammalian cells in both normoxia and hypoxia. Mol Syst Biol</w:t>
      </w:r>
      <w:r>
        <w:t xml:space="preserve"> </w:t>
      </w:r>
      <w:r>
        <w:rPr>
          <w:iCs/>
          <w:i/>
        </w:rPr>
        <w:t xml:space="preserve">9</w:t>
      </w:r>
      <w:r>
        <w:t xml:space="preserve">, 712.</w:t>
      </w:r>
    </w:p>
    <w:bookmarkEnd w:id="83"/>
    <w:bookmarkStart w:id="84" w:name="ref-RN2600"/>
    <w:p>
      <w:pPr>
        <w:pStyle w:val="Bibliography"/>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4"/>
    <w:bookmarkStart w:id="85" w:name="ref-RN545"/>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5"/>
    <w:bookmarkStart w:id="86" w:name="ref-RN557"/>
    <w:p>
      <w:pPr>
        <w:pStyle w:val="Bibliography"/>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6"/>
    <w:bookmarkStart w:id="87" w:name="ref-RN1259"/>
    <w:p>
      <w:pPr>
        <w:pStyle w:val="Bibliography"/>
      </w:pPr>
      <w:r>
        <w:t xml:space="preserve">Fessel, J.P., Hamid, R., Wittmann, B.M., Robinson, L.J., Blackwell, T., Tada, Y., Tanabe, N., Tatsumi, K., Hemnes, A.R., and West, J.D. (2012). Metabolomic analysis of bone morphogenetic protein receptor type 2 mutations in human pulmonary endothelium reveals widespread metabolic reprogramming. Pulm Circ</w:t>
      </w:r>
      <w:r>
        <w:t xml:space="preserve"> </w:t>
      </w:r>
      <w:r>
        <w:rPr>
          <w:iCs/>
          <w:i/>
        </w:rPr>
        <w:t xml:space="preserve">2</w:t>
      </w:r>
      <w:r>
        <w:t xml:space="preserve">, 201–213.</w:t>
      </w:r>
    </w:p>
    <w:bookmarkEnd w:id="87"/>
    <w:bookmarkStart w:id="88" w:name="ref-RN580"/>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8"/>
    <w:bookmarkStart w:id="89" w:name="ref-RN628"/>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9"/>
    <w:bookmarkStart w:id="90" w:name="ref-RN634"/>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90"/>
    <w:bookmarkStart w:id="91" w:name="ref-RN3152"/>
    <w:p>
      <w:pPr>
        <w:pStyle w:val="Bibliography"/>
      </w:pPr>
      <w:r>
        <w:t xml:space="preserve">Gardner, L.B., Li, Q., Park, M.S., Flanagan, W.M., Semenza, G.L., and Dang, C.V. (2001). Hypoxia inhibits G1/s transition through regulation of p27 expression. J Biol Chem</w:t>
      </w:r>
      <w:r>
        <w:t xml:space="preserve"> </w:t>
      </w:r>
      <w:r>
        <w:rPr>
          <w:iCs/>
          <w:i/>
        </w:rPr>
        <w:t xml:space="preserve">276</w:t>
      </w:r>
      <w:r>
        <w:t xml:space="preserve">, 7919–7926.</w:t>
      </w:r>
    </w:p>
    <w:bookmarkEnd w:id="91"/>
    <w:bookmarkStart w:id="92" w:name="ref-RN2619"/>
    <w:p>
      <w:pPr>
        <w:pStyle w:val="Bibliography"/>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92"/>
    <w:bookmarkStart w:id="93" w:name="ref-RN713"/>
    <w:p>
      <w:pPr>
        <w:pStyle w:val="Bibliography"/>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93"/>
    <w:bookmarkStart w:id="94" w:name="ref-RN730"/>
    <w:p>
      <w:pPr>
        <w:pStyle w:val="Bibliography"/>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94"/>
    <w:bookmarkStart w:id="95" w:name="ref-RN742"/>
    <w:p>
      <w:pPr>
        <w:pStyle w:val="Bibliography"/>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95"/>
    <w:bookmarkStart w:id="96" w:name="ref-RN615"/>
    <w:p>
      <w:pPr>
        <w:pStyle w:val="Bibliography"/>
      </w:pPr>
      <w:r>
        <w:t xml:space="preserve">Hubbi, M.E., and Semenza, G.L. (2015). Regulation of cell proliferation by hypoxia-inducible factors. Am J Physiol Cell Physiol</w:t>
      </w:r>
      <w:r>
        <w:t xml:space="preserve"> </w:t>
      </w:r>
      <w:r>
        <w:rPr>
          <w:iCs/>
          <w:i/>
        </w:rPr>
        <w:t xml:space="preserve">309</w:t>
      </w:r>
      <w:r>
        <w:t xml:space="preserve">, C775–82.</w:t>
      </w:r>
    </w:p>
    <w:bookmarkEnd w:id="96"/>
    <w:bookmarkStart w:id="97" w:name="ref-RN1157"/>
    <w:p>
      <w:pPr>
        <w:pStyle w:val="Bibliography"/>
      </w:pPr>
      <w:r>
        <w:t xml:space="preserve">Hui, S., Ghergurovich, J.M., Morscher, R.J., Jang, C., Teng, X., Lu, W., Esparza, L.A., Reya, T., Le, Z., Yanxiang Guo, J., et al. (2017b). Glucose feeds the TCA cycle via circulating lactate. Nature</w:t>
      </w:r>
      <w:r>
        <w:t xml:space="preserve"> </w:t>
      </w:r>
      <w:r>
        <w:rPr>
          <w:iCs/>
          <w:i/>
        </w:rPr>
        <w:t xml:space="preserve">551</w:t>
      </w:r>
      <w:r>
        <w:t xml:space="preserve">, 115–118.</w:t>
      </w:r>
    </w:p>
    <w:bookmarkEnd w:id="97"/>
    <w:bookmarkStart w:id="98" w:name="ref-RN2756"/>
    <w:p>
      <w:pPr>
        <w:pStyle w:val="Bibliography"/>
      </w:pPr>
      <w:r>
        <w:t xml:space="preserve">Hui, S., Ghergurovich, J.M., Morscher, R.J., Jang, C., Teng, X., Lu, W., Esparza, L.A., Reya, T., Le, Z., Yanxiang Guo, J., et al. (2017a). Glucose feeds the TCA cycle via circulating lactate. Nature</w:t>
      </w:r>
      <w:r>
        <w:t xml:space="preserve"> </w:t>
      </w:r>
      <w:r>
        <w:rPr>
          <w:iCs/>
          <w:i/>
        </w:rPr>
        <w:t xml:space="preserve">551</w:t>
      </w:r>
      <w:r>
        <w:t xml:space="preserve">, 115–118.</w:t>
      </w:r>
    </w:p>
    <w:bookmarkEnd w:id="98"/>
    <w:bookmarkStart w:id="99" w:name="ref-RN2718"/>
    <w:p>
      <w:pPr>
        <w:pStyle w:val="Bibliography"/>
      </w:pPr>
      <w:r>
        <w:t xml:space="preserve">Hui, S., Cowan, A.J., Zeng, X., Yang, L., TeSlaa, T., Li, X., Bartman, C., Zhang, Z., Jang, C., Wang, L., et al. (2020). Quantitative fluxomics of circulating metabolites. Cell Metab.</w:t>
      </w:r>
    </w:p>
    <w:bookmarkEnd w:id="99"/>
    <w:bookmarkStart w:id="100" w:name="ref-RN3154"/>
    <w:p>
      <w:pPr>
        <w:pStyle w:val="Bibliography"/>
      </w:pPr>
      <w:r>
        <w:t xml:space="preserve">Hydbring, P., Castell, A., and Larsson, L.G. (2017). MYC modulation around the CDK2/p27/SKP2 axis. Genes (Basel)</w:t>
      </w:r>
      <w:r>
        <w:t xml:space="preserve"> </w:t>
      </w:r>
      <w:r>
        <w:rPr>
          <w:iCs/>
          <w:i/>
        </w:rPr>
        <w:t xml:space="preserve">8</w:t>
      </w:r>
      <w:r>
        <w:t xml:space="preserve">.</w:t>
      </w:r>
    </w:p>
    <w:bookmarkEnd w:id="100"/>
    <w:bookmarkStart w:id="101" w:name="ref-RN2611"/>
    <w:p>
      <w:pPr>
        <w:pStyle w:val="Bibliography"/>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101"/>
    <w:bookmarkStart w:id="102" w:name="ref-RN953"/>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102"/>
    <w:bookmarkStart w:id="103" w:name="ref-RN964"/>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p>
    <w:bookmarkEnd w:id="103"/>
    <w:bookmarkStart w:id="104" w:name="ref-RN975"/>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104"/>
    <w:bookmarkStart w:id="105" w:name="ref-RN999"/>
    <w:p>
      <w:pPr>
        <w:pStyle w:val="Bibliography"/>
      </w:pPr>
      <w:r>
        <w:t xml:space="preserve">Kaelin, Jr., W. G., and Ratcliffe, P.J. (2008). Oxygen sensing by metazoans: The central role of the HIF hydroxylase pathway. Mol Cell</w:t>
      </w:r>
      <w:r>
        <w:t xml:space="preserve"> </w:t>
      </w:r>
      <w:r>
        <w:rPr>
          <w:iCs/>
          <w:i/>
        </w:rPr>
        <w:t xml:space="preserve">30</w:t>
      </w:r>
      <w:r>
        <w:t xml:space="preserve">, 393–402.</w:t>
      </w:r>
    </w:p>
    <w:bookmarkEnd w:id="105"/>
    <w:bookmarkStart w:id="106" w:name="ref-RN1063"/>
    <w:p>
      <w:pPr>
        <w:pStyle w:val="Bibliography"/>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06"/>
    <w:bookmarkStart w:id="107" w:name="ref-fgsea"/>
    <w:p>
      <w:pPr>
        <w:pStyle w:val="Bibliography"/>
      </w:pPr>
      <w:r>
        <w:t xml:space="preserve">Korotkevich, G., Sukhov, V., and Sergushichev, A. (2019). Fast gene set enrichment analysis. bioRxiv.</w:t>
      </w:r>
    </w:p>
    <w:bookmarkEnd w:id="107"/>
    <w:bookmarkStart w:id="108" w:name="ref-RN3151"/>
    <w:p>
      <w:pPr>
        <w:pStyle w:val="Bibliography"/>
      </w:pPr>
      <w:r>
        <w:t xml:space="preserve">Koshiji, M., Kageyama, Y., Pete, E.A., Horikawa, I., Barrett, J.C., and Huang, L.E. (2004). HIF-1alpha induces cell cycle arrest by functionally counteracting myc. EMBO J</w:t>
      </w:r>
      <w:r>
        <w:t xml:space="preserve"> </w:t>
      </w:r>
      <w:r>
        <w:rPr>
          <w:iCs/>
          <w:i/>
        </w:rPr>
        <w:t xml:space="preserve">23</w:t>
      </w:r>
      <w:r>
        <w:t xml:space="preserve">, 1949–1956.</w:t>
      </w:r>
    </w:p>
    <w:bookmarkEnd w:id="108"/>
    <w:bookmarkStart w:id="109" w:name="ref-RN1198"/>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09"/>
    <w:bookmarkStart w:id="110" w:name="ref-RN1200"/>
    <w:p>
      <w:pPr>
        <w:pStyle w:val="Bibliography"/>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10"/>
    <w:bookmarkStart w:id="111" w:name="ref-Rsubread"/>
    <w:p>
      <w:pPr>
        <w:pStyle w:val="Bibliography"/>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11"/>
    <w:bookmarkStart w:id="112" w:name="ref-RN3112"/>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12"/>
    <w:bookmarkStart w:id="113"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13"/>
    <w:bookmarkStart w:id="114" w:name="ref-DESeq2"/>
    <w:p>
      <w:pPr>
        <w:pStyle w:val="Bibliography"/>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14"/>
    <w:bookmarkStart w:id="115" w:name="ref-RN1384"/>
    <w:p>
      <w:pPr>
        <w:pStyle w:val="Bibliography"/>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15"/>
    <w:bookmarkStart w:id="116" w:name="ref-RN1438"/>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16"/>
    <w:bookmarkStart w:id="117" w:name="ref-RN1447"/>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17"/>
    <w:bookmarkStart w:id="118" w:name="ref-RN3150"/>
    <w:p>
      <w:pPr>
        <w:pStyle w:val="Bibliography"/>
      </w:pPr>
      <w:r>
        <w:t xml:space="preserve">Mizuno, S., Bogaard, H.J., Voelkel, N.F., Umeda, Y., Kadowaki, M., Ameshima, S., Miyamori, I., and Ishizaki, T. (2009). Hypoxia regulates human lung fibroblast proliferation via p53-dependent and -independent pathways. Respir Res</w:t>
      </w:r>
      <w:r>
        <w:t xml:space="preserve"> </w:t>
      </w:r>
      <w:r>
        <w:rPr>
          <w:iCs/>
          <w:i/>
        </w:rPr>
        <w:t xml:space="preserve">10</w:t>
      </w:r>
      <w:r>
        <w:t xml:space="preserve">, 17.</w:t>
      </w:r>
    </w:p>
    <w:bookmarkEnd w:id="118"/>
    <w:bookmarkStart w:id="119" w:name="ref-RN1523"/>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19"/>
    <w:bookmarkStart w:id="120" w:name="ref-RN1522"/>
    <w:p>
      <w:pPr>
        <w:pStyle w:val="Bibliography"/>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20"/>
    <w:bookmarkStart w:id="121" w:name="ref-RN1603"/>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21"/>
    <w:bookmarkStart w:id="122" w:name="ref-RN1668"/>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22"/>
    <w:bookmarkStart w:id="123" w:name="ref-RN1678"/>
    <w:p>
      <w:pPr>
        <w:pStyle w:val="Bibliography"/>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23"/>
    <w:bookmarkStart w:id="124" w:name="ref-TFEA.ChIP"/>
    <w:p>
      <w:pPr>
        <w:pStyle w:val="Bibliography"/>
      </w:pPr>
      <w:r>
        <w:t xml:space="preserve">Puente-Santamaria, L., Wasserman, W., and del Peso, L. (2019). TFEA.ChIP: A tool kit for transcription factor binding site enrichment analysis capitalizing on ChIP-seq datasets. Bioinformatics.</w:t>
      </w:r>
    </w:p>
    <w:bookmarkEnd w:id="124"/>
    <w:bookmarkStart w:id="125" w:name="ref-RN1741"/>
    <w:p>
      <w:pPr>
        <w:pStyle w:val="Bibliography"/>
      </w:pPr>
      <w:r>
        <w:t xml:space="preserve">Quek, L.E., Dietmair, S., Kromer, J.O., and Nielsen, L.K. (2010). Metabolic flux analysis in mammalian cell culture. Metab Eng</w:t>
      </w:r>
      <w:r>
        <w:t xml:space="preserve"> </w:t>
      </w:r>
      <w:r>
        <w:rPr>
          <w:iCs/>
          <w:i/>
        </w:rPr>
        <w:t xml:space="preserve">12</w:t>
      </w:r>
      <w:r>
        <w:t xml:space="preserve">, 161–171.</w:t>
      </w:r>
    </w:p>
    <w:bookmarkEnd w:id="125"/>
    <w:bookmarkStart w:id="126" w:name="ref-R-base"/>
    <w:p>
      <w:pPr>
        <w:pStyle w:val="Bibliography"/>
      </w:pPr>
      <w:r>
        <w:t xml:space="preserve">R Core Team (2020). R: A language and environment for statistical computing (Vienna, Austria: R Foundation for Statistical Computing).</w:t>
      </w:r>
    </w:p>
    <w:bookmarkEnd w:id="126"/>
    <w:bookmarkStart w:id="127" w:name="ref-RN3081"/>
    <w:p>
      <w:pPr>
        <w:pStyle w:val="Bibliography"/>
      </w:pPr>
      <w:r>
        <w:t xml:space="preserve">Rabinowitz, J.D., and Enerback, S. (2020). Lactate: The ugly duckling of energy metabolism. Nat Metab</w:t>
      </w:r>
      <w:r>
        <w:t xml:space="preserve"> </w:t>
      </w:r>
      <w:r>
        <w:rPr>
          <w:iCs/>
          <w:i/>
        </w:rPr>
        <w:t xml:space="preserve">2</w:t>
      </w:r>
      <w:r>
        <w:t xml:space="preserve">, 566–571.</w:t>
      </w:r>
    </w:p>
    <w:bookmarkEnd w:id="127"/>
    <w:bookmarkStart w:id="128" w:name="ref-limma"/>
    <w:p>
      <w:pPr>
        <w:pStyle w:val="Bibliography"/>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28"/>
    <w:bookmarkStart w:id="129" w:name="ref-RN1966"/>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29"/>
    <w:bookmarkStart w:id="130" w:name="ref-multiGSEA"/>
    <w:p>
      <w:pPr>
        <w:pStyle w:val="Bibliography"/>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30"/>
    <w:bookmarkStart w:id="131" w:name="ref-RN1980"/>
    <w:p>
      <w:pPr>
        <w:pStyle w:val="Bibliography"/>
      </w:pPr>
      <w:r>
        <w:t xml:space="preserve">Semenza, G.L. (2012). Hypoxia-inducible factors in physiology and medicine. Cell</w:t>
      </w:r>
      <w:r>
        <w:t xml:space="preserve"> </w:t>
      </w:r>
      <w:r>
        <w:rPr>
          <w:iCs/>
          <w:i/>
        </w:rPr>
        <w:t xml:space="preserve">148</w:t>
      </w:r>
      <w:r>
        <w:t xml:space="preserve">, 399–408.</w:t>
      </w:r>
    </w:p>
    <w:bookmarkEnd w:id="131"/>
    <w:bookmarkStart w:id="132" w:name="ref-RN2005"/>
    <w:p>
      <w:pPr>
        <w:pStyle w:val="Bibliography"/>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32"/>
    <w:bookmarkStart w:id="133" w:name="ref-RN2210"/>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33"/>
    <w:bookmarkStart w:id="134" w:name="ref-RN2266"/>
    <w:p>
      <w:pPr>
        <w:pStyle w:val="Bibliography"/>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34"/>
    <w:bookmarkStart w:id="135" w:name="ref-RN2395"/>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35"/>
    <w:bookmarkStart w:id="136" w:name="ref-RN2409"/>
    <w:p>
      <w:pPr>
        <w:pStyle w:val="Bibliography"/>
      </w:pPr>
      <w:r>
        <w:t xml:space="preserve">Xiao, W., and Loscalzo, J. (2020). Metabolic responses to reductive stress. Antioxid Redox Signal</w:t>
      </w:r>
      <w:r>
        <w:t xml:space="preserve"> </w:t>
      </w:r>
      <w:r>
        <w:rPr>
          <w:iCs/>
          <w:i/>
        </w:rPr>
        <w:t xml:space="preserve">32</w:t>
      </w:r>
      <w:r>
        <w:t xml:space="preserve">, 1330–1347.</w:t>
      </w:r>
    </w:p>
    <w:bookmarkEnd w:id="136"/>
    <w:bookmarkStart w:id="137" w:name="ref-RN3111"/>
    <w:p>
      <w:pPr>
        <w:pStyle w:val="Bibliography"/>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37"/>
    <w:bookmarkStart w:id="138" w:name="ref-RN2501"/>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38"/>
    <w:bookmarkStart w:id="139" w:name="ref-RN2517"/>
    <w:p>
      <w:pPr>
        <w:pStyle w:val="Bibliography"/>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39"/>
    <w:bookmarkStart w:id="140" w:name="ref-RN2525"/>
    <w:p>
      <w:pPr>
        <w:pStyle w:val="Bibliography"/>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40"/>
    <w:bookmarkEnd w:id="141"/>
    <w:bookmarkEnd w:id="142"/>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target gene transcription and glycolytic flux in proliferating primary cells</dc:title>
  <dc:creator>Courtney A. Copeland1, Benjamin A. Olenchock1,2, David R. Ziehr1,4, Sarah McGarrity1,5, Kevin Leahy1, Jamey D. Young3, Joseph Loscalzo1, and William M. Oldham1,‡</dc:creator>
  <cp:keywords/>
  <dcterms:created xsi:type="dcterms:W3CDTF">2021-09-02T20:59:09Z</dcterms:created>
  <dcterms:modified xsi:type="dcterms:W3CDTF">2021-09-02T20:59:09Z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yes</vt:lpwstr>
  </property>
  <property fmtid="{D5CDD505-2E9C-101B-9397-08002B2CF9AE}" pid="8" name="link-citations">
    <vt:lpwstr>yes</vt:lpwstr>
  </property>
  <property fmtid="{D5CDD505-2E9C-101B-9397-08002B2CF9AE}" pid="9" name="mainfont">
    <vt:lpwstr>Calibri</vt:lpwstr>
  </property>
  <property fmtid="{D5CDD505-2E9C-101B-9397-08002B2CF9AE}" pid="10" name="output">
    <vt:lpwstr/>
  </property>
</Properties>
</file>