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stressor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increased expression of glycolytic enzymes,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separately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with their associated energetic and metabolic demands, even in the face of limited oxygen availability, or hypoxia. Metazoan cells depend on aerobic respiration to meet cellular energy needs.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α-ketoglutrate-dependent dioxygenase enzymes that require molecular oxygen for their enzymatic activity. When oxygen tension falls, PHD activity decreases, leading to HIF-1α stabilization and activation of its associated transcriptional program. Overall, the HIF-1 transriptional program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 yielding important insights into the metabolic pathobiology of cancer</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here we have developed models of bioenergetic carbon flux in human lung fibroblasts (LFs) and pulmonary artery smooth muscle cells (PASMCs) cultured in 21% or 0.5% oxygen.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human lung diseases where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K, E-H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Similar results were also observed in PASMCs were lactate efflux was significantly</w:t>
      </w:r>
      <w:r>
        <w:t xml:space="preserve"> </w:t>
      </w:r>
      <w:r>
        <w:rPr>
          <w:iCs/>
          <w:i/>
        </w:rPr>
        <w:t xml:space="preserve">decreased</w:t>
      </w:r>
      <w:r>
        <w:t xml:space="preserve"> </w:t>
      </w:r>
      <w:r>
        <w:t xml:space="preserve">by 0.5% ambient oxygen (</w:t>
      </w:r>
      <w:r>
        <w:rPr>
          <w:bCs/>
          <w:b/>
        </w:rPr>
        <w:t xml:space="preserve">Figure S3</w:t>
      </w:r>
      <w:r>
        <w:t xml:space="preserve">).</w:t>
      </w:r>
    </w:p>
    <w:p>
      <w:pPr>
        <w:pStyle w:val="BodyText"/>
      </w:pPr>
      <w:r>
        <w:t xml:space="preserve">In addition to glucose and lactate, we also determinted the extracellular fluxes of pyruvate and amino acids. Overall, changes were modest, with hypoxia generally associated with decreased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 in these cells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Similar patterns were observed under 0.2% oxygen culture conditions.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D-H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glutamate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our findings from extracellular flux measurements, we next treated LFs with stable carbon isotopes of glucose and glutamine to measure the rate and trace the incorporation of label into key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Several patterns of isotope labeling emerge across the treatment conditions (</w:t>
      </w:r>
      <w:r>
        <w:rPr>
          <w:bCs/>
          <w:b/>
        </w:rPr>
        <w:t xml:space="preserve">Figures</w:t>
      </w:r>
      <w:r>
        <w:rPr>
          <w:bCs/>
          <w:b/>
        </w:rPr>
        <w:t xml:space="preserve"> </w:t>
      </w:r>
      <w:r>
        <w:rPr>
          <w:bCs/>
          <w:b/>
        </w:rPr>
        <w:t xml:space="preserve">3</w:t>
      </w:r>
      <w:r>
        <w:rPr>
          <w:bCs/>
          <w:b/>
        </w:rPr>
        <w:t xml:space="preserve">C, S4</w:t>
      </w:r>
      <w:r>
        <w:t xml:space="preserve">). For the glycolytic intermediates fructose bisphosphate (FBP), 3-phosphoglycerate (3PG), and pyruvate (PYR), label incorporation from the glucose tracers is decreased with hypoxia and BAY treatments (</w:t>
      </w:r>
      <w:r>
        <w:rPr>
          <w:iCs/>
          <w:i/>
        </w:rPr>
        <w:t xml:space="preserve">i.e.</w:t>
      </w:r>
      <w:r>
        <w:t xml:space="preserve">, the unlabeled, or M0, fraction was greater). This is also true for the tricarboxylic acid cycle (TCA) metabolites citrate (CIT), α-ketoglutarate (AKG), and malate (MAL) labeled with [1,2-</w:t>
      </w:r>
      <w:r>
        <w:t xml:space="preserve"> </w:t>
      </w:r>
      <w:r>
        <w:rPr>
          <w:vertAlign w:val="superscript"/>
        </w:rPr>
        <w:t xml:space="preserve">13</w:t>
      </w:r>
      <w:r>
        <w:t xml:space="preserve">C</w:t>
      </w:r>
      <w:r>
        <w:rPr>
          <w:vertAlign w:val="subscript"/>
        </w:rPr>
        <w:t xml:space="preserve">2</w:t>
      </w:r>
      <w:r>
        <w:t xml:space="preserve"> </w:t>
      </w:r>
      <w:r>
        <w:t xml:space="preserve">glucose]. By contrast, these metabolites show increased labeling with [U-</w:t>
      </w:r>
      <w:r>
        <w:rPr>
          <w:vertAlign w:val="superscript"/>
        </w:rPr>
        <w:t xml:space="preserve">13</w:t>
      </w:r>
      <w:r>
        <w:t xml:space="preserve">C</w:t>
      </w:r>
      <w:r>
        <w:rPr>
          <w:vertAlign w:val="subscript"/>
        </w:rPr>
        <w:t xml:space="preserve">6</w:t>
      </w:r>
      <w:r>
        <w:t xml:space="preserve">] glucose. The citrate labeling pattern indicates increased label incorporation into M3 and M5 isotopes, reflecting carbon entry through pyruvate carboxylase, which catalyzes the carboxylation of pyruvate to oxaloacetate. The [U-</w:t>
      </w:r>
      <w:r>
        <w:rPr>
          <w:vertAlign w:val="superscript"/>
        </w:rPr>
        <w:t xml:space="preserve">13</w:t>
      </w:r>
      <w:r>
        <w:t xml:space="preserve">C</w:t>
      </w:r>
      <w:r>
        <w:rPr>
          <w:vertAlign w:val="subscript"/>
        </w:rPr>
        <w:t xml:space="preserve">5</w:t>
      </w:r>
      <w:r>
        <w:t xml:space="preserve">] glutamine label was not incorporated into pyruvate or upstream glycolytic intermediates. The labeling of TCA metabolites by glutamine was decreased in hypoxia and BAY treatment with a more pronounced effect of BAY treatment.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suggesting no change in reductive carboxylation for lipid synthesis in LFs. The overall fraction of M5-citrate in these cells was low (&lt; 7%).</w:t>
      </w:r>
    </w:p>
    <w:p>
      <w:pPr>
        <w:pStyle w:val="BodyText"/>
      </w:pPr>
      <w:r>
        <w:t xml:space="preserve">The stable isotope labeling patterns in PASMCs were similar to LFs (</w:t>
      </w:r>
      <w:r>
        <w:rPr>
          <w:bCs/>
          <w:b/>
        </w:rPr>
        <w:t xml:space="preserve">Figure S5</w:t>
      </w:r>
      <w:r>
        <w:t xml:space="preserve">) where labeling was attenuated in hypoxia. The most notable differences between LF and PASMC labeling were observed in citrate. Compared with LFs, PASMCs demonstrated a marked reduction of M2-citrate labeled by glucose and no change in the labeling of M3-citrate by [U-</w:t>
      </w:r>
      <w:r>
        <w:rPr>
          <w:vertAlign w:val="superscript"/>
        </w:rPr>
        <w:t xml:space="preserve">13</w:t>
      </w:r>
      <w:r>
        <w:t xml:space="preserve">C</w:t>
      </w:r>
      <w:r>
        <w:rPr>
          <w:vertAlign w:val="subscript"/>
        </w:rPr>
        <w:t xml:space="preserve">3</w:t>
      </w:r>
      <w:r>
        <w:t xml:space="preserve">] glucose. Interestingly, unlike LFs, PASMCs demonstrated increased production of M5-citrate from [U-</w:t>
      </w:r>
      <w:r>
        <w:rPr>
          <w:vertAlign w:val="superscript"/>
        </w:rPr>
        <w:t xml:space="preserve">13</w:t>
      </w:r>
      <w:r>
        <w:t xml:space="preserve">C</w:t>
      </w:r>
      <w:r>
        <w:rPr>
          <w:vertAlign w:val="subscript"/>
        </w:rPr>
        <w:t xml:space="preserve">5</w:t>
      </w:r>
      <w:r>
        <w:t xml:space="preserve">] glutamine in hypoxia (7.91% ± 0.89%</w:t>
      </w:r>
      <w:r>
        <w:t xml:space="preserve"> </w:t>
      </w:r>
      <w:r>
        <w:rPr>
          <w:iCs/>
          <w:i/>
        </w:rPr>
        <w:t xml:space="preserve">v</w:t>
      </w:r>
      <w:r>
        <w:t xml:space="preserve">. 18.24% ± 2.67%, p = 0.04) consistent with increased reductive carboxylation in support of lipid synthesis in these cells, similar to prior observations in cancer cells.</w:t>
      </w:r>
    </w:p>
    <w:bookmarkEnd w:id="25"/>
    <w:bookmarkStart w:id="26"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based on a complicated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3</w:t>
      </w:r>
      <w:r>
        <w:rPr>
          <w:bCs/>
          <w:b/>
        </w:rPr>
        <w:t xml:space="preserve">, S7, Tables S1-S3</w:t>
      </w:r>
      <w:r>
        <w:t xml:space="preserve">). Overall, proliferating LFs demonstrated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significant reductions in glycolysis, the TCA cycle, and amino acid metabolism were observed in the metabolic flux models of LFs cultured in hypoxia. A significant increase in pentose phosphate pathway flux was also observed, although the absolute flux through this pathway is low (</w:t>
      </w:r>
      <w:r>
        <w:rPr>
          <w:bCs/>
          <w:b/>
        </w:rPr>
        <w:t xml:space="preserve">Figure</w:t>
      </w:r>
      <w:r>
        <w:rPr>
          <w:bCs/>
          <w:b/>
        </w:rPr>
        <w:t xml:space="preserve"> </w:t>
      </w:r>
      <w:r>
        <w:rPr>
          <w:bCs/>
          <w:b/>
        </w:rPr>
        <w:t xml:space="preserve">3</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3</w:t>
      </w:r>
      <w:r>
        <w:rPr>
          <w:bCs/>
          <w:b/>
        </w:rPr>
        <w:t xml:space="preserve">B</w:t>
      </w:r>
      <w:r>
        <w:t xml:space="preserve">), but had a similar effect as hypoxia in decreasing serine and glutamine incorporation. Metabolite fluxes in DMSO-treated cells were similar to 21% oxygen controls.</w:t>
      </w:r>
    </w:p>
    <w:p>
      <w:pPr>
        <w:pStyle w:val="BodyText"/>
      </w:pPr>
      <w:r>
        <w:t xml:space="preserve">In normoxia, the magnitude of intracellular metabolite fluxes were generally similar in LFs and PASMCs (</w:t>
      </w:r>
      <w:r>
        <w:rPr>
          <w:bCs/>
          <w:b/>
        </w:rPr>
        <w:t xml:space="preserve">Figures S7A, S7B, Tables S1, S3</w:t>
      </w:r>
      <w:r>
        <w:t xml:space="preserve">). LFs had greater consumption of serine while PASMCs had greater efflux of alanine. In hypoxia, PASMCs exhibited similar decreases in glycolytic flux as LFs but also a marked, and unexpected, increase in TCA flux (</w:t>
      </w:r>
      <w:r>
        <w:rPr>
          <w:bCs/>
          <w:b/>
        </w:rPr>
        <w:t xml:space="preserve">Figure S7C</w:t>
      </w:r>
      <w:r>
        <w:t xml:space="preserve">). The increased TCA flux in PASMCs was driven by increased glutamine consumption in these cells. This is similar to a prior report of glutamine-driven oxidative phosphorylation in hypoxic cancer cells</w:t>
      </w:r>
      <w:r>
        <w:t xml:space="preserve"> </w:t>
      </w:r>
      <w:r>
        <w:t xml:space="preserve">(</w:t>
      </w:r>
      <w:hyperlink w:anchor="ref-RN528">
        <w:r>
          <w:rPr>
            <w:rStyle w:val="Hyperlink"/>
          </w:rPr>
          <w:t xml:space="preserve">Fan et al., 2013</w:t>
        </w:r>
      </w:hyperlink>
      <w:r>
        <w:t xml:space="preserve">)</w:t>
      </w:r>
      <w:r>
        <w:t xml:space="preserve">, although glycolysis was also up-regulated in the hypoxia-exposed cancer cells studied in this report.</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protein levels. BAY treatment decreased cell proliferation rate (</w:t>
      </w:r>
      <w:r>
        <w:rPr>
          <w:bCs/>
          <w:b/>
        </w:rPr>
        <w:t xml:space="preserve">Figure</w:t>
      </w:r>
      <w:r>
        <w:rPr>
          <w:bCs/>
          <w:b/>
        </w:rPr>
        <w:t xml:space="preserve"> </w:t>
      </w:r>
      <w:r>
        <w:rPr>
          <w:bCs/>
          <w:b/>
        </w:rPr>
        <w:t xml:space="preserve">1</w:t>
      </w:r>
      <w:r>
        <w:rPr>
          <w:bCs/>
          <w:b/>
        </w:rPr>
        <w:t xml:space="preserve">B</w:t>
      </w:r>
      <w:r>
        <w:t xml:space="preserve">), indicating that, unlike hypoxia, BAY treatment in normoxia uncouples cell proliferation and metabolic flux.</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these cells to hypoxia.</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Since the net lactate transport flux is secretion, this observation suggests increased lactate uptake with hypoxia or BAY treatment. This finding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4</w:t>
      </w:r>
      <w:r>
        <w:rPr>
          <w:bCs/>
          <w:b/>
        </w:rPr>
        <w:t xml:space="preserve">, S5</w:t>
      </w:r>
      <w:r>
        <w:t xml:space="preserve">). 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in areas of high glucose utilization. Subsequently,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2017a</w:t>
        </w:r>
      </w:hyperlink>
      <w:r>
        <w:t xml:space="preserve">,</w:t>
      </w:r>
      <w:r>
        <w:t xml:space="preserve"> </w:t>
      </w:r>
      <w:hyperlink w:anchor="ref-RN2718">
        <w:r>
          <w:rPr>
            <w:rStyle w:val="Hyperlink"/>
          </w:rPr>
          <w:t xml:space="preserve">2020</w:t>
        </w:r>
      </w:hyperlink>
      <w:r>
        <w:t xml:space="preserve">)</w:t>
      </w:r>
      <w:r>
        <w:t xml:space="preserve">. With hypoxia or BAY treatment, we observed increased labeling of the TCA metabolites citrate (CIT), α-ketoglutarate (AKG), malate (MAL), and aspartate (ASP) in LFs. Interestingly, although increased labeling of pyruvate and lactate were observed in hypoxic PASMCs, the label was not incorporated into the TCA cycle as observed in LFs (</w:t>
      </w:r>
      <w:r>
        <w:rPr>
          <w:bCs/>
          <w:b/>
        </w:rPr>
        <w:t xml:space="preserve">Figure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glycogen precursors.</w:t>
      </w:r>
    </w:p>
    <w:bookmarkEnd w:id="27"/>
    <w:bookmarkStart w:id="28"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5</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5</w:t>
      </w:r>
      <w:r>
        <w:rPr>
          <w:bCs/>
          <w:b/>
        </w:rPr>
        <w:t xml:space="preserve">D-F</w:t>
      </w:r>
      <w:r>
        <w:t xml:space="preserve">). Both 0.5% oxygen and BAY treatment induced marked changes in intracellular metabolite levels (</w:t>
      </w:r>
      <w:r>
        <w:rPr>
          <w:bCs/>
          <w:b/>
        </w:rPr>
        <w:t xml:space="preserve">Figure S8</w:t>
      </w:r>
      <w:r>
        <w:t xml:space="preserve">). Of 133 metabolites, 98 were differentially regulated by hypoxia and 54 were differentially regulated by BAY. Of the differentially regulated metabolites, 44 were affected by both 0.5% oxygen and BAY treatment (</w:t>
      </w:r>
      <w:r>
        <w:rPr>
          <w:bCs/>
          <w:b/>
        </w:rPr>
        <w:t xml:space="preserve">Figure S8C</w:t>
      </w:r>
      <w:r>
        <w:t xml:space="preserve">). Metabolite set enrichment analysis of KEGG biochemical pathways were consistent with the results of the metabolic models demonstrating significant enrichment of the pentose phosphate pathway with 0.5% oxygen or BAY treatment; decreased alanine, aspartate, and glutamate metabolism with hypoxia; and increased glycolysis/gluconeogenesis with BAY (</w:t>
      </w:r>
      <w:r>
        <w:rPr>
          <w:bCs/>
          <w:b/>
        </w:rPr>
        <w:t xml:space="preserve">Figures S8D, S8E</w:t>
      </w:r>
      <w:r>
        <w:t xml:space="preserve">). Indeed, aspartate was the most decreased metabolite with both treatments, consistent with prior reports demonstrating an important role for HIF-1 regulation of aspartate biosynthesis in cancer cells</w:t>
      </w:r>
      <w:r>
        <w:t xml:space="preserve"> </w:t>
      </w:r>
      <w:r>
        <w:t xml:space="preserve">(</w:t>
      </w:r>
      <w:hyperlink w:anchor="ref-RN634">
        <w:r>
          <w:rPr>
            <w:rStyle w:val="Hyperlink"/>
          </w:rPr>
          <w:t xml:space="preserve">Garcia-Bermudez et al., 2018</w:t>
        </w:r>
      </w:hyperlink>
      <w:r>
        <w:t xml:space="preserve">;</w:t>
      </w:r>
      <w:r>
        <w:t xml:space="preserve"> </w:t>
      </w:r>
      <w:hyperlink w:anchor="ref-RN1438">
        <w:r>
          <w:rPr>
            <w:rStyle w:val="Hyperlink"/>
          </w:rPr>
          <w:t xml:space="preserve">Melendez-Rodriguez et al., 2019</w:t>
        </w:r>
      </w:hyperlink>
      <w:r>
        <w:t xml:space="preserve">)</w:t>
      </w:r>
      <w:r>
        <w:t xml:space="preserve">.</w:t>
      </w:r>
    </w:p>
    <w:p>
      <w:pPr>
        <w:pStyle w:val="BodyText"/>
      </w:pPr>
      <w:r>
        <w:t xml:space="preserve">Principle component analysis revealed greater class similarity among both treatment groups cultured in 0.5% oxygen (</w:t>
      </w:r>
      <w:r>
        <w:rPr>
          <w:bCs/>
          <w:b/>
        </w:rPr>
        <w:t xml:space="preserve">Figure</w:t>
      </w:r>
      <w:r>
        <w:rPr>
          <w:bCs/>
          <w:b/>
        </w:rPr>
        <w:t xml:space="preserve"> </w:t>
      </w:r>
      <w:r>
        <w:rPr>
          <w:bCs/>
          <w:b/>
        </w:rPr>
        <w:t xml:space="preserve">5</w:t>
      </w:r>
      <w:r>
        <w:rPr>
          <w:bCs/>
          <w:b/>
        </w:rPr>
        <w:t xml:space="preserve">D</w:t>
      </w:r>
      <w:r>
        <w:t xml:space="preserve">). Moreover, these hypoxia-treated cells were well-segregated from BAY-treated cells. These observations are again consistent with the results of metabolic flux models demonstrating an overriding effect of hypoxia</w:t>
      </w:r>
      <w:r>
        <w:t xml:space="preserve"> </w:t>
      </w:r>
      <w:r>
        <w:rPr>
          <w:iCs/>
          <w:i/>
        </w:rPr>
        <w:t xml:space="preserve">per se</w:t>
      </w:r>
      <w:r>
        <w:t xml:space="preserve"> </w:t>
      </w:r>
      <w:r>
        <w:t xml:space="preserve">on metabolic flux and highlighting important differences between hypoxic and pharmacologic PHD inhibition. To identify the key differences among these treatments, we performed linear modeling focusing on those metabolites with a significant interaction term in the model described by treatment × oxygen (</w:t>
      </w:r>
      <w:r>
        <w:rPr>
          <w:bCs/>
          <w:b/>
        </w:rPr>
        <w:t xml:space="preserve">Figure</w:t>
      </w:r>
      <w:r>
        <w:rPr>
          <w:bCs/>
          <w:b/>
        </w:rPr>
        <w:t xml:space="preserve"> </w:t>
      </w:r>
      <w:r>
        <w:rPr>
          <w:bCs/>
          <w:b/>
        </w:rPr>
        <w:t xml:space="preserve">5</w:t>
      </w:r>
      <w:r>
        <w:rPr>
          <w:bCs/>
          <w:b/>
        </w:rPr>
        <w:t xml:space="preserve">E</w:t>
      </w:r>
      <w:r>
        <w:t xml:space="preserve">) (</w:t>
      </w:r>
      <w:r>
        <w:rPr>
          <w:iCs/>
          <w:i/>
        </w:rPr>
        <w:t xml:space="preserve">i.e.</w:t>
      </w:r>
      <w:r>
        <w:t xml:space="preserve">, metabolites where the change with hypoxia treatment was different than the change with BAY treatment). Of 133 metabolites, 77 were significantly differentially regulated by hypoxia and BAY treatments. Several patterns emerged from this analysis (</w:t>
      </w:r>
      <w:r>
        <w:rPr>
          <w:bCs/>
          <w:b/>
        </w:rPr>
        <w:t xml:space="preserve">Figure</w:t>
      </w:r>
      <w:r>
        <w:rPr>
          <w:bCs/>
          <w:b/>
        </w:rPr>
        <w:t xml:space="preserve"> </w:t>
      </w:r>
      <w:r>
        <w:rPr>
          <w:bCs/>
          <w:b/>
        </w:rPr>
        <w:t xml:space="preserve">5</w:t>
      </w:r>
      <w:r>
        <w:rPr>
          <w:bCs/>
          <w:b/>
        </w:rPr>
        <w:t xml:space="preserve">F</w:t>
      </w:r>
      <w:r>
        <w:t xml:space="preserve">). Interestingly, the hypoxia-regulated metabolite, 2-hydroxyglutarate</w:t>
      </w:r>
      <w:r>
        <w:t xml:space="preserve"> </w:t>
      </w:r>
      <w:r>
        <w:t xml:space="preserve">(</w:t>
      </w:r>
      <w:hyperlink w:anchor="ref-RN1603">
        <w:r>
          <w:rPr>
            <w:rStyle w:val="Hyperlink"/>
          </w:rPr>
          <w:t xml:space="preserve">Oldham et al., 2015</w:t>
        </w:r>
      </w:hyperlink>
      <w:r>
        <w:t xml:space="preserve">)</w:t>
      </w:r>
      <w:r>
        <w:t xml:space="preserve">, increased following BAY treatment, but was unaffected by hypoxia treatment in proliferating LFs. The tricarboxylic acid (TCA) cycle metabolite aconitate was decreased in hypoxia, but increased by BAY treatment while the opposite effect was observed for hydroxyproline and taurine. The glycolytic intermediate glyceraldehyde 3-phosphate (GAP) was decreased by both hypoxia and BAY, while hypoxia reversed the BAY-mediated decrease in γ-aminobutyric acid (GABA). A metabolite set enrichment analysis of these differentially regulated metabolites revealed the TCA cycle to be the most enriched KEGG metabolite set (</w:t>
      </w:r>
      <w:r>
        <w:rPr>
          <w:bCs/>
          <w:b/>
        </w:rPr>
        <w:t xml:space="preserve">Figure</w:t>
      </w:r>
      <w:r>
        <w:rPr>
          <w:bCs/>
          <w:b/>
        </w:rPr>
        <w:t xml:space="preserve"> </w:t>
      </w:r>
      <w:r>
        <w:rPr>
          <w:bCs/>
          <w:b/>
        </w:rPr>
        <w:t xml:space="preserve">5</w:t>
      </w:r>
      <w:r>
        <w:rPr>
          <w:bCs/>
          <w:b/>
        </w:rPr>
        <w:t xml:space="preserve">G</w:t>
      </w:r>
      <w:r>
        <w:t xml:space="preserve">). Leading edge analysis demonstrated negative enrichment scores associated with all of the TCA metabolites detected by our platform (</w:t>
      </w:r>
      <w:r>
        <w:rPr>
          <w:bCs/>
          <w:b/>
        </w:rPr>
        <w:t xml:space="preserve">Figure</w:t>
      </w:r>
      <w:r>
        <w:rPr>
          <w:bCs/>
          <w:b/>
        </w:rPr>
        <w:t xml:space="preserve"> </w:t>
      </w:r>
      <w:r>
        <w:rPr>
          <w:bCs/>
          <w:b/>
        </w:rPr>
        <w:t xml:space="preserve">5</w:t>
      </w:r>
      <w:r>
        <w:rPr>
          <w:bCs/>
          <w:b/>
        </w:rPr>
        <w:t xml:space="preserve">H</w:t>
      </w:r>
      <w:r>
        <w:t xml:space="preserve">). This result suggests a more modest impact of BAY treatment on the TCA cycle than hypoxia, as suggested by our metabolic flux models where hypoxia resulted in a 1.5-2-fold reduction of TCA flux compared to a 1.1-1.5-fold reduction with BAY treatment in normoxia (</w:t>
      </w:r>
      <w:r>
        <w:rPr>
          <w:bCs/>
          <w:b/>
        </w:rPr>
        <w:t xml:space="preserve">Figure</w:t>
      </w:r>
      <w:r>
        <w:rPr>
          <w:bCs/>
          <w:b/>
        </w:rPr>
        <w:t xml:space="preserve"> </w:t>
      </w:r>
      <w:r>
        <w:rPr>
          <w:bCs/>
          <w:b/>
        </w:rPr>
        <w:t xml:space="preserve">3</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5</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6</w:t>
      </w:r>
      <w:r>
        <w:rPr>
          <w:bCs/>
          <w:b/>
        </w:rPr>
        <w:t xml:space="preserve">, S9</w:t>
      </w:r>
      <w:r>
        <w:t xml:space="preserve">). As anticipated, both hypoxia and BAY treatment induced substantial changes in gene expression (</w:t>
      </w:r>
      <w:r>
        <w:rPr>
          <w:bCs/>
          <w:b/>
        </w:rPr>
        <w:t xml:space="preserve">Figure S9A, S9B</w:t>
      </w:r>
      <w:r>
        <w:t xml:space="preserve">). Of the 7789 differentially expressed genes across both conditions, 891 (11%) were unique to BAY treatment in normoxia, 1649 (21%) were shared between BAY and hypoxia, while 5249 (67%) were unique to 0.5% culture (</w:t>
      </w:r>
      <w:r>
        <w:rPr>
          <w:bCs/>
          <w:b/>
        </w:rPr>
        <w:t xml:space="preserve">Figure S9C</w:t>
      </w:r>
      <w:r>
        <w:t xml:space="preserve">).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w:t>
      </w:r>
      <w:r>
        <w:rPr>
          <w:bCs/>
          <w:b/>
        </w:rPr>
        <w:t xml:space="preserve">Figures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Principle component analysis again demonstrates clear separation among the four treatment groups (</w:t>
      </w:r>
      <w:r>
        <w:rPr>
          <w:bCs/>
          <w:b/>
        </w:rPr>
        <w:t xml:space="preserve">Figure</w:t>
      </w:r>
      <w:r>
        <w:rPr>
          <w:bCs/>
          <w:b/>
        </w:rPr>
        <w:t xml:space="preserve"> </w:t>
      </w:r>
      <w:r>
        <w:rPr>
          <w:bCs/>
          <w:b/>
        </w:rPr>
        <w:t xml:space="preserve">6</w:t>
      </w:r>
      <w:r>
        <w:rPr>
          <w:bCs/>
          <w:b/>
        </w:rPr>
        <w:t xml:space="preserve">A</w:t>
      </w:r>
      <w:r>
        <w:t xml:space="preserve">). The first and second principle components correspond to 0.5% oxygen and BAY treatments, respectively. Consistent with our prior observations, the combination of 0.5% oxygen plus BAY was more similar to 0.5% oxygen alone with decreased distance between both hypoxia-treated groups along the axis of the second principle component. Again, consistent with the hypothesis that hypoxia uncouples the effects of BAY treatment. To identify those transcripts that were differentially affected by hypoxia compared to BAY treatment alone, we performed linear modeling to identify transcripts with a significant interaction term in the model described by treatment × oxygen (</w:t>
      </w:r>
      <w:r>
        <w:rPr>
          <w:bCs/>
          <w:b/>
        </w:rPr>
        <w:t xml:space="preserve">Figure</w:t>
      </w:r>
      <w:r>
        <w:rPr>
          <w:bCs/>
          <w:b/>
        </w:rPr>
        <w:t xml:space="preserve"> </w:t>
      </w:r>
      <w:r>
        <w:rPr>
          <w:bCs/>
          <w:b/>
        </w:rPr>
        <w:t xml:space="preserve">6</w:t>
      </w:r>
      <w:r>
        <w:rPr>
          <w:bCs/>
          <w:b/>
        </w:rPr>
        <w:t xml:space="preserve">B</w:t>
      </w:r>
      <w:r>
        <w:t xml:space="preserve">). With this analysis, we found several patterns of transcriptional changes (</w:t>
      </w:r>
      <w:r>
        <w:rPr>
          <w:bCs/>
          <w:b/>
        </w:rPr>
        <w:t xml:space="preserve">Figure</w:t>
      </w:r>
      <w:r>
        <w:rPr>
          <w:bCs/>
          <w:b/>
        </w:rPr>
        <w:t xml:space="preserve"> </w:t>
      </w:r>
      <w:r>
        <w:rPr>
          <w:bCs/>
          <w:b/>
        </w:rPr>
        <w:t xml:space="preserve">6</w:t>
      </w:r>
      <w:r>
        <w:rPr>
          <w:bCs/>
          <w:b/>
        </w:rPr>
        <w:t xml:space="preserve">C</w:t>
      </w:r>
      <w:r>
        <w:t xml:space="preserve">). For example, EPAS1, the gene encoding the HIF-2α protein, was markedly decreased by hypoxia, compared to its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where BAY decreases HDAC9 expression and increases P4HA2 expression. Together, this subset of transcriptional changes illustrates important differences between hypoxia and HIF stabilization in normoxia.</w:t>
      </w:r>
    </w:p>
    <w:p>
      <w:pPr>
        <w:pStyle w:val="BodyText"/>
      </w:pPr>
      <w:r>
        <w:t xml:space="preserve">Interestingly, an enrichment analysis of transcripts differentially regulated by 0.5% oxygen and BAY treatment actually demonstrated greater enrichment of the</w:t>
      </w:r>
      <w:r>
        <w:t xml:space="preserve"> </w:t>
      </w:r>
      <w:r>
        <w:t xml:space="preserve">“</w:t>
      </w:r>
      <w:r>
        <w:t xml:space="preserve">hypoxia</w:t>
      </w:r>
      <w:r>
        <w:t xml:space="preserve">”</w:t>
      </w:r>
      <w:r>
        <w:t xml:space="preserve"> </w:t>
      </w:r>
      <w:r>
        <w:t xml:space="preserve">gene set following BAY treatment alone than with hypoxia itself (</w:t>
      </w:r>
      <w:r>
        <w:rPr>
          <w:bCs/>
          <w:b/>
        </w:rPr>
        <w:t xml:space="preserve">Figure</w:t>
      </w:r>
      <w:r>
        <w:rPr>
          <w:bCs/>
          <w:b/>
        </w:rPr>
        <w:t xml:space="preserve"> </w:t>
      </w:r>
      <w:r>
        <w:rPr>
          <w:bCs/>
          <w:b/>
        </w:rPr>
        <w:t xml:space="preserve">6</w:t>
      </w:r>
      <w:r>
        <w:rPr>
          <w:bCs/>
          <w:b/>
        </w:rPr>
        <w:t xml:space="preserve">D</w:t>
      </w:r>
      <w:r>
        <w:t xml:space="preserve">). Similarly, the gene set for glycolysis was also more enriched following BAY treatment than hypoxia treatment. The most enriched gene sets associated with hypoxia included pro-proliferative</w:t>
      </w:r>
      <w:r>
        <w:t xml:space="preserve"> </w:t>
      </w:r>
      <w:r>
        <w:t xml:space="preserve">“</w:t>
      </w:r>
      <w:r>
        <w:t xml:space="preserve">E2F targets</w:t>
      </w:r>
      <w:r>
        <w:t xml:space="preserve">”</w:t>
      </w:r>
      <w:r>
        <w:t xml:space="preserve"> </w:t>
      </w:r>
      <w:r>
        <w:t xml:space="preserve">and</w:t>
      </w:r>
      <w:r>
        <w:t xml:space="preserve"> </w:t>
      </w:r>
      <w:r>
        <w:t xml:space="preserve">“</w:t>
      </w:r>
      <w:r>
        <w:t xml:space="preserve">G2/M checkpoint</w:t>
      </w:r>
      <w:r>
        <w:t xml:space="preserve">”</w:t>
      </w:r>
      <w:r>
        <w:t xml:space="preserve"> </w:t>
      </w:r>
      <w:r>
        <w:t xml:space="preserve">proteins as well as</w:t>
      </w:r>
      <w:r>
        <w:t xml:space="preserve"> </w:t>
      </w:r>
      <w:r>
        <w:t xml:space="preserve">“</w:t>
      </w:r>
      <w:r>
        <w:t xml:space="preserve">Myc targets.</w:t>
      </w:r>
      <w:r>
        <w:t xml:space="preserve">”</w:t>
      </w:r>
      <w:r>
        <w:t xml:space="preserve"> </w:t>
      </w:r>
      <w:r>
        <w:t xml:space="preserve">These findings were further supported by a transcription factor enrichment analysis identifying enrichment of Myc target proteins associated with hypoxia (</w:t>
      </w:r>
      <w:r>
        <w:rPr>
          <w:bCs/>
          <w:b/>
        </w:rPr>
        <w:t xml:space="preserve">Figure</w:t>
      </w:r>
      <w:r>
        <w:rPr>
          <w:bCs/>
          <w:b/>
        </w:rPr>
        <w:t xml:space="preserve"> </w:t>
      </w:r>
      <w:r>
        <w:rPr>
          <w:bCs/>
          <w:b/>
        </w:rPr>
        <w:t xml:space="preserve">6</w:t>
      </w:r>
      <w:r>
        <w:rPr>
          <w:bCs/>
          <w:b/>
        </w:rPr>
        <w:t xml:space="preserve">E</w:t>
      </w:r>
      <w:r>
        <w:t xml:space="preserve">). Consistent with these bioinformatic results, immunoblotting demonstrated up-regulation of Myc protein in hypoxia-treated cells, but not with BAY-treatment alone (</w:t>
      </w:r>
      <w:r>
        <w:rPr>
          <w:bCs/>
          <w:b/>
        </w:rPr>
        <w:t xml:space="preserve">Figure</w:t>
      </w:r>
      <w:r>
        <w:rPr>
          <w:bCs/>
          <w:b/>
        </w:rPr>
        <w:t xml:space="preserve"> </w:t>
      </w:r>
      <w:r>
        <w:rPr>
          <w:bCs/>
          <w:b/>
        </w:rPr>
        <w:t xml:space="preserve">6</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reported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Indeed, our transcription factor enrichment analysis (</w:t>
      </w:r>
      <w:r>
        <w:rPr>
          <w:bCs/>
          <w:b/>
        </w:rPr>
        <w:t xml:space="preserve">Figure</w:t>
      </w:r>
      <w:r>
        <w:rPr>
          <w:bCs/>
          <w:b/>
        </w:rPr>
        <w:t xml:space="preserve"> </w:t>
      </w:r>
      <w:r>
        <w:rPr>
          <w:bCs/>
          <w:b/>
        </w:rPr>
        <w:t xml:space="preserve">6</w:t>
      </w:r>
      <w:r>
        <w:rPr>
          <w:bCs/>
          <w:b/>
        </w:rPr>
        <w:t xml:space="preserve">E</w:t>
      </w:r>
      <w:r>
        <w:t xml:space="preserve">) demonstrates that this family of lysine demethylases (KDMs) was the most enriched with 0.5% oxygen treatment as compared to BAY treatment.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 (</w:t>
      </w:r>
      <w:r>
        <w:rPr>
          <w:bCs/>
          <w:b/>
        </w:rPr>
        <w:t xml:space="preserve">Figure S5K</w:t>
      </w:r>
      <w:r>
        <w:t xml:space="preserve">)</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or all of these molecular mechanisms may contribute to uncoupling glycolytic enzyme expression from glycolytic flux as observed in the experiments described here.</w:t>
      </w:r>
    </w:p>
    <w:p>
      <w:pPr>
        <w:pStyle w:val="BodyText"/>
      </w:pPr>
      <w:r>
        <w:t xml:space="preserve">In addition to its effects on cellular metabolism, another canonical role of HIF-1 activation is slowing of cellular proliferation rate in the face of limited oxygen availability</w:t>
      </w:r>
      <w:r>
        <w:t xml:space="preserve"> </w:t>
      </w:r>
      <w:r>
        <w:t xml:space="preserve">(</w:t>
      </w:r>
      <w:hyperlink w:anchor="ref-RN615">
        <w:r>
          <w:rPr>
            <w:rStyle w:val="Hyperlink"/>
          </w:rPr>
          <w:t xml:space="preserve">Hubbi and Semenza, 2015</w:t>
        </w:r>
      </w:hyperlink>
      <w:r>
        <w:t xml:space="preserve">)</w:t>
      </w:r>
      <w:r>
        <w:t xml:space="preserve"> </w:t>
      </w:r>
      <w:r>
        <w:t xml:space="preserve">and this is what we observed here (</w:t>
      </w:r>
      <w:r>
        <w:rPr>
          <w:bCs/>
          <w:b/>
        </w:rPr>
        <w:t xml:space="preserve">Figures</w:t>
      </w:r>
      <w:r>
        <w:rPr>
          <w:bCs/>
          <w:b/>
        </w:rPr>
        <w:t xml:space="preserve"> </w:t>
      </w:r>
      <w:r>
        <w:rPr>
          <w:bCs/>
          <w:b/>
        </w:rPr>
        <w:t xml:space="preserve">1</w:t>
      </w:r>
      <w:r>
        <w:rPr>
          <w:bCs/>
          <w:b/>
        </w:rPr>
        <w:t xml:space="preserve">B,</w:t>
      </w:r>
      <w:r>
        <w:rPr>
          <w:bCs/>
          <w:b/>
        </w:rPr>
        <w:t xml:space="preserve"> </w:t>
      </w:r>
      <w:r>
        <w:rPr>
          <w:bCs/>
          <w:b/>
        </w:rPr>
        <w:t xml:space="preserve">5</w:t>
      </w:r>
      <w:r>
        <w:rPr>
          <w:bCs/>
          <w:b/>
        </w:rPr>
        <w:t xml:space="preserve">A</w:t>
      </w:r>
      <w:r>
        <w:t xml:space="preserve">). The effects of HIF-1 on cell proliferation rate are mediated, in part, by increased expression of cyclin-dependent kinase inhibitor p21 (</w:t>
      </w:r>
      <w:r>
        <w:rPr>
          <w:iCs/>
          <w:i/>
        </w:rPr>
        <w:t xml:space="preserve">CDKN1A</w:t>
      </w:r>
      <w:r>
        <w:t xml:space="preserve">) and inhibition of E2F targets</w:t>
      </w:r>
      <w:r>
        <w:t xml:space="preserve"> </w:t>
      </w:r>
      <w:r>
        <w:t xml:space="preserve">(</w:t>
      </w:r>
      <w:hyperlink w:anchor="ref-RN3152">
        <w:r>
          <w:rPr>
            <w:rStyle w:val="Hyperlink"/>
          </w:rPr>
          <w:t xml:space="preserve">Gardner et al., 2001</w:t>
        </w:r>
      </w:hyperlink>
      <w:r>
        <w:t xml:space="preserve">)</w:t>
      </w:r>
      <w:r>
        <w:t xml:space="preserve"> </w:t>
      </w:r>
      <w:r>
        <w:t xml:space="preserve">and inhibition of pro-proliferative Myc signaling</w:t>
      </w:r>
      <w:r>
        <w:t xml:space="preserve"> </w:t>
      </w:r>
      <w:r>
        <w:t xml:space="preserve">(</w:t>
      </w:r>
      <w:hyperlink w:anchor="ref-RN3151">
        <w:r>
          <w:rPr>
            <w:rStyle w:val="Hyperlink"/>
          </w:rPr>
          <w:t xml:space="preserve">Koshiji et al., 2004</w:t>
        </w:r>
      </w:hyperlink>
      <w:r>
        <w:t xml:space="preserve">)</w:t>
      </w:r>
      <w:r>
        <w:t xml:space="preserve">. These transcriptional effects are precisely what is observed in BAY treated LFs in normoxia. By contrast, hypoxia culture was associated with decreased expression of p21, consistent with a previous report</w:t>
      </w:r>
      <w:r>
        <w:t xml:space="preserve"> </w:t>
      </w:r>
      <w:r>
        <w:t xml:space="preserve">(</w:t>
      </w:r>
      <w:hyperlink w:anchor="ref-RN3150">
        <w:r>
          <w:rPr>
            <w:rStyle w:val="Hyperlink"/>
          </w:rPr>
          <w:t xml:space="preserve">Mizuno et al., 2009</w:t>
        </w:r>
      </w:hyperlink>
      <w:r>
        <w:t xml:space="preserve">)</w:t>
      </w:r>
      <w:r>
        <w:t xml:space="preserve">, as well as increased expression of Myc protein and enrichment of Myc target genes. Indeed, the most marked differences between hypoxia and BAY treatment on LF gene transcription were the up-regulation of pro-proliferative gene sets containing E2F targets and G2/M checkpoint proteins. Much of this transcriptional response may be mediated by hypoxia-induced up-regulation of Myc, which is known to stimulate cell cycle progression through its effects on the expression and activity of cyclins, cyclin-dependent kinases, and cyclin-dependent kinase inhibitors</w:t>
      </w:r>
      <w:r>
        <w:t xml:space="preserve"> </w:t>
      </w:r>
      <w:r>
        <w:t xml:space="preserve">(</w:t>
      </w:r>
      <w:hyperlink w:anchor="ref-RN3154">
        <w:r>
          <w:rPr>
            <w:rStyle w:val="Hyperlink"/>
          </w:rPr>
          <w:t xml:space="preserve">Hydbring et al., 2017</w:t>
        </w:r>
      </w:hyperlink>
      <w:r>
        <w:t xml:space="preserve">)</w:t>
      </w:r>
      <w:r>
        <w:t xml:space="preserve">; however, the relative importance of Myc and the hypoxia-mediated mechanism of its induction remain to be elucidated in these primary cells. Clarifying the complex interactions among HIFs, Myc, and cell proliferation will be important for understanding the cellular response of these mesenchymal cells to tissue injury.</w:t>
      </w:r>
    </w:p>
    <w:p>
      <w:pPr>
        <w:pStyle w:val="BodyText"/>
      </w:pPr>
      <w:r>
        <w:t xml:space="preserve">Altogether, 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neither PHD, HIFs, nor their downstream targets were found to be selectively essential as a function of oxygen tension in a genome-wide CRISPR growth screen of K562 human lymphoblasts cultured in normoxia or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This work also highlights two specific metabolic features that appear to be important in the metabolic response of these primary cells to hypoxia. First, both LFs and PASMCs demonstrated notable incorporation of lactate-derived carbon into intracellular metabolic pathways that increased with hypoxia and BAY treatments (</w:t>
      </w:r>
      <w:r>
        <w:rPr>
          <w:bCs/>
          <w:b/>
        </w:rPr>
        <w:t xml:space="preserve">Figures</w:t>
      </w:r>
      <w:r>
        <w:rPr>
          <w:bCs/>
          <w:b/>
        </w:rPr>
        <w:t xml:space="preserve"> </w:t>
      </w:r>
      <w:r>
        <w:rPr>
          <w:bCs/>
          <w:b/>
        </w:rPr>
        <w:t xml:space="preserve">4</w:t>
      </w:r>
      <w:r>
        <w:rPr>
          <w:bCs/>
          <w:b/>
        </w:rPr>
        <w:t xml:space="preserve">, S5</w:t>
      </w:r>
      <w:r>
        <w:t xml:space="preserve">). This finding is consistent with increasing evidence suggesting an important role for lactate as a metabolic fuel in several organ systems</w:t>
      </w:r>
      <w:r>
        <w:t xml:space="preserve"> </w:t>
      </w:r>
      <w:r>
        <w:t xml:space="preserve">(</w:t>
      </w:r>
      <w:hyperlink w:anchor="ref-RN2600">
        <w:r>
          <w:rPr>
            <w:rStyle w:val="Hyperlink"/>
          </w:rPr>
          <w:t xml:space="preserve">Faubert et al., 2013</w:t>
        </w:r>
      </w:hyperlink>
      <w:r>
        <w:t xml:space="preserve">;</w:t>
      </w:r>
      <w:r>
        <w:t xml:space="preserve"> </w:t>
      </w:r>
      <w:hyperlink w:anchor="ref-RN1157">
        <w:r>
          <w:rPr>
            <w:rStyle w:val="Hyperlink"/>
          </w:rPr>
          <w:t xml:space="preserve">Hui et al., 2017b</w:t>
        </w:r>
      </w:hyperlink>
      <w:r>
        <w:t xml:space="preserve">)</w:t>
      </w:r>
      <w:r>
        <w:t xml:space="preserve">. Although typically considered a metabolic waste product</w:t>
      </w:r>
      <w:r>
        <w:t xml:space="preserve"> </w:t>
      </w:r>
      <w:r>
        <w:t xml:space="preserve">(</w:t>
      </w:r>
      <w:hyperlink w:anchor="ref-RN3081">
        <w:r>
          <w:rPr>
            <w:rStyle w:val="Hyperlink"/>
          </w:rPr>
          <w:t xml:space="preserve">Rabinowitz and Enerback, 2020</w:t>
        </w:r>
      </w:hyperlink>
      <w:r>
        <w:t xml:space="preserve">)</w:t>
      </w:r>
      <w:r>
        <w:t xml:space="preserve">, an important contribution of lactate</w:t>
      </w:r>
      <w:r>
        <w:t xml:space="preserve"> </w:t>
      </w:r>
      <w:r>
        <w:rPr>
          <w:iCs/>
          <w:i/>
        </w:rPr>
        <w:t xml:space="preserve">import</w:t>
      </w:r>
      <w:r>
        <w:t xml:space="preserve"> </w:t>
      </w:r>
      <w:r>
        <w:t xml:space="preserve">in supporting metabolic homeostasis in the face of an ischemic insult, which is associated with increased extracellular lactate, is an evolutionarily attractive hypothesis that merits further investigation. Second, PASMCs, but not LFs, demonstrated significant rates of reductive carboxylation that increased in 0.5% oxygen (</w:t>
      </w:r>
      <w:r>
        <w:rPr>
          <w:bCs/>
          <w:b/>
        </w:rPr>
        <w:t xml:space="preserve">Figure S5</w:t>
      </w:r>
      <w:r>
        <w:t xml:space="preserve">). Reductive carboxylation was first identified in hypoxic tumor cells where stable isotope tracing revealed</w:t>
      </w:r>
      <w:r>
        <w:t xml:space="preserve"> </w:t>
      </w:r>
      <w:r>
        <w:rPr>
          <w:vertAlign w:val="superscript"/>
        </w:rPr>
        <w:t xml:space="preserve">13</w:t>
      </w:r>
      <w:r>
        <w:t xml:space="preserve">C incorporation from labeled glutamine into lipids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Hypoxia drives PASMC proliferation</w:t>
      </w:r>
      <w:r>
        <w:t xml:space="preserve"> </w:t>
      </w:r>
      <w:r>
        <w:rPr>
          <w:iCs/>
          <w:i/>
        </w:rPr>
        <w:t xml:space="preserve">in vivo</w:t>
      </w:r>
      <w:r>
        <w:t xml:space="preserve"> </w:t>
      </w:r>
      <w:r>
        <w:t xml:space="preserve">contributing to the development pulmonary hypertension in humans and animal models. Isocitrate dehydrogenase has previously been implicated in the pathobiology of this disease</w:t>
      </w:r>
      <w:r>
        <w:t xml:space="preserve"> </w:t>
      </w:r>
      <w:r>
        <w:t xml:space="preserve">(</w:t>
      </w:r>
      <w:hyperlink w:anchor="ref-RN1259">
        <w:r>
          <w:rPr>
            <w:rStyle w:val="Hyperlink"/>
          </w:rPr>
          <w:t xml:space="preserve">Fessel et al., 2012</w:t>
        </w:r>
      </w:hyperlink>
      <w:r>
        <w:t xml:space="preserve">)</w:t>
      </w:r>
      <w:r>
        <w:t xml:space="preserve">, and our findings suggest that reductive carboxylation catalyzed by isocitrate dehydrogenase may be a metabolic vulnerability of hypoxic PASMCs associated with pulmonary vascular disease.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 Although both cell types used in this study were derived from lung, we anticipate that many of our findings will be generalizable to primary cells from different tissues.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clarify the role of HIFs in mediating the metabolic response to hypoxia and to identify other key regulators of hypoxic metabolic reprogramming in primary cells. Moreover, these data strongly caution investigators against drawing conclusions about metabolite flux from measures of gene transcription alone.</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pPr>
        <w:pStyle w:val="BodyText"/>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pPr>
        <w:pStyle w:val="BodyText"/>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5"/>
    <w:bookmarkStart w:id="42" w:name="figures"/>
    <w:p>
      <w:pPr>
        <w:pStyle w:val="Heading1"/>
      </w:pPr>
      <w:r>
        <w:t xml:space="preserve">Figures</w:t>
      </w:r>
    </w:p>
    <w:p>
      <w:pPr>
        <w:pStyle w:val="CaptionedFigure"/>
      </w:pPr>
      <w:r>
        <w:drawing>
          <wp:inline>
            <wp:extent cx="5257800" cy="66167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6"/>
                    <a:stretch>
                      <a:fillRect/>
                    </a:stretch>
                  </pic:blipFill>
                  <pic:spPr bwMode="auto">
                    <a:xfrm>
                      <a:off x="0" y="0"/>
                      <a:ext cx="5257800" cy="66167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34000" cy="4648200"/>
            <wp:effectExtent b="0" l="0" r="0" t="0"/>
            <wp:docPr descr="Figure 2: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7"/>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r>
        <w:br w:type="page"/>
      </w:r>
    </w:p>
    <w:p>
      <w:pPr>
        <w:pStyle w:val="CaptionedFigure"/>
      </w:pPr>
      <w:r>
        <w:drawing>
          <wp:inline>
            <wp:extent cx="6400800" cy="3393045"/>
            <wp:effectExtent b="0" l="0" r="0" t="0"/>
            <wp:docPr descr="Figure 3: Metabolic flux maps of lung fibroblasts. (A) Ratio of metabolic fluxes in 0.5% oxygen compared to 21% oxygen. (B)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8"/>
                    <a:stretch>
                      <a:fillRect/>
                    </a:stretch>
                  </pic:blipFill>
                  <pic:spPr bwMode="auto">
                    <a:xfrm>
                      <a:off x="0" y="0"/>
                      <a:ext cx="6400800" cy="3393045"/>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r>
        <w:br w:type="page"/>
      </w:r>
    </w:p>
    <w:p>
      <w:pPr>
        <w:pStyle w:val="CaptionedFigure"/>
      </w:pPr>
      <w:r>
        <w:drawing>
          <wp:inline>
            <wp:extent cx="4025900" cy="2895600"/>
            <wp:effectExtent b="0" l="0" r="0" t="0"/>
            <wp:docPr descr="Figure 4: PHD inhibition increases lactate uptake and oxidation. Mass isotopomer distributions of key metabolites following labeling with [U-13C3]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39"/>
                    <a:stretch>
                      <a:fillRect/>
                    </a:stretch>
                  </pic:blipFill>
                  <pic:spPr bwMode="auto">
                    <a:xfrm>
                      <a:off x="0" y="0"/>
                      <a:ext cx="4025900" cy="2895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118100" cy="8470900"/>
            <wp:effectExtent b="0" l="0" r="0" t="0"/>
            <wp:docPr descr="Figure 5: Metabolomic analysis of molidustat treatm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note reversed y-axis) (B) and lactate (C). (D) Principle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Blue circles indicate the fold change with hypoxia was greater than the fold change with BAY treatment while purple circles indicate the opposite. (F) Representative metabolites highlighted in (E) reveal different patterns of metabolic effects. (G) Metabolite set enrichment analysis of metabolites from (E). KEGG pathways with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0"/>
                    <a:stretch>
                      <a:fillRect/>
                    </a:stretch>
                  </pic:blipFill>
                  <pic:spPr bwMode="auto">
                    <a:xfrm>
                      <a:off x="0" y="0"/>
                      <a:ext cx="5118100" cy="84709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324600" cy="5334000"/>
            <wp:effectExtent b="0" l="0" r="0" t="0"/>
            <wp:docPr descr="Figure 6: Transcriptomic analysis of molidustat treamtent in normoxia and hypoxia. (A) Principle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1"/>
                    <a:stretch>
                      <a:fillRect/>
                    </a:stretch>
                  </pic:blipFill>
                  <pic:spPr bwMode="auto">
                    <a:xfrm>
                      <a:off x="0" y="0"/>
                      <a:ext cx="6324600" cy="53340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2"/>
    <w:bookmarkStart w:id="74" w:name="star-methods"/>
    <w:p>
      <w:pPr>
        <w:pStyle w:val="Heading1"/>
      </w:pPr>
      <w:r>
        <w:t xml:space="preserve">STAR Methods</w:t>
      </w:r>
    </w:p>
    <w:bookmarkStart w:id="47" w:name="resource-availability"/>
    <w:p>
      <w:pPr>
        <w:pStyle w:val="Heading2"/>
      </w:pPr>
      <w:r>
        <w:t xml:space="preserve">Resource Availability</w:t>
      </w:r>
    </w:p>
    <w:bookmarkStart w:id="43"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3"/>
    <w:bookmarkStart w:id="44" w:name="materials-availability"/>
    <w:p>
      <w:pPr>
        <w:pStyle w:val="Heading3"/>
      </w:pPr>
      <w:r>
        <w:t xml:space="preserve">Materials Availability</w:t>
      </w:r>
    </w:p>
    <w:p>
      <w:pPr>
        <w:pStyle w:val="FirstParagraph"/>
      </w:pPr>
      <w:r>
        <w:t xml:space="preserve">This study did not generate new unique reagents.</w:t>
      </w:r>
    </w:p>
    <w:bookmarkEnd w:id="44"/>
    <w:bookmarkStart w:id="46"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5">
        <w:r>
          <w:rPr>
            <w:rStyle w:val="Hyperlink"/>
          </w:rPr>
          <w:t xml:space="preserve">https://github.com/oldhamlab/Copeland.2021.hypoxia.flux</w:t>
        </w:r>
      </w:hyperlink>
      <w:r>
        <w:t xml:space="preserve">). RNA-seq data has been deposited in the NIH Short Read Archive (PRJNA721596).</w:t>
      </w:r>
    </w:p>
    <w:bookmarkEnd w:id="46"/>
    <w:bookmarkEnd w:id="47"/>
    <w:bookmarkStart w:id="50" w:name="experimental-model-details"/>
    <w:p>
      <w:pPr>
        <w:pStyle w:val="Heading2"/>
      </w:pPr>
      <w:r>
        <w:t xml:space="preserve">Experimental Model Details</w:t>
      </w:r>
    </w:p>
    <w:bookmarkStart w:id="48"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48"/>
    <w:bookmarkStart w:id="49"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49"/>
    <w:bookmarkEnd w:id="50"/>
    <w:bookmarkStart w:id="71" w:name="method-details"/>
    <w:p>
      <w:pPr>
        <w:pStyle w:val="Heading2"/>
      </w:pPr>
      <w:r>
        <w:t xml:space="preserve">Method Details</w:t>
      </w:r>
    </w:p>
    <w:bookmarkStart w:id="51"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1"/>
    <w:bookmarkStart w:id="52"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2"/>
    <w:bookmarkStart w:id="53"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3"/>
    <w:bookmarkStart w:id="54"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4"/>
    <w:bookmarkStart w:id="55"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5"/>
    <w:bookmarkStart w:id="56"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6"/>
    <w:bookmarkStart w:id="57"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7"/>
    <w:bookmarkStart w:id="58"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8"/>
    <w:bookmarkStart w:id="59"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59"/>
    <w:bookmarkStart w:id="65" w:name="metabolomics"/>
    <w:p>
      <w:pPr>
        <w:pStyle w:val="Heading3"/>
      </w:pPr>
      <w:r>
        <w:t xml:space="preserve">Metabolomics</w:t>
      </w:r>
    </w:p>
    <w:bookmarkStart w:id="60"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0"/>
    <w:bookmarkStart w:id="61"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1"/>
    <w:bookmarkStart w:id="63"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2">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3"/>
    <w:bookmarkStart w:id="64"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4"/>
    <w:bookmarkEnd w:id="65"/>
    <w:bookmarkStart w:id="66"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6"/>
    <w:bookmarkStart w:id="67"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7"/>
    <w:bookmarkStart w:id="68"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8"/>
    <w:bookmarkStart w:id="70"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69">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0"/>
    <w:bookmarkEnd w:id="71"/>
    <w:bookmarkStart w:id="72"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5">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referenced in the data supplement.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2"/>
    <w:bookmarkStart w:id="73"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bl>
    <w:p>
      <w:r>
        <w:br w:type="page"/>
      </w:r>
    </w:p>
    <w:bookmarkEnd w:id="73"/>
    <w:bookmarkEnd w:id="74"/>
    <w:bookmarkStart w:id="75"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Isotope incorporation in key metabolites over the experimental time course.</w:t>
      </w:r>
    </w:p>
    <w:p>
      <w:pPr>
        <w:pStyle w:val="BodyText"/>
      </w:pPr>
      <w:r>
        <w:t xml:space="preserve">Figure S7:</w:t>
      </w:r>
      <w:r>
        <w:t xml:space="preserve"> </w:t>
      </w:r>
      <w:r>
        <w:rPr>
          <w:bCs/>
          <w:b/>
        </w:rPr>
        <w:t xml:space="preserve">Isotopically non-stationary metabolic flux analysis.</w:t>
      </w:r>
    </w:p>
    <w:p>
      <w:pPr>
        <w:pStyle w:val="BodyText"/>
      </w:pPr>
      <w:r>
        <w:t xml:space="preserve">Figure S8:</w:t>
      </w:r>
      <w:r>
        <w:t xml:space="preserve"> </w:t>
      </w:r>
      <w:r>
        <w:rPr>
          <w:bCs/>
          <w:b/>
        </w:rPr>
        <w:t xml:space="preserve">Metabolomic profiling of hypoxia and BAY treated lung fibroblasts.</w:t>
      </w:r>
    </w:p>
    <w:p>
      <w:pPr>
        <w:pStyle w:val="BodyText"/>
      </w:pPr>
      <w:r>
        <w:t xml:space="preserve">Figure S9:</w:t>
      </w:r>
      <w:r>
        <w:t xml:space="preserve"> </w:t>
      </w:r>
      <w:r>
        <w:rPr>
          <w:bCs/>
          <w:b/>
        </w:rPr>
        <w:t xml:space="preserve">Transcriptomic profiling of hypoxia and BAY treated lung fibroblasts.</w:t>
      </w:r>
    </w:p>
    <w:p>
      <w:r>
        <w:br w:type="page"/>
      </w:r>
    </w:p>
    <w:bookmarkEnd w:id="75"/>
    <w:bookmarkStart w:id="142" w:name="references"/>
    <w:p>
      <w:pPr>
        <w:pStyle w:val="Heading1"/>
      </w:pPr>
      <w:r>
        <w:t xml:space="preserve">References</w:t>
      </w:r>
    </w:p>
    <w:bookmarkStart w:id="141" w:name="refs"/>
    <w:bookmarkStart w:id="76"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6"/>
    <w:bookmarkStart w:id="77"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7"/>
    <w:bookmarkStart w:id="78"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8"/>
    <w:bookmarkStart w:id="79"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79"/>
    <w:bookmarkStart w:id="80"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0"/>
    <w:bookmarkStart w:id="81"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1"/>
    <w:bookmarkStart w:id="82"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2"/>
    <w:bookmarkStart w:id="83" w:name="ref-RN528"/>
    <w:p>
      <w:pPr>
        <w:pStyle w:val="Bibliography"/>
      </w:pPr>
      <w:r>
        <w:t xml:space="preserve">Fan, J., Kamphorst, J.J., Mathew, R., Chung, M.K., White, E., Shlomi, T., and Rabinowitz, J.D. (2013). Glutamine-driven oxidative phosphorylation is a major ATP source in transformed mammalian cells in both normoxia and hypoxia. Mol Syst Biol</w:t>
      </w:r>
      <w:r>
        <w:t xml:space="preserve"> </w:t>
      </w:r>
      <w:r>
        <w:rPr>
          <w:iCs/>
          <w:i/>
        </w:rPr>
        <w:t xml:space="preserve">9</w:t>
      </w:r>
      <w:r>
        <w:t xml:space="preserve">, 712.</w:t>
      </w:r>
    </w:p>
    <w:bookmarkEnd w:id="83"/>
    <w:bookmarkStart w:id="84"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1259"/>
    <w:p>
      <w:pPr>
        <w:pStyle w:val="Bibliography"/>
      </w:pPr>
      <w:r>
        <w:t xml:space="preserve">Fessel, J.P., Hamid, R., Wittmann, B.M., Robinson, L.J., Blackwell, T., Tada, Y., Tanabe, N., Tatsumi, K., Hemnes, A.R., and West, J.D. (2012). Metabolomic analysis of bone morphogenetic protein receptor type 2 mutations in human pulmonary endothelium reveals widespread metabolic reprogramming. Pulm Circ</w:t>
      </w:r>
      <w:r>
        <w:t xml:space="preserve"> </w:t>
      </w:r>
      <w:r>
        <w:rPr>
          <w:iCs/>
          <w:i/>
        </w:rPr>
        <w:t xml:space="preserve">2</w:t>
      </w:r>
      <w:r>
        <w:t xml:space="preserve">, 201–213.</w:t>
      </w:r>
    </w:p>
    <w:bookmarkEnd w:id="87"/>
    <w:bookmarkStart w:id="88"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8"/>
    <w:bookmarkStart w:id="89"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9"/>
    <w:bookmarkStart w:id="90"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90"/>
    <w:bookmarkStart w:id="91" w:name="ref-RN3152"/>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p>
    <w:bookmarkEnd w:id="91"/>
    <w:bookmarkStart w:id="92"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2"/>
    <w:bookmarkStart w:id="93"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3"/>
    <w:bookmarkStart w:id="94"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4"/>
    <w:bookmarkStart w:id="95"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5"/>
    <w:bookmarkStart w:id="96" w:name="ref-RN6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p>
    <w:bookmarkEnd w:id="96"/>
    <w:bookmarkStart w:id="97" w:name="ref-RN1157"/>
    <w:p>
      <w:pPr>
        <w:pStyle w:val="Bibliography"/>
      </w:pPr>
      <w:r>
        <w:t xml:space="preserve">Hui, S., Ghergurovich, J.M., Morscher, R.J., Jang, C., Teng, X., Lu, W., Esparza, L.A., Reya, T., Le, Z., Yanxiang Guo, J., et al. (2017b). Glucose feeds the TCA cycle via circulating lactate. Nature</w:t>
      </w:r>
      <w:r>
        <w:t xml:space="preserve"> </w:t>
      </w:r>
      <w:r>
        <w:rPr>
          <w:iCs/>
          <w:i/>
        </w:rPr>
        <w:t xml:space="preserve">551</w:t>
      </w:r>
      <w:r>
        <w:t xml:space="preserve">, 115–118.</w:t>
      </w:r>
    </w:p>
    <w:bookmarkEnd w:id="97"/>
    <w:bookmarkStart w:id="98" w:name="ref-RN2756"/>
    <w:p>
      <w:pPr>
        <w:pStyle w:val="Bibliography"/>
      </w:pPr>
      <w:r>
        <w:t xml:space="preserve">Hui, S., Ghergurovich, J.M., Morscher, R.J., Jang, C., Teng, X., Lu, W., Esparza, L.A., Reya, T., Le, Z., Yanxiang Guo, J., et al. (2017a). Glucose feeds the TCA cycle via circulating lactate. Nature</w:t>
      </w:r>
      <w:r>
        <w:t xml:space="preserve"> </w:t>
      </w:r>
      <w:r>
        <w:rPr>
          <w:iCs/>
          <w:i/>
        </w:rPr>
        <w:t xml:space="preserve">551</w:t>
      </w:r>
      <w:r>
        <w:t xml:space="preserve">, 115–118.</w:t>
      </w:r>
    </w:p>
    <w:bookmarkEnd w:id="98"/>
    <w:bookmarkStart w:id="99" w:name="ref-RN2718"/>
    <w:p>
      <w:pPr>
        <w:pStyle w:val="Bibliography"/>
      </w:pPr>
      <w:r>
        <w:t xml:space="preserve">Hui, S., Cowan, A.J., Zeng, X., Yang, L., TeSlaa, T., Li, X., Bartman, C., Zhang, Z., Jang, C., Wang, L., et al. (2020). Quantitative fluxomics of circulating metabolites. Cell Metab.</w:t>
      </w:r>
    </w:p>
    <w:bookmarkEnd w:id="99"/>
    <w:bookmarkStart w:id="100" w:name="ref-RN3154"/>
    <w:p>
      <w:pPr>
        <w:pStyle w:val="Bibliography"/>
      </w:pPr>
      <w:r>
        <w:t xml:space="preserve">Hydbring, P., Castell, A., and Larsson, L.G. (2017). MYC modulation around the CDK2/p27/SKP2 axis. Genes (Basel)</w:t>
      </w:r>
      <w:r>
        <w:t xml:space="preserve"> </w:t>
      </w:r>
      <w:r>
        <w:rPr>
          <w:iCs/>
          <w:i/>
        </w:rPr>
        <w:t xml:space="preserve">8</w:t>
      </w:r>
      <w:r>
        <w:t xml:space="preserve">.</w:t>
      </w:r>
    </w:p>
    <w:bookmarkEnd w:id="100"/>
    <w:bookmarkStart w:id="101"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101"/>
    <w:bookmarkStart w:id="102"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102"/>
    <w:bookmarkStart w:id="103"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103"/>
    <w:bookmarkStart w:id="104"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104"/>
    <w:bookmarkStart w:id="105"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5"/>
    <w:bookmarkStart w:id="106"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6"/>
    <w:bookmarkStart w:id="107" w:name="ref-fgsea"/>
    <w:p>
      <w:pPr>
        <w:pStyle w:val="Bibliography"/>
      </w:pPr>
      <w:r>
        <w:t xml:space="preserve">Korotkevich, G., Sukhov, V., and Sergushichev, A. (2019). Fast gene set enrichment analysis. bioRxiv.</w:t>
      </w:r>
    </w:p>
    <w:bookmarkEnd w:id="107"/>
    <w:bookmarkStart w:id="108" w:name="ref-RN3151"/>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p>
    <w:bookmarkEnd w:id="108"/>
    <w:bookmarkStart w:id="109"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9"/>
    <w:bookmarkStart w:id="110"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10"/>
    <w:bookmarkStart w:id="111"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11"/>
    <w:bookmarkStart w:id="112"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12"/>
    <w:bookmarkStart w:id="113"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13"/>
    <w:bookmarkStart w:id="114"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14"/>
    <w:bookmarkStart w:id="115"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15"/>
    <w:bookmarkStart w:id="116"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6"/>
    <w:bookmarkStart w:id="117"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7"/>
    <w:bookmarkStart w:id="118" w:name="ref-RN3150"/>
    <w:p>
      <w:pPr>
        <w:pStyle w:val="Bibliography"/>
      </w:pPr>
      <w:r>
        <w:t xml:space="preserve">Mizuno, S., Bogaard, H.J., Voelkel, N.F., Umeda, Y., Kadowaki, M., Ameshima, S., Miyamori, I., and Ishizaki, T. (2009). Hypoxia regulates human lung fibroblast proliferation via p53-dependent and -independent pathways. Respir Res</w:t>
      </w:r>
      <w:r>
        <w:t xml:space="preserve"> </w:t>
      </w:r>
      <w:r>
        <w:rPr>
          <w:iCs/>
          <w:i/>
        </w:rPr>
        <w:t xml:space="preserve">10</w:t>
      </w:r>
      <w:r>
        <w:t xml:space="preserve">, 17.</w:t>
      </w:r>
    </w:p>
    <w:bookmarkEnd w:id="118"/>
    <w:bookmarkStart w:id="119"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9"/>
    <w:bookmarkStart w:id="120"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20"/>
    <w:bookmarkStart w:id="121"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21"/>
    <w:bookmarkStart w:id="122"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22"/>
    <w:bookmarkStart w:id="123"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23"/>
    <w:bookmarkStart w:id="124"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24"/>
    <w:bookmarkStart w:id="125"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25"/>
    <w:bookmarkStart w:id="126" w:name="ref-R-base"/>
    <w:p>
      <w:pPr>
        <w:pStyle w:val="Bibliography"/>
      </w:pPr>
      <w:r>
        <w:t xml:space="preserve">R Core Team (2020). R: A language and environment for statistical computing (Vienna, Austria: R Foundation for Statistical Computing).</w:t>
      </w:r>
    </w:p>
    <w:bookmarkEnd w:id="126"/>
    <w:bookmarkStart w:id="127" w:name="ref-RN3081"/>
    <w:p>
      <w:pPr>
        <w:pStyle w:val="Bibliography"/>
      </w:pPr>
      <w:r>
        <w:t xml:space="preserve">Rabinowitz, J.D., and Enerback, S. (2020). Lactate: The ugly duckling of energy metabolism. Nat Metab</w:t>
      </w:r>
      <w:r>
        <w:t xml:space="preserve"> </w:t>
      </w:r>
      <w:r>
        <w:rPr>
          <w:iCs/>
          <w:i/>
        </w:rPr>
        <w:t xml:space="preserve">2</w:t>
      </w:r>
      <w:r>
        <w:t xml:space="preserve">, 566–571.</w:t>
      </w:r>
    </w:p>
    <w:bookmarkEnd w:id="127"/>
    <w:bookmarkStart w:id="128"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8"/>
    <w:bookmarkStart w:id="129"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9"/>
    <w:bookmarkStart w:id="130"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30"/>
    <w:bookmarkStart w:id="131"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31"/>
    <w:bookmarkStart w:id="132"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32"/>
    <w:bookmarkStart w:id="133"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33"/>
    <w:bookmarkStart w:id="134"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34"/>
    <w:bookmarkStart w:id="135"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35"/>
    <w:bookmarkStart w:id="136"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36"/>
    <w:bookmarkStart w:id="137"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37"/>
    <w:bookmarkStart w:id="138"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8"/>
    <w:bookmarkStart w:id="139"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9"/>
    <w:bookmarkStart w:id="140"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40"/>
    <w:bookmarkEnd w:id="141"/>
    <w:bookmarkEnd w:id="142"/>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2021-07-28T15:30:47Z</dcterms:created>
  <dcterms:modified xsi:type="dcterms:W3CDTF">2021-07-28T15:30:47Z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