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df" ContentType="application/pdf"/>
  <Override PartName="/word/media/rId24.pdf" ContentType="application/pdf"/>
  <Override PartName="/word/media/rId25.pdf" ContentType="application/pdf"/>
  <Override PartName="/word/media/rId26.pdf" ContentType="application/pdf"/>
  <Override PartName="/word/media/rId27.pdf" ContentType="application/pdf"/>
  <Override PartName="/word/media/rId28.pdf" ContentType="application/pdf"/>
  <Override PartName="/word/media/rId29.pdf" ContentType="application/pdf"/>
  <Override PartName="/word/media/rId30.pdf" ContentType="application/pdf"/>
  <Override PartName="/word/media/rId31.pdf" ContentType="application/pdf"/>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Supplemental</w:t>
      </w:r>
      <w:r>
        <w:t xml:space="preserve"> </w:t>
      </w:r>
      <w:r>
        <w:t xml:space="preserve">Information</w:t>
      </w:r>
    </w:p>
    <w:p>
      <w:pPr>
        <w:pStyle w:val="Subtitle"/>
      </w:pPr>
      <w:r>
        <w:t xml:space="preserve">Hypoxia</w:t>
      </w:r>
      <w:r>
        <w:t xml:space="preserve"> </w:t>
      </w:r>
      <w:r>
        <w:t xml:space="preserve">uncouples</w:t>
      </w:r>
      <w:r>
        <w:t xml:space="preserve"> </w:t>
      </w:r>
      <w:r>
        <w:t xml:space="preserve">HIF</w:t>
      </w:r>
      <w:r>
        <w:t xml:space="preserve"> </w:t>
      </w:r>
      <w:r>
        <w:t xml:space="preserve">gene</w:t>
      </w:r>
      <w:r>
        <w:t xml:space="preserve"> </w:t>
      </w:r>
      <w:r>
        <w:t xml:space="preserve">transcription</w:t>
      </w:r>
      <w:r>
        <w:t xml:space="preserve"> </w:t>
      </w:r>
      <w:r>
        <w:t xml:space="preserve">and</w:t>
      </w:r>
      <w:r>
        <w:t xml:space="preserve"> </w:t>
      </w:r>
      <w:r>
        <w:t xml:space="preserve">metabolic</w:t>
      </w:r>
      <w:r>
        <w:t xml:space="preserve"> </w:t>
      </w:r>
      <w:r>
        <w:t xml:space="preserve">flux</w:t>
      </w:r>
      <w:r>
        <w:t xml:space="preserve"> </w:t>
      </w:r>
      <w:r>
        <w:t xml:space="preserve">in</w:t>
      </w:r>
      <w:r>
        <w:t xml:space="preserve"> </w:t>
      </w:r>
      <w:r>
        <w:t xml:space="preserve">proliferating</w:t>
      </w:r>
      <w:r>
        <w:t xml:space="preserve"> </w:t>
      </w:r>
      <w:r>
        <w:t xml:space="preserve">primary</w:t>
      </w:r>
      <w:r>
        <w:t xml:space="preserve"> </w:t>
      </w:r>
      <w:r>
        <w:t xml:space="preserve">cells</w:t>
      </w:r>
    </w:p>
    <w:p>
      <w:pPr>
        <w:pStyle w:val="Author"/>
      </w:pPr>
      <w:r>
        <w:t xml:space="preserve">Courtney A. Copeland</w:t>
      </w:r>
      <w:r>
        <w:rPr>
          <w:vertAlign w:val="superscript"/>
        </w:rPr>
        <w:t xml:space="preserve">1</w:t>
      </w:r>
      <w:r>
        <w:t xml:space="preserve">,</w:t>
      </w:r>
      <w:r>
        <w:t xml:space="preserve"> </w:t>
      </w:r>
      <w:r>
        <w:t xml:space="preserve">Benjamin A. Olenchock</w:t>
      </w:r>
      <w:r>
        <w:rPr>
          <w:vertAlign w:val="superscript"/>
        </w:rPr>
        <w:t xml:space="preserve">1</w:t>
      </w:r>
      <w:r>
        <w:rPr>
          <w:vertAlign w:val="superscript"/>
        </w:rPr>
        <w:t xml:space="preserve">,</w:t>
      </w:r>
      <w:r>
        <w:rPr>
          <w:vertAlign w:val="superscript"/>
        </w:rPr>
        <w:t xml:space="preserve">2</w:t>
      </w:r>
      <w:r>
        <w:t xml:space="preserve">,</w:t>
      </w:r>
      <w:r>
        <w:t xml:space="preserve"> </w:t>
      </w:r>
      <w:r>
        <w:t xml:space="preserve">David R. Ziehr</w:t>
      </w:r>
      <w:r>
        <w:rPr>
          <w:vertAlign w:val="superscript"/>
        </w:rPr>
        <w:t xml:space="preserve">1</w:t>
      </w:r>
      <w:r>
        <w:rPr>
          <w:vertAlign w:val="superscript"/>
        </w:rPr>
        <w:t xml:space="preserve">,</w:t>
      </w:r>
      <w:r>
        <w:rPr>
          <w:vertAlign w:val="superscript"/>
        </w:rPr>
        <w:t xml:space="preserve">4</w:t>
      </w:r>
      <w:r>
        <w:t xml:space="preserve">,</w:t>
      </w:r>
      <w:r>
        <w:t xml:space="preserve"> </w:t>
      </w:r>
      <w:r>
        <w:t xml:space="preserve">Sarah McGarrity</w:t>
      </w:r>
      <w:r>
        <w:rPr>
          <w:vertAlign w:val="superscript"/>
        </w:rPr>
        <w:t xml:space="preserve">1</w:t>
      </w:r>
      <w:r>
        <w:rPr>
          <w:vertAlign w:val="superscript"/>
        </w:rPr>
        <w:t xml:space="preserve">,</w:t>
      </w:r>
      <w:r>
        <w:rPr>
          <w:vertAlign w:val="superscript"/>
        </w:rPr>
        <w:t xml:space="preserve">5</w:t>
      </w:r>
      <w:r>
        <w:t xml:space="preserve">,</w:t>
      </w:r>
      <w:r>
        <w:t xml:space="preserve"> </w:t>
      </w:r>
      <w:r>
        <w:t xml:space="preserve">Jamey D. Young</w:t>
      </w:r>
      <w:r>
        <w:rPr>
          <w:vertAlign w:val="superscript"/>
        </w:rPr>
        <w:t xml:space="preserve">3</w:t>
      </w:r>
      <w:r>
        <w:t xml:space="preserve">,</w:t>
      </w:r>
      <w:r>
        <w:t xml:space="preserve"> </w:t>
      </w:r>
      <w:r>
        <w:t xml:space="preserve">Joseph Loscalzo</w:t>
      </w:r>
      <w:r>
        <w:rPr>
          <w:vertAlign w:val="superscript"/>
        </w:rPr>
        <w:t xml:space="preserve">1</w:t>
      </w:r>
      <w:r>
        <w:t xml:space="preserve">,</w:t>
      </w:r>
      <w:r>
        <w:t xml:space="preserve"> </w:t>
      </w:r>
      <w:r>
        <w:t xml:space="preserve">and</w:t>
      </w:r>
      <w:r>
        <w:t xml:space="preserve"> </w:t>
      </w:r>
      <w:r>
        <w:t xml:space="preserve">William M. Oldham</w:t>
      </w:r>
      <w:r>
        <w:rPr>
          <w:vertAlign w:val="superscript"/>
        </w:rPr>
        <w:t xml:space="preserve">1</w:t>
      </w:r>
      <w:r>
        <w:rPr>
          <w:vertAlign w:val="superscript"/>
        </w:rPr>
        <w:t xml:space="preserve">,</w:t>
      </w:r>
      <w:r>
        <w:rPr>
          <w:vertAlign w:val="superscript"/>
        </w:rPr>
        <w:t xml:space="preserve">‡</w:t>
      </w:r>
    </w:p>
    <w:p>
      <w:pPr>
        <w:pStyle w:val="FirstParagraph"/>
      </w:pPr>
      <w:r>
        <w:rPr>
          <w:vertAlign w:val="superscript"/>
        </w:rPr>
        <w:t xml:space="preserve">1</w:t>
      </w:r>
      <w:r>
        <w:t xml:space="preserve"> </w:t>
      </w:r>
      <w:r>
        <w:t xml:space="preserve">Department of Medicine, Brigham and Women’s Hospital and Harvard Medical School, Boston, MA</w:t>
      </w:r>
      <w:r>
        <w:br/>
      </w:r>
      <w:r>
        <w:rPr>
          <w:vertAlign w:val="superscript"/>
        </w:rPr>
        <w:t xml:space="preserve">2</w:t>
      </w:r>
      <w:r>
        <w:t xml:space="preserve"> </w:t>
      </w:r>
      <w:r>
        <w:t xml:space="preserve">Regeneron Pharmaceuticals, Tarrytown, NY</w:t>
      </w:r>
      <w:r>
        <w:br/>
      </w:r>
      <w:r>
        <w:rPr>
          <w:vertAlign w:val="superscript"/>
        </w:rPr>
        <w:t xml:space="preserve">3</w:t>
      </w:r>
      <w:r>
        <w:t xml:space="preserve"> </w:t>
      </w:r>
      <w:r>
        <w:t xml:space="preserve">Departments of Chemical &amp; Biomolecular Engineering and Molecular Physiology &amp; Biophysics, Vanderbilt University, Nashville, TN</w:t>
      </w:r>
      <w:r>
        <w:br/>
      </w:r>
      <w:r>
        <w:rPr>
          <w:vertAlign w:val="superscript"/>
        </w:rPr>
        <w:t xml:space="preserve">4</w:t>
      </w:r>
      <w:r>
        <w:t xml:space="preserve"> </w:t>
      </w:r>
      <w:r>
        <w:t xml:space="preserve">Department of Medicine, Massachusetts General Hospital and Harvard Medical School, Boston, MA</w:t>
      </w:r>
      <w:r>
        <w:br/>
      </w:r>
      <w:r>
        <w:rPr>
          <w:vertAlign w:val="superscript"/>
        </w:rPr>
        <w:t xml:space="preserve">5</w:t>
      </w:r>
      <w:r>
        <w:t xml:space="preserve"> </w:t>
      </w:r>
      <w:r>
        <w:t xml:space="preserve">Center for Systems Biology, School of Health Sciences, University of Iceland, Reykjavik, Iceland</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William M. Oldham &lt;</w:t>
        </w:r>
        <w:hyperlink r:id="rId20">
          <w:r>
            <w:rPr>
              <w:rStyle w:val="Hyperlink"/>
            </w:rPr>
            <w:t xml:space="preserve">woldham@bwh.harvard.edu</w:t>
          </w:r>
        </w:hyperlink>
        <w:r>
          <w:rPr>
            <w:rStyle w:val="Hyperlink"/>
          </w:rPr>
          <w:t xml:space="preserve">&gt;</w:t>
        </w:r>
      </w:hyperlink>
    </w:p>
    <w:p>
      <w:r>
        <w:br w:type="page"/>
      </w:r>
    </w:p>
    <w:bookmarkStart w:id="21" w:name="tables"/>
    <w:p>
      <w:pPr>
        <w:pStyle w:val="Heading1"/>
      </w:pPr>
      <w:r>
        <w:t xml:space="preserve">Tables</w:t>
      </w:r>
    </w:p>
    <w:p>
      <w:pPr>
        <w:pStyle w:val="TableCaption"/>
      </w:pPr>
      <w:r>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table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t>
      </w:r>
      <w:r>
        <w:t xml:space="preserve">Lung fibroblast fluxes in 21% and 0.5% oxygen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Look w:firstRow="1" w:lastRow="0" w:firstColumn="0" w:lastColumn="0" w:noHBand="0" w:noVBand="1"/>
      </w:tblPr>
      <w:tr>
        <w:trPr>
          <w:cantSplit/>
          <w:trHeight w:val="360" w:hRule="auto"/>
          <w:tblHeader/>
        </w:trPr>
        <w:tc>
          <w:tcPr>
            <w:gridSpan w:val="2"/>
            <w:tcBorders>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
            </w:r>
          </w:p>
        </w:tc>
        <w:tc>
          <w:tcPr>
            <w:gridSpan w:val="3"/>
            <w:tcBorders>
              <w:bottom w:val="single" w:sz="2"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21%</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16"/>
                <w:szCs w:val="16"/>
                <w:color w:val="000000"/>
              </w:rPr>
              <w:t xml:space="preserve">a</w:t>
            </w:r>
          </w:p>
        </w:tc>
        <w:tc>
          <w:tcPr>
            <w:gridSpan w:val="3"/>
            <w:tcBorders>
              <w:bottom w:val="single" w:sz="2"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0.5%</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16"/>
                <w:szCs w:val="16"/>
                <w:color w:val="000000"/>
              </w:rPr>
              <w:t xml:space="preserve">b</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
            </w:r>
          </w:p>
        </w:tc>
      </w:tr>
      <w:tr>
        <w:trPr>
          <w:cantSplit/>
          <w:trHeight w:val="360" w:hRule="auto"/>
          <w:tblHeader/>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ID</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Reaction</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Flux</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LB</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UB</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Flux</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LB</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UB</w:t>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Ratio</w:t>
            </w:r>
          </w:p>
        </w:tc>
      </w:tr>
      <w:tr>
        <w:trPr>
          <w:cantSplit/>
          <w:trHeight w:val="360" w:hRule="auto"/>
        </w:trPr>
        <w:tc>
          <w:tcPr>
            <w:gridSpan w:val="9"/>
            <w:tcBorders>
              <w:bottom w:val="single" w:sz="2"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NET</w:t>
            </w:r>
          </w:p>
        </w:tc>
      </w:tr>
      <w:tr>
        <w:trPr>
          <w:cantSplit/>
          <w:trHeight w:val="360" w:hRule="auto"/>
        </w:trPr>
        <w:tc>
          <w:tcPr>
            <w:gridSpan w:val="9"/>
            <w:tcBorders>
              <w:top w:val="single" w:sz="2"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Transport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GLUT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GLC.x -&gt; GLC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5.14e+02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5.11e+02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5.21e+02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4.26e+02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4.58e+02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PYR.x -&gt; PYR.c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7.56e+01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7.31e+01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7.96e+01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6.21e+01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5.83e+01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6.60e+01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MCT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LAC &lt;-&gt; LAC.x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9.99e+02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9.98e+02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1.02e+03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8.91e+02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8.62e+02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9.25e+02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ALAR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ALA -&gt; ALA.x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2.25e+00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1.95e+00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2.49e+00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5.84e-01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1.10e-03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1.16e+00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0.26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GLNR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GLN.x -&gt; GLN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4.15e+01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4.06e+01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4.16e+01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1.94e+01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0.34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GLUR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GLU &lt;-&gt; GLU.x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7.55e+00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6.88e+00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8.15e+00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0.47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ASPR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ASP -&gt; ASP.x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2.57e+00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2.68e+00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4.17e-01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1.69e+00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0.42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SERR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SER.x -&gt; SER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5.49e+00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4.99e+00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6.06e+00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0.39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CYSR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CYX.x -&gt; CYS + CYS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4.41e+00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4.23e+00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4.58e+00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2.08e+00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0.37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GLYR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GLY -&gt; GLY.x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1.90e+00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2.15e+00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2.60e-01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4.92e-01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0.13</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Glycolysis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HK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GLC -&gt; G6P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5.14e+02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5.11e+02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5.21e+02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4.26e+02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4.58e+02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PGI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G6P &lt;-&gt; F6P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5.11e+02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4.99e+02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5.24e+02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4.23e+02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4.04e+02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4.40e+02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PFK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F6P -&gt; FBP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5.09e+02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5.00e+02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5.12e+02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4.32e+02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4.17e+02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4.49e+02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ALDO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FBP &lt;-&gt; DHAP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5.09e+02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5.00e+02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5.12e+02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4.32e+02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4.17e+02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4.49e+02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TPI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DHAP &lt;-&gt;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5.08e+02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5.06e+02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5.08e+02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4.31e+02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4.15e+02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4.48e+02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GAPDH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GAP &lt;-&gt; 3PG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1.02e+03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9.96e+02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1.04e+03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8.69e+02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8.35e+02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9.03e+02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3PG -&gt; PEP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1.01e+03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9.99e+02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1.03e+03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8.68e+02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8.36e+02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9.00e+02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PEP -&gt; PYR.c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1.04e+03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9.95e+02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1.04e+03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8.78e+02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8.36e+02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9.21e+02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LDH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PYR.c &lt;-&gt; LAC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9.99e+02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9.98e+02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1.02e+03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8.91e+02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8.62e+02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9.25e+02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GPT1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PYR.c &lt;-&gt; ALA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9.12e+00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5.55e+00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-9.08e+02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6.13e+00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0.47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GPT2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PYR.m &lt;-&gt; ALA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-4.56e+00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2.87e+00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-2.40e-03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-3.22e+01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9.11e+02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Pentose phosphate pathway</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G6PD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G6P -&gt; P5P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1.26e-07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3.91e-01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4.41e+00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2.89e+01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128571428.57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TK1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P5P + P5P &lt;-&gt; S7P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-9.11e-01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-9.29e-01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-8.30e-01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4.76e+00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9.62e+00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-5.23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S7P + GAP &lt;-&gt; F6P + E4P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-9.11e-01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-9.29e-01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-8.30e-01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4.76e+00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9.62e+00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-5.23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TK2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P5P + E4P &lt;-&gt; F6P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-9.11e-01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-9.29e-01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-8.30e-01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4.76e+00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9.62e+00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-5.23</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Anaplerosis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PYR.c -&gt; PYR.m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3.82e+01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9.58e+02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PYR.m + CO2 -&gt; OAC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1.91e+01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9.82e+00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2.69e+01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PEPCK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OAC -&gt; PEP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9.66e+00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2.60e+01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MAL -&gt; PYR.m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9.51e-02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2.68e+00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2.25e+01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MAL -&gt; PYR.c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2.78e-02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2.63e+01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8.71e-05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2.52e+01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FAO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FAO -&gt; AcCoA.m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2.13e+00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6.58e-06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7.73e-01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GLU &lt;-&gt; AKG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9.11e-01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-6.16e-01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7.27e+00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GLN &lt;-&gt; GLU</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3.78e+01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3.86e+01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1.70e+01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0.31</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Tricarboxylic acid cycle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PYR.m -&gt; AcCoA.m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8.76e+01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3.05e+01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2.86e+01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5.24e+01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0.30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AcCoA.m + OAC -&gt; CIT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8.30e+01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3.05e+01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2.88e+01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5.09e+01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0.30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CIT &lt;-&gt; AKG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2.49e+01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2.42e+01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8.75e+00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1.41e+01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0.41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OGDH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AKG -&gt; SUC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4.19e+01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4.01e+01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4.25e+01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7.87e+00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2.02e+01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0.26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SUC &lt;-&gt; FUM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4.19e+01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4.01e+01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4.25e+01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7.87e+00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2.02e+01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0.26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FUM &lt;-&gt; MAL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4.19e+01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4.01e+01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4.25e+01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7.87e+00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2.02e+01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0.26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MAL &lt;-&gt; OAC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3.14e+01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2.62e+01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5.70e+01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0.27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GOT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OAC &lt;-&gt; ASP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8.11e+00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8.06e+00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8.23e+00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4.98e+00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4.32e+00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5.64e+00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0.61</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Amino acid metabolism</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3PG -&gt; SER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1.95e+00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2.42e-01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3.57e+01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SHT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SER &lt;-&gt; GLY + MEETHF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6.38e+00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6.22e+00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6.43e+00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3.91e+00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3.71e+00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4.10e+00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0.61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CYST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SER &lt;-&gt; CYS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-7.12e+00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-7.19e+00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-6.81e+00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-2.10e+00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-2.97e+00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-1.44e+00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0.30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SER -&gt; PYR.c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2.82e-01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1.47e+00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GLYS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CO2 + MEETHF -&gt; GLY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3.39e+00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3.35e+00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3.49e+00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1.93e+00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0.53</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Biomass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BIOMASS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1216*AcCoA.c + 295.6*ALA + 232.4*ASP + 114.7*CO2 + 71.43*CYS + 57.14*DHAP + 142.4*G6P + 158.6*GLN + 190.1*GLU + 324.2*GLY + 125.6*MEETHF + 114.7*P5P + 217.2*SER -&gt; biomass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1.75e-02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0.71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ACL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CIT -&gt; AcCoA.c + MAL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7.74e+01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6.29e+01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1.95e+01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3.71e+01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0.26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LIPS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AcCoA.c -&gt; lipid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4.84e+01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4.55e+01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4.84e+01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1.68e+01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Mixing</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cPYR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0*PYR.c -&gt; PYR.ms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8.47e-01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mPYR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0*PYR.m -&gt; PYR.ms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8.58e-01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sPYR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PYR.ms -&gt; PYR.fix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gridSpan w:val="9"/>
            <w:tcBorders>
              <w:bottom w:val="single" w:sz="2"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EXCH</w:t>
            </w:r>
          </w:p>
        </w:tc>
      </w:tr>
      <w:tr>
        <w:trPr>
          <w:cantSplit/>
          <w:trHeight w:val="360" w:hRule="auto"/>
        </w:trPr>
        <w:tc>
          <w:tcPr>
            <w:gridSpan w:val="9"/>
            <w:tcBorders>
              <w:top w:val="single" w:sz="2"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Transport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MCT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LAC &lt;-&gt; LAC.x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1.52e+03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1.35e+03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2.41e+03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15200000000.00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GLUR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GLU &lt;-&gt; GLU.x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5.10e+00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4.77e+00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5.23e+00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1.54e+00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1.11e+00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2.54e+00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0.30</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Glycolysis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PGI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G6P &lt;-&gt; F6P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2.78e+05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1.77e+05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2.46e+05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ALDO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FBP &lt;-&gt; DHAP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3.20e+02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2.79e+02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3.60e+02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2.24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TPI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DHAP &lt;-&gt;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4.33e+03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4.33e+03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1.09e+04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1.70e+03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1.06e+03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3.06e+03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0.39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GAPDH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GAP &lt;-&gt; 3PG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4.72e+00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4.50e+02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2.39e+02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LDH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PYR.c &lt;-&gt; LAC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1.63e+03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1.62e+03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1.80e+03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4.80e+00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3.51e+02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GPT1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PYR.c &lt;-&gt; ALA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2.61e-01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8.32e+02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9.06e+02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GPT2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PYR.m &lt;-&gt; ALA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4.21e-04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2.92e+00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1.28e-04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Pentose phosphate pathway</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TK1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P5P + P5P &lt;-&gt; S7P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9.97e+04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6.27e+03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6.67e+01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2.60e+02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S7P + GAP &lt;-&gt; F6P + E4P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5.93e+00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5.79e+00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6.97e+00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2.35e-04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7.54e+00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TK2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P5P + E4P &lt;-&gt; F6P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9.05e+00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4.10e+00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1.43e+01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Anaplerosis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GLU &lt;-&gt; AKG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1.52e+03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1.52e+03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7.13e+03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3.78e+02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1.93e+02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1.94e+03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GLN &lt;-&gt; GLU</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3.99e-01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8.04e-01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3.84e-01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Tricarboxylic acid cycle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CIT &lt;-&gt; AKG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4.55e+00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4.03e+00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5.19e+00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4.50e+00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SUC &lt;-&gt; FUM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1.22e+03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7.60e+01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FUM &lt;-&gt; MAL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3.66e+05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1.95e+05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5.05e+05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3.06e+02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MAL &lt;-&gt; OAC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1.11e+03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7.88e+02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2.38e+03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7.22e+01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3.25e+02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GOT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OAC &lt;-&gt; ASP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Amino acid metabolism</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SHT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SER &lt;-&gt; GLY + MEETHF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5.10e+00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8.92e-01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5.25e+00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6.07e-07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3.32e+02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CYST</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SER &lt;-&gt; CYS</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1.52e-05</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2.55e-04</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1.46e-02</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16"/>
                <w:szCs w:val="16"/>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SSR 391.7 [311.2-416.6] (95% CI, 362 DOF)</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16"/>
                <w:szCs w:val="16"/>
                <w:color w:val="000000"/>
              </w:rPr>
              <w:t xml:space="preserve">b</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SSR 334.3 [311.2-416.6] (95% CI, 362 DOF)</w:t>
            </w:r>
          </w:p>
        </w:tc>
      </w:tr>
    </w:tbl>
    <w:p>
      <w:r>
        <w:br w:type="page"/>
      </w:r>
    </w:p>
    <w:p>
      <w:pPr>
        <w:pStyle w:val="TableCaption"/>
      </w:pPr>
      <w:r>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table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t>
      </w:r>
      <w:r>
        <w:t xml:space="preserve">Lung fibroblast fluxes following DMSO and BAY treatment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Look w:firstRow="1" w:lastRow="0" w:firstColumn="0" w:lastColumn="0" w:noHBand="0" w:noVBand="1"/>
      </w:tblPr>
      <w:tr>
        <w:trPr>
          <w:cantSplit/>
          <w:trHeight w:val="360" w:hRule="auto"/>
          <w:tblHeader/>
        </w:trPr>
        <w:tc>
          <w:tcPr>
            <w:gridSpan w:val="2"/>
            <w:tcBorders>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
            </w:r>
          </w:p>
        </w:tc>
        <w:tc>
          <w:tcPr>
            <w:gridSpan w:val="3"/>
            <w:tcBorders>
              <w:bottom w:val="single" w:sz="2"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DMSO</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16"/>
                <w:szCs w:val="16"/>
                <w:color w:val="000000"/>
              </w:rPr>
              <w:t xml:space="preserve">a</w:t>
            </w:r>
          </w:p>
        </w:tc>
        <w:tc>
          <w:tcPr>
            <w:gridSpan w:val="3"/>
            <w:tcBorders>
              <w:bottom w:val="single" w:sz="2"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BAY</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16"/>
                <w:szCs w:val="16"/>
                <w:color w:val="000000"/>
              </w:rPr>
              <w:t xml:space="preserve">b</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
            </w:r>
          </w:p>
        </w:tc>
      </w:tr>
      <w:tr>
        <w:trPr>
          <w:cantSplit/>
          <w:trHeight w:val="360" w:hRule="auto"/>
          <w:tblHeader/>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ID</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Reaction</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Flux</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LB</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UB</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Flux</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LB</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UB</w:t>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Ratio</w:t>
            </w:r>
          </w:p>
        </w:tc>
      </w:tr>
      <w:tr>
        <w:trPr>
          <w:cantSplit/>
          <w:trHeight w:val="360" w:hRule="auto"/>
        </w:trPr>
        <w:tc>
          <w:tcPr>
            <w:gridSpan w:val="9"/>
            <w:tcBorders>
              <w:bottom w:val="single" w:sz="2"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NET</w:t>
            </w:r>
          </w:p>
        </w:tc>
      </w:tr>
      <w:tr>
        <w:trPr>
          <w:cantSplit/>
          <w:trHeight w:val="360" w:hRule="auto"/>
        </w:trPr>
        <w:tc>
          <w:tcPr>
            <w:gridSpan w:val="9"/>
            <w:tcBorders>
              <w:top w:val="single" w:sz="2"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Transport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GLUT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GLC.x -&gt; GLC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6.12e+02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6.12e+02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6.12e+02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8.80e+02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8.80e+02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8.80e+02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PYR.x -&gt; PYR.c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9.98e+01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9.95e+01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6.06e+01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6.06e+01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6.06e+01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0.61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MCT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LAC &lt;-&gt; LAC.x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8.19e+02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8.17e+02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8.20e+02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1.33e+03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1.33e+03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1.33e+03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ALAR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ALA -&gt; ALA.x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2.67e+00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3.29e+00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5.98e+00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5.88e+00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6.24e+00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2.24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GLNR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GLN.x -&gt; GLN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3.78e+01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3.77e+01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3.79e+01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2.06e+01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0.54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GLUR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GLU &lt;-&gt; GLU.x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1.68e+01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ASPR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ASP -&gt; ASP.x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2.49e+00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1.81e+00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0.76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SERR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SER.x -&gt; SER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2.50e+00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0.24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CYSR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CYX.x -&gt; CYS + CYS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2.79e+00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2.79e+00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2.95e+00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3.07e-01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3.06e-01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3.07e-01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0.11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GLYR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GLY -&gt; GLY.x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2.73e+00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5.52e-01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4.30e-01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7.45e-01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0.22</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Glycolysis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HK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GLC -&gt; G6P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6.12e+02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6.12e+02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6.12e+02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8.80e+02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8.80e+02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8.80e+02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PGI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G6P &lt;-&gt; F6P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6.09e+02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6.08e+02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6.09e+02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8.42e+02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8.42e+02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8.42e+02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PFK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F6P -&gt; FBP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6.07e+02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6.07e+02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6.07e+02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8.65e+02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8.65e+02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8.65e+02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ALDO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FBP &lt;-&gt; DHAP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6.07e+02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6.07e+02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6.07e+02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8.65e+02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8.65e+02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8.65e+02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TPI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DHAP &lt;-&gt;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6.06e+02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6.06e+02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6.06e+02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8.65e+02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8.65e+02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8.65e+02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GAPDH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GAP &lt;-&gt; 3PG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1.21e+03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1.21e+03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1.21e+03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1.74e+03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1.74e+03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1.74e+03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3PG -&gt; PEP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1.21e+03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1.21e+03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1.21e+03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1.57e+03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1.57e+03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1.57e+03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PEP -&gt; PYR.c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1.23e+03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1.19e+03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1.23e+03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1.65e+03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1.65e+03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1.65e+03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LDH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PYR.c &lt;-&gt; LAC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8.19e+02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8.17e+02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8.20e+02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1.33e+03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1.33e+03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1.33e+03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GPT1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PYR.c &lt;-&gt; ALA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9.62e+00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9.44e+00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9.62e+00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9.36e+00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9.32e+00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9.42e+00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0.97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GPT2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PYR.m &lt;-&gt; ALA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2.28e-07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-1.22e-05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6.41e-04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Pentose phosphate pathway</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G6PD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G6P -&gt; P5P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3.64e+01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1801.98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TK1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P5P + P5P &lt;-&gt; S7P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-9.06e-01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-9.28e-01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-9.06e-01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1.17e+01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-12.89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S7P + GAP &lt;-&gt; F6P + E4P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-9.06e-01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-9.28e-01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-9.06e-01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1.17e+01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-12.89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TK2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P5P + E4P &lt;-&gt; F6P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-9.06e-01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-9.28e-01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-9.06e-01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1.17e+01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-12.89</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Anaplerosis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PYR.c -&gt; PYR.m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4.99e+02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4.97e+02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4.99e+02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5.50e+02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5.50e+02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5.50e+02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PYR.m + CO2 -&gt; OAC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2.11e+01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2.17e+01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9.05e+01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9.05e+01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9.05e+01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4.28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PEPCK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OAC -&gt; PEP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8.58e+01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8.58e+01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8.58e+01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6.31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MAL -&gt; PYR.m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9.49e-06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MAL -&gt; PYR.c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3.20e-03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2.15e-05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FAO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FAO -&gt; AcCoA.m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3.48e+00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1.09e-04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8.34e-06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4.14e-02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GLU &lt;-&gt; AKG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-2.46e-01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-2.47e-01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-2.46e-01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GLN &lt;-&gt; GLU</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3.40e+01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3.35e+01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3.42e+01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1.88e+01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0.55</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Tricarboxylic acid cycle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PYR.m -&gt; AcCoA.m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4.90e+02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4.90e+02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4.92e+02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4.60e+02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4.60e+02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4.60e+02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0.94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AcCoA.m + OAC -&gt; CIT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4.90e+02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4.84e+02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4.91e+02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4.60e+02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4.60e+02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4.60e+02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0.94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CIT &lt;-&gt; AKG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2.70e+01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2.70e+01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2.76e+01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1.45e+01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0.54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OGDH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AKG -&gt; SUC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4.03e+01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3.99e+01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4.04e+01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1.43e+01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0.35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SUC &lt;-&gt; FUM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4.03e+01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3.99e+01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4.04e+01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1.43e+01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0.35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FUM &lt;-&gt; MAL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4.03e+01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3.99e+01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4.04e+01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1.43e+01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0.35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MAL &lt;-&gt; OAC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4.91e+02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4.91e+02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4.92e+02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4.60e+02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4.60e+02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4.60e+02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0.94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GOT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OAC &lt;-&gt; ASP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7.91e+00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7.76e+00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7.98e+00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4.46e+00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0.56</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Amino acid metabolism</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3PG -&gt; SER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4.03e-01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3.74e-01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5.04e-01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1.73e+02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429.83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SHT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SER &lt;-&gt; GLY + MEETHF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6.63e+00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6.59e+00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6.65e+00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2.85e+00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2.79e+00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2.93e+00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0.43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CYST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SER &lt;-&gt; CYS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-3.88e+00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-3.91e+00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-3.87e+00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2.03e-01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SER -&gt; PYR.c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2.80e+00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2.80e+00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2.80e+00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1.70e+02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60.81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GLYS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CO2 + MEETHF -&gt; GLY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3.50e+00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1.41e+00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1.46e+00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0.39</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Biomass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BIOMASS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1216*AcCoA.c + 295.6*ALA + 232.4*ASP + 114.7*CO2 + 71.43*CYS + 57.14*DHAP + 142.4*G6P + 158.6*GLN + 190.1*GLU + 324.2*GLY + 125.6*MEETHF + 114.7*P5P + 217.2*SER -&gt; biomass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1.14e-02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0.48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ACL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CIT -&gt; AcCoA.c + MAL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4.63e+02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4.63e+02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4.66e+02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4.45e+02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LIPS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AcCoA.c -&gt; lipid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4.34e+02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4.29e+02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4.34e+02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4.32e+02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4.32e+02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4.32e+02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Mixing</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cPYR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0*PYR.c -&gt; PYR.ms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9.99e-01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mPYR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0*PYR.m -&gt; PYR.ms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9.83e-04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sPYR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PYR.ms -&gt; PYR.fix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gridSpan w:val="9"/>
            <w:tcBorders>
              <w:bottom w:val="single" w:sz="2"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EXCH</w:t>
            </w:r>
          </w:p>
        </w:tc>
      </w:tr>
      <w:tr>
        <w:trPr>
          <w:cantSplit/>
          <w:trHeight w:val="360" w:hRule="auto"/>
        </w:trPr>
        <w:tc>
          <w:tcPr>
            <w:gridSpan w:val="9"/>
            <w:tcBorders>
              <w:top w:val="single" w:sz="2"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Transport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MCT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LAC &lt;-&gt; LAC.x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6.24e-04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3.56e+00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7.11e+02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7.11e+02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7.11e+02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1139423.08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GLUR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GLU &lt;-&gt; GLU.x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5.06e+00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4.82e+00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5.75e+00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3.48e+00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3.48e+00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3.48e+00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0.69</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Glycolysis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PGI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G6P &lt;-&gt; F6P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1.40e+06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1.39e+06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4.31e+06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4.31e+06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4.31e+06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ALDO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FBP &lt;-&gt; DHAP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1.02e+03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1.02e+03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1.02e+03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4.28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TPI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DHAP &lt;-&gt;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9.99e+06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7.57e+03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7.57e+03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7.57e+03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GAPDH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GAP &lt;-&gt; 3PG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5.81e+02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5.81e+02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7.25e+02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1.09e+02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0.19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LDH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PYR.c &lt;-&gt; LAC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2.65e+03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2.58e+03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2.65e+03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4.92e+01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4.91e+01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4.94e+01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GPT1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PYR.c &lt;-&gt; ALA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5.60e-02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2.45e+03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2.45e+03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2.45e+03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24500000000.00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GPT2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PYR.m &lt;-&gt; ALA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5.65e-02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1.20e-05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Pentose phosphate pathway</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TK1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P5P + P5P &lt;-&gt; S7P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1.28e+06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9.01e+03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S7P + GAP &lt;-&gt; F6P + E4P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8.89e+00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8.88e+00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9.53e+00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5.10e+01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5.10e+01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5.10e+01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5.74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TK2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P5P + E4P &lt;-&gt; F6P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6.93e+00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5.12e+00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6.98e+00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1.56e-04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Anaplerosis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GLU &lt;-&gt; AKG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5.63e+03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4.43e+03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5.66e+03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1.42e+03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1.42e+03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1.42e+03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0.25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GLN &lt;-&gt; GLU</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1.27e+00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5.52e-01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5.51e-01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5.55e-01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0.43</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Tricarboxylic acid cycle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CIT &lt;-&gt; AKG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3.36e+00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3.24e+00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3.92e+00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4.66e+00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4.66e+00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4.66e+00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SUC &lt;-&gt; FUM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4.30e+02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4.30e+02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1.46e+06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1.04e+04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1.04e+04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1.04e+04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FUM &lt;-&gt; MAL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7.29e+06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4.56e+06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4.56e+06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4.56e+06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MAL &lt;-&gt; OAC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5.49e+02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5.47e+02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5.49e+02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6.30e-03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GOT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OAC &lt;-&gt; ASP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4.76e+05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4.76e+05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4.76e+05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4576.92</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Amino acid metabolism</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SHT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SER &lt;-&gt; GLY + MEETHF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1.37e+00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1.41e+00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1.86e+03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1.86e+03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1.86e+03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1338.13</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CYST</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SER &lt;-&gt; CYS</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1.25e-07</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4.22e-02</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1.33e-01</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1.33e-01</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1.33e-01</w:t>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1064000.00</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16"/>
                <w:szCs w:val="16"/>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SSR 393.5 [311.2-416.6] (95% CI, 362 DOF)</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16"/>
                <w:szCs w:val="16"/>
                <w:color w:val="000000"/>
              </w:rPr>
              <w:t xml:space="preserve">b</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SSR 392.4 [308.4-413.4] (95% CI, 359 DOF)</w:t>
            </w:r>
          </w:p>
        </w:tc>
      </w:tr>
    </w:tbl>
    <w:p>
      <w:r>
        <w:br w:type="page"/>
      </w:r>
    </w:p>
    <w:p>
      <w:pPr>
        <w:pStyle w:val="TableCaption"/>
      </w:pPr>
      <w:r>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table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t>
      </w:r>
      <w:r>
        <w:t xml:space="preserve">PASMC fluxes in 21% and 0.5% oxygen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Look w:firstRow="1" w:lastRow="0" w:firstColumn="0" w:lastColumn="0" w:noHBand="0" w:noVBand="1"/>
      </w:tblPr>
      <w:tr>
        <w:trPr>
          <w:cantSplit/>
          <w:trHeight w:val="360" w:hRule="auto"/>
          <w:tblHeader/>
        </w:trPr>
        <w:tc>
          <w:tcPr>
            <w:gridSpan w:val="2"/>
            <w:tcBorders>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
            </w:r>
          </w:p>
        </w:tc>
        <w:tc>
          <w:tcPr>
            <w:gridSpan w:val="3"/>
            <w:tcBorders>
              <w:bottom w:val="single" w:sz="2"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21%</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16"/>
                <w:szCs w:val="16"/>
                <w:color w:val="000000"/>
              </w:rPr>
              <w:t xml:space="preserve">a</w:t>
            </w:r>
          </w:p>
        </w:tc>
        <w:tc>
          <w:tcPr>
            <w:gridSpan w:val="3"/>
            <w:tcBorders>
              <w:bottom w:val="single" w:sz="2"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0.5%</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16"/>
                <w:szCs w:val="16"/>
                <w:color w:val="000000"/>
              </w:rPr>
              <w:t xml:space="preserve">b</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
            </w:r>
          </w:p>
        </w:tc>
      </w:tr>
      <w:tr>
        <w:trPr>
          <w:cantSplit/>
          <w:trHeight w:val="360" w:hRule="auto"/>
          <w:tblHeader/>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ID</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Reaction</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Flux</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LB</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UB</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Flux</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LB</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UB</w:t>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Ratio</w:t>
            </w:r>
          </w:p>
        </w:tc>
      </w:tr>
      <w:tr>
        <w:trPr>
          <w:cantSplit/>
          <w:trHeight w:val="360" w:hRule="auto"/>
        </w:trPr>
        <w:tc>
          <w:tcPr>
            <w:gridSpan w:val="9"/>
            <w:tcBorders>
              <w:bottom w:val="single" w:sz="2"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NET</w:t>
            </w:r>
          </w:p>
        </w:tc>
      </w:tr>
      <w:tr>
        <w:trPr>
          <w:cantSplit/>
          <w:trHeight w:val="360" w:hRule="auto"/>
        </w:trPr>
        <w:tc>
          <w:tcPr>
            <w:gridSpan w:val="9"/>
            <w:tcBorders>
              <w:top w:val="single" w:sz="2"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Transport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GLUT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GLC.x -&gt; GLC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4.28e+02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4.28e+02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4.28e+02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3.65e+02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PYR.x -&gt; PYR.c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4.53e+01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4.31e+01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4.57e+01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0.44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MCT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LAC &lt;-&gt; LAC.x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8.01e+02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8.01e+02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8.04e+02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6.49e+02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6.49e+02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6.49e+02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ALAR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ALA -&gt; ALA.x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7.83e+00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7.83e+00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8.24e+00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0.55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GLNR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GLN.x -&gt; GLN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7.73e+01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7.53e+01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7.73e+01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1.77e+02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2.29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GLUR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GLU &lt;-&gt; GLU.x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1.22e+01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0.47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ASPR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ASP -&gt; ASP.x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7.01e+00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6.99e+00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7.02e+00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6.92e+00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6.84e+00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7.00e+00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SERR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SER.x -&gt; SER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2.54e+00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2.48e+00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2.57e+00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2.57e+00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CYSR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CYX.x -&gt; CYS + CYS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6.39e+00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6.34e+00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6.45e+00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3.75e+00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3.75e+00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3.75e+00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0.59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GLYR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GLY -&gt; GLY.x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3.03e-01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4.19e-01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4.06e-01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3.86e-01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4.25e-01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Glycolysis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HK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GLC -&gt; G6P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4.28e+02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4.28e+02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4.28e+02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3.65e+02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PGI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G6P &lt;-&gt; F6P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4.06e+02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4.06e+02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4.07e+02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3.63e+02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PFK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F6P -&gt; FBP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4.17e+02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4.17e+02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4.18e+02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3.61e+02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ALDO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FBP &lt;-&gt; DHAP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4.17e+02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4.17e+02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4.18e+02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3.61e+02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TPI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DHAP &lt;-&gt;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4.16e+02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4.16e+02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4.16e+02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3.60e+02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GAPDH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GAP &lt;-&gt; 3PG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8.39e+02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8.39e+02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8.41e+02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7.21e+02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7.21e+02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7.21e+02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3PG -&gt; PEP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8.36e+02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8.35e+02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8.53e+02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7.20e+02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7.20e+02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7.20e+02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PEP -&gt; PYR.c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9.31e+02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9.30e+02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9.31e+02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9.24e+02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9.24e+02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9.24e+02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0.99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LDH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PYR.c &lt;-&gt; LAC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8.01e+02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8.01e+02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8.04e+02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6.49e+02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6.49e+02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6.49e+02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GPT1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PYR.c &lt;-&gt; ALA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1.92e+02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-1.35e+01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GPT2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PYR.m &lt;-&gt; ALA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2.62e+01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2.65e+01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-0.18</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Pentose phosphate pathway</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G6PD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G6P -&gt; P5P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1.93e+01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1.16e-07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1.10e-03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TK1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P5P + P5P &lt;-&gt; S7P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5.46e+00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4.44e+00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5.96e+00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-6.15e-01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-6.15e-01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-5.77e-01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-0.11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S7P + GAP &lt;-&gt; F6P + E4P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5.46e+00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4.44e+00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5.96e+00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-6.15e-01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-6.15e-01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-5.77e-01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-0.11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TK2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P5P + E4P &lt;-&gt; F6P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5.46e+00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4.44e+00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5.96e+00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-6.15e-01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-6.15e-01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-5.77e-01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-0.11</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Anaplerosis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PYR.c -&gt; PYR.m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7.60e+01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7.59e+01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7.66e+01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3.36e+02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3.36e+02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3.36e+02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PYR.m + CO2 -&gt; OAC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6.30e+01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6.29e+01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6.59e+01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2.37e+02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3.76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PEPCK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OAC -&gt; PEP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9.51e+01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9.51e+01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9.53e+01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2.04e+02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2.14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MAL -&gt; PYR.m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1.20e-03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5.20e-03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1.82e+02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151517.08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MAL -&gt; PYR.c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3.29e-05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5.91e-05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8.06e-02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FAO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FAO -&gt; AcCoA.m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1.15e-04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1.56e-01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GLU &lt;-&gt; AKG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1.59e+02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GLN &lt;-&gt; GLU</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7.38e+01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7.36e+01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7.38e+01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1.74e+02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2.36</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Tricarboxylic acid cycle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PYR.m -&gt; AcCoA.m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2.55e+02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AcCoA.m + OAC -&gt; CIT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2.55e+02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CIT &lt;-&gt; AKG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2.11e+01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2.10e+01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2.11e+01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2.16e+01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2.16e+01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2.16e+01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OGDH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AKG -&gt; SUC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6.54e+01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6.51e+01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6.59e+01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1.81e+02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2.77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SUC &lt;-&gt; FUM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6.54e+01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6.51e+01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6.59e+01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1.81e+02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2.77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FUM &lt;-&gt; MAL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6.54e+01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6.51e+01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6.59e+01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1.81e+02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2.77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MAL &lt;-&gt; OAC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2.33e+02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GOT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OAC &lt;-&gt; ASP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1.07e+01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0.87</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Amino acid metabolism</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3PG -&gt; SER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2.69e+00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2.57e+00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2.80e+00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7.12e-01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7.01e-01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7.21e-01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0.26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SHT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SER &lt;-&gt; GLY + MEETHF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5.19e+00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5.15e+00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5.20e+00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3.82e+00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3.81e+00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3.86e+00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0.74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CYST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SER &lt;-&gt; CYS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-6.35e+00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-6.35e+00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-6.35e+00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0.57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SER -&gt; PYR.c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6.39e+00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6.23e+00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6.44e+00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2.33e+00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0.36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GLYS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CO2 + MEETHF -&gt; GLY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2.42e+00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1.81e+00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0.75</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Biomass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BIOMASS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978*AcCoA.c + 237.8*ALA + 187*ASP + 92.3*CO2 + 57.46*CYS + 45.97*DHAP + 114.5*G6P + 127.6*GLN + 153*GLU + 260.8*GLY + 101.1*MEETHF + 92.3*P5P + 174.8*SER -&gt; biomass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2.77e-02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2.70e-02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2.79e-02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2.00e-02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0.72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ACL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CIT -&gt; AcCoA.c + MAL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2.33e+02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LIPS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AcCoA.c -&gt; lipid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9.99e+01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2.14e+02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2.14e+02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2.14e+02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1.98</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Mixing</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cPYR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0*PYR.c -&gt; PYR.ms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5.77e-01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5.64e-01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5.92e-01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9.96e-01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mPYR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0*PYR.m -&gt; PYR.ms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4.23e-01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4.08e-01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4.36e-01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4.40e-03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sPYR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PYR.ms -&gt; PYR.fix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gridSpan w:val="9"/>
            <w:tcBorders>
              <w:bottom w:val="single" w:sz="2"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EXCH</w:t>
            </w:r>
          </w:p>
        </w:tc>
      </w:tr>
      <w:tr>
        <w:trPr>
          <w:cantSplit/>
          <w:trHeight w:val="360" w:hRule="auto"/>
        </w:trPr>
        <w:tc>
          <w:tcPr>
            <w:gridSpan w:val="9"/>
            <w:tcBorders>
              <w:top w:val="single" w:sz="2"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Transport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MCT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LAC &lt;-&gt; LAC.x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1.64e+03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1.63e+03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1.65e+03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16400000000.00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GLUR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GLU &lt;-&gt; GLU.x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2.27e-02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5.69e-05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1.71e-02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Glycolysis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PGI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G6P &lt;-&gt; F6P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4.88e+06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4.88e+06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9.92e+06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9.85e+04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ALDO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FBP &lt;-&gt; DHAP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2.89e+02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2.80e+02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2.89e+02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2.57e+02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TPI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DHAP &lt;-&gt;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9.86e+06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1.65e+03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1.63e+03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1.68e+03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GAPDH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GAP &lt;-&gt; 3PG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1.12e+03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5.88e+05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2.27e-01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LDH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PYR.c &lt;-&gt; LAC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1.47e+03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1.39e+03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1.47e+03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4.49e+02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0.31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GPT1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PYR.c &lt;-&gt; ALA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2.74e+02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2.73e+02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2.77e+02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4.28e-02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GPT2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PYR.m &lt;-&gt; ALA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9.64e+01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1.01e+02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0.70</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Pentose phosphate pathway</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TK1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P5P + P5P &lt;-&gt; S7P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7.99e+02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7.97e+02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8.08e+02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3.54e+01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3.54e+01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3.55e+01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S7P + GAP &lt;-&gt; F6P + E4P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5.82e-01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2.54e+00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2.57e+00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16.67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TK2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P5P + E4P &lt;-&gt; F6P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3.33e+00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2.62e+00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3.35e+00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1.29e+01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3.88</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Anaplerosis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GLU &lt;-&gt; AKG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5.36e+02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5.34e+02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8.37e+02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1.23e+03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1.23e+03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1.23e+03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2.29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GLN &lt;-&gt; GLU</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3.20e-01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2.74e+00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1.07e+00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1.74e+00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Tricarboxylic acid cycle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CIT &lt;-&gt; AKG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6.30e+01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6.30e+01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6.31e+01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SUC &lt;-&gt; FUM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2.78e-01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3.34e+06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3.34e+06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3.34e+06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FUM &lt;-&gt; MAL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1.03e-04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2.18e+02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2.18e+02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2.18e+02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2114238.83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MAL &lt;-&gt; OAC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1.01e+03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8.27e+02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1.01e+03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3.67e+03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3.67e+03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3.69e+03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GOT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OAC &lt;-&gt; ASP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2.27e+02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2.27e+02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2.47e+02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1.55e+01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0.07</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Amino acid metabolism</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SHT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SER &lt;-&gt; GLY + MEETHF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3.55e+00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3.52e+00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3.59e+00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1.70e-01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0.05</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CYST</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SER &lt;-&gt; CYS</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1.04e+03</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1.03e+03</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1.04e+03</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2.00e-03</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2.00e-03</w:t>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16"/>
                <w:szCs w:val="16"/>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SSR 575.6 [499.1-630.6] (95% CI, 563 DOF)</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16"/>
                <w:szCs w:val="16"/>
                <w:color w:val="000000"/>
              </w:rPr>
              <w:t xml:space="preserve">b</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SSR 521.3 [482.2-611.6] (95% CI, 545 DOF)</w:t>
            </w:r>
          </w:p>
        </w:tc>
      </w:tr>
    </w:tbl>
    <w:p>
      <w:r>
        <w:br w:type="page"/>
      </w:r>
    </w:p>
    <w:bookmarkEnd w:id="21"/>
    <w:bookmarkStart w:id="22" w:name="figure-legends"/>
    <w:p>
      <w:pPr>
        <w:pStyle w:val="Heading1"/>
      </w:pPr>
      <w:r>
        <w:t xml:space="preserve">Figure legends</w:t>
      </w:r>
    </w:p>
    <w:p>
      <w:pPr>
        <w:pStyle w:val="FirstParagraph"/>
      </w:pPr>
      <w:r>
        <w:t xml:space="preserve">Supplementary Figure 1:</w:t>
      </w:r>
      <w:r>
        <w:t xml:space="preserve"> </w:t>
      </w:r>
      <w:r>
        <w:rPr>
          <w:bCs/>
          <w:b/>
        </w:rPr>
        <w:t xml:space="preserve">Supporting data for extracellular flux calculations.</w:t>
      </w:r>
      <w:r>
        <w:t xml:space="preserve"> </w:t>
      </w:r>
      <w:r>
        <w:t xml:space="preserve">(</w:t>
      </w:r>
      <w:r>
        <w:rPr>
          <w:bCs/>
          <w:b/>
        </w:rPr>
        <w:t xml:space="preserve">A</w:t>
      </w:r>
      <w:r>
        <w:t xml:space="preserve">) Cell viability as assessed by live/dead cell staining with acridine orange plus propidium iodide staining did not differ between 21% and 0.5% oxygen culture conditions (n = 3 technical replicates). (</w:t>
      </w:r>
      <w:r>
        <w:rPr>
          <w:bCs/>
          <w:b/>
        </w:rPr>
        <w:t xml:space="preserve">B</w:t>
      </w:r>
      <w:r>
        <w:t xml:space="preserve">) Standard curves were generated to interpolate cell counts from total DNA by seeding lung fibroblasts (LF) and pulmonary artery smooth muscle cells (PASMC) at the indicated densities in basal medium. Data are mean ± SEM of three biological replicates. (</w:t>
      </w:r>
      <w:r>
        <w:rPr>
          <w:bCs/>
          <w:b/>
        </w:rPr>
        <w:t xml:space="preserve">C</w:t>
      </w:r>
      <w:r>
        <w:t xml:space="preserve">) Total DNA measurements were compared to direct cell counts over the experimental time course. Cell counts and total DNA were obtained from the same sample wells. The slopes of the best-fit lines for 21% (</w:t>
      </w:r>
      <w:r>
        <w:rPr>
          <w:iCs/>
          <w:i/>
        </w:rPr>
        <w:t xml:space="preserve">red</w:t>
      </w:r>
      <w:r>
        <w:t xml:space="preserve">) and 0.5% (</w:t>
      </w:r>
      <w:r>
        <w:rPr>
          <w:iCs/>
          <w:i/>
        </w:rPr>
        <w:t xml:space="preserve">blue</w:t>
      </w:r>
      <w:r>
        <w:t xml:space="preserve">) samples were not different. (</w:t>
      </w:r>
      <w:r>
        <w:rPr>
          <w:bCs/>
          <w:b/>
        </w:rPr>
        <w:t xml:space="preserve">D</w:t>
      </w:r>
      <w:r>
        <w:t xml:space="preserve">) Predicted well volumes were estimated from the change in culture plate mass over the time course of the experiment. Evaporation rates were different depending on the treatment. Although the mean evaporation rate is depicted, experiment-specific evaporation rates were used to calculate fluxes for each experiment. (</w:t>
      </w:r>
      <w:r>
        <w:rPr>
          <w:bCs/>
          <w:b/>
        </w:rPr>
        <w:t xml:space="preserve">E</w:t>
      </w:r>
      <w:r>
        <w:t xml:space="preserve">) Metabolite accumulation (positive values) and degradation (negative values) rates. Data are mean ± SEM of 3-8 biological replicates. Rates significantly different from 0 (*) based on a probability value &lt; 0.05 using Student’s one-sample</w:t>
      </w:r>
      <w:r>
        <w:t xml:space="preserve"> </w:t>
      </w:r>
      <w:r>
        <w:rPr>
          <w:iCs/>
          <w:i/>
        </w:rPr>
        <w:t xml:space="preserve">t</w:t>
      </w:r>
      <w:r>
        <w:t xml:space="preserve">-test were incorporated into flux calculations.</w:t>
      </w:r>
    </w:p>
    <w:p>
      <w:pPr>
        <w:pStyle w:val="BodyText"/>
      </w:pPr>
      <w:r>
        <w:t xml:space="preserve">Supplementary Figure 2:</w:t>
      </w:r>
      <w:r>
        <w:t xml:space="preserve"> </w:t>
      </w:r>
      <w:r>
        <w:rPr>
          <w:bCs/>
          <w:b/>
        </w:rPr>
        <w:t xml:space="preserve">Extracellular flux measurements in 0.2% oxygen.</w:t>
      </w:r>
      <w:r>
        <w:t xml:space="preserve"> </w:t>
      </w:r>
      <w:r>
        <w:t xml:space="preserve">Lung fibroblasts (LFs) were cultured with 21% oxygen (</w:t>
      </w:r>
      <w:r>
        <w:rPr>
          <w:iCs/>
          <w:i/>
        </w:rPr>
        <w:t xml:space="preserve">red</w:t>
      </w:r>
      <w:r>
        <w:t xml:space="preserve">) or 0.2% oxygen (</w:t>
      </w:r>
      <w:r>
        <w:rPr>
          <w:iCs/>
          <w:i/>
        </w:rPr>
        <w:t xml:space="preserve">dark blue</w:t>
      </w:r>
      <w:r>
        <w:t xml:space="preserve">) beginning 24 h prior to time 0. (</w:t>
      </w:r>
      <w:r>
        <w:rPr>
          <w:bCs/>
          <w:b/>
        </w:rPr>
        <w:t xml:space="preserve">A</w:t>
      </w:r>
      <w:r>
        <w:t xml:space="preserve">) Growth curves of LFs in each experimental condition (n = 4). (</w:t>
      </w:r>
      <w:r>
        <w:rPr>
          <w:bCs/>
          <w:b/>
        </w:rPr>
        <w:t xml:space="preserve">B</w:t>
      </w:r>
      <w:r>
        <w:t xml:space="preserve">) Growth rates from (A) were determined by robust linear modeling of log-transformed growth curves. (</w:t>
      </w:r>
      <w:r>
        <w:rPr>
          <w:bCs/>
          <w:b/>
        </w:rPr>
        <w:t xml:space="preserve">C</w:t>
      </w:r>
      <w:r>
        <w:t xml:space="preserve">) Representative immunoblot of LF protein lysates cultured as in (A). (</w:t>
      </w:r>
      <w:r>
        <w:rPr>
          <w:bCs/>
          <w:b/>
        </w:rPr>
        <w:t xml:space="preserve">D</w:t>
      </w:r>
      <w:r>
        <w:t xml:space="preserve">,</w:t>
      </w:r>
      <w:r>
        <w:t xml:space="preserve"> </w:t>
      </w:r>
      <w:r>
        <w:rPr>
          <w:bCs/>
          <w:b/>
        </w:rPr>
        <w:t xml:space="preserve">E</w:t>
      </w:r>
      <w:r>
        <w:t xml:space="preserve">) Relative change in HIF-1α (D) and LDHA (E) protein levels normalized to 21% oxygen time 0 (n = 4). (</w:t>
      </w:r>
      <w:r>
        <w:rPr>
          <w:bCs/>
          <w:b/>
        </w:rPr>
        <w:t xml:space="preserve">F</w:t>
      </w:r>
      <w:r>
        <w:t xml:space="preserve">,</w:t>
      </w:r>
      <w:r>
        <w:t xml:space="preserve"> </w:t>
      </w:r>
      <w:r>
        <w:rPr>
          <w:bCs/>
          <w:b/>
        </w:rPr>
        <w:t xml:space="preserve">G</w:t>
      </w:r>
      <w:r>
        <w:t xml:space="preserve">) Relative changes in GLUT1 (G) and LDHA (H) mRNA levels normalized to 21% oxygen time 0 (n = 4). (</w:t>
      </w:r>
      <w:r>
        <w:rPr>
          <w:bCs/>
          <w:b/>
        </w:rPr>
        <w:t xml:space="preserve">H</w:t>
      </w:r>
      <w:r>
        <w:t xml:space="preserve">,</w:t>
      </w:r>
      <w:r>
        <w:t xml:space="preserve"> </w:t>
      </w:r>
      <w:r>
        <w:rPr>
          <w:bCs/>
          <w:b/>
        </w:rPr>
        <w:t xml:space="preserve">I</w:t>
      </w:r>
      <w:r>
        <w:t xml:space="preserve">) Extracellular fluxes of the indicated metabolites (n = 4). Data are mean ± SEM. Comparisons were made using linear mixed effects models with treatment group as a fixed effect and biological replicate as a random effect. Tukey’s</w:t>
      </w:r>
      <w:r>
        <w:t xml:space="preserve"> </w:t>
      </w:r>
      <w:r>
        <w:rPr>
          <w:iCs/>
          <w:i/>
        </w:rPr>
        <w:t xml:space="preserve">post hoc</w:t>
      </w:r>
      <w:r>
        <w:t xml:space="preserve"> </w:t>
      </w:r>
      <w:r>
        <w:t xml:space="preserve">test was applied to determine differences between 21% and 0.2% oxygen (*) with p-values &lt; 0.05 considered significant.</w:t>
      </w:r>
    </w:p>
    <w:p>
      <w:pPr>
        <w:pStyle w:val="BodyText"/>
      </w:pPr>
      <w:r>
        <w:t xml:space="preserve">Supplementary Figure 3:</w:t>
      </w:r>
      <w:r>
        <w:t xml:space="preserve"> </w:t>
      </w:r>
      <w:r>
        <w:rPr>
          <w:bCs/>
          <w:b/>
        </w:rPr>
        <w:t xml:space="preserve">Extracellular flux measurements in pulmonary artery smooth muscle cells in 0.5% oxygen.</w:t>
      </w:r>
      <w:r>
        <w:t xml:space="preserve"> </w:t>
      </w:r>
      <w:r>
        <w:t xml:space="preserve">Pulmonary artery smooth muscle cells (PASMCs) were cultured with 21% oxygen (</w:t>
      </w:r>
      <w:r>
        <w:rPr>
          <w:iCs/>
          <w:i/>
        </w:rPr>
        <w:t xml:space="preserve">red</w:t>
      </w:r>
      <w:r>
        <w:t xml:space="preserve">) or 0.5% oxygen (</w:t>
      </w:r>
      <w:r>
        <w:rPr>
          <w:iCs/>
          <w:i/>
        </w:rPr>
        <w:t xml:space="preserve">blue</w:t>
      </w:r>
      <w:r>
        <w:t xml:space="preserve">) beginning 24 h prior to time 0. (</w:t>
      </w:r>
      <w:r>
        <w:rPr>
          <w:bCs/>
          <w:b/>
        </w:rPr>
        <w:t xml:space="preserve">A</w:t>
      </w:r>
      <w:r>
        <w:t xml:space="preserve">) Growth curves of PASMCs under in each experimental condition (n = 8). (</w:t>
      </w:r>
      <w:r>
        <w:rPr>
          <w:bCs/>
          <w:b/>
        </w:rPr>
        <w:t xml:space="preserve">B</w:t>
      </w:r>
      <w:r>
        <w:t xml:space="preserve">) Growth rates from (A) were determined by robust linear modeling of log-transformed growth curves. (</w:t>
      </w:r>
      <w:r>
        <w:rPr>
          <w:bCs/>
          <w:b/>
        </w:rPr>
        <w:t xml:space="preserve">C</w:t>
      </w:r>
      <w:r>
        <w:t xml:space="preserve">) Representative immunoblot of PASMC protein lysates cultured as in (A). (</w:t>
      </w:r>
      <w:r>
        <w:rPr>
          <w:bCs/>
          <w:b/>
        </w:rPr>
        <w:t xml:space="preserve">D</w:t>
      </w:r>
      <w:r>
        <w:t xml:space="preserve">,</w:t>
      </w:r>
      <w:r>
        <w:t xml:space="preserve"> </w:t>
      </w:r>
      <w:r>
        <w:rPr>
          <w:bCs/>
          <w:b/>
        </w:rPr>
        <w:t xml:space="preserve">E</w:t>
      </w:r>
      <w:r>
        <w:t xml:space="preserve">) Relative change in HIF-1α (D) and LDHA (E) protein levels normalized to 21% oxygen time 0 (n = 4). (</w:t>
      </w:r>
      <w:r>
        <w:rPr>
          <w:bCs/>
          <w:b/>
        </w:rPr>
        <w:t xml:space="preserve">F</w:t>
      </w:r>
      <w:r>
        <w:t xml:space="preserve">,</w:t>
      </w:r>
      <w:r>
        <w:t xml:space="preserve"> </w:t>
      </w:r>
      <w:r>
        <w:rPr>
          <w:bCs/>
          <w:b/>
        </w:rPr>
        <w:t xml:space="preserve">G</w:t>
      </w:r>
      <w:r>
        <w:t xml:space="preserve">) Relative changes in GLUT1 (G) and LDHA (H) mRNA levels normalized to 21% oxygen time 0 (n = 4). (</w:t>
      </w:r>
      <w:r>
        <w:rPr>
          <w:bCs/>
          <w:b/>
        </w:rPr>
        <w:t xml:space="preserve">H</w:t>
      </w:r>
      <w:r>
        <w:t xml:space="preserve">,</w:t>
      </w:r>
      <w:r>
        <w:t xml:space="preserve"> </w:t>
      </w:r>
      <w:r>
        <w:rPr>
          <w:bCs/>
          <w:b/>
        </w:rPr>
        <w:t xml:space="preserve">I</w:t>
      </w:r>
      <w:r>
        <w:t xml:space="preserve">) Extracellular fluxes of the indicated metabolites (n = 8). Data are mean ± SEM. Comparisons were made using linear mixed effects models with treatment group as a fixed effect and biological replicate as a random effect. Tukey’s</w:t>
      </w:r>
      <w:r>
        <w:t xml:space="preserve"> </w:t>
      </w:r>
      <w:r>
        <w:rPr>
          <w:iCs/>
          <w:i/>
        </w:rPr>
        <w:t xml:space="preserve">post hoc</w:t>
      </w:r>
      <w:r>
        <w:t xml:space="preserve"> </w:t>
      </w:r>
      <w:r>
        <w:t xml:space="preserve">test was applied to determine differences between 21% and 0.5% oxygen (*) with p-values &lt; 0.05 considered significant.</w:t>
      </w:r>
    </w:p>
    <w:p>
      <w:pPr>
        <w:pStyle w:val="BodyText"/>
      </w:pPr>
      <w:r>
        <w:t xml:space="preserve">Supplementary Figure 4:</w:t>
      </w:r>
      <w:r>
        <w:t xml:space="preserve"> </w:t>
      </w:r>
      <w:r>
        <w:rPr>
          <w:bCs/>
          <w:b/>
        </w:rPr>
        <w:t xml:space="preserve">Mass isotopomer distributions after 72 h of labeling in lung fibroblasts.</w:t>
      </w:r>
      <w:r>
        <w:t xml:space="preserve"> </w:t>
      </w:r>
      <w:r>
        <w:t xml:space="preserve">Lung fibroblasts (LFs) were labeled with the indicated tracers and intracellular metabolites were analyzed by LC-MS after 72 h. Mass isotopomer distributions were adjusted for natural abundance. Data are the mean ± SEM of 4 biological replicates. Significant differences in labeling patterns between 21% and 0.5% oxygen (*), DMSO and BAY treatment (†), and 0.5% oxygen and BAY treatment (‡) for each combination of metabolite and tracer are highlighted.</w:t>
      </w:r>
    </w:p>
    <w:p>
      <w:pPr>
        <w:pStyle w:val="BodyText"/>
      </w:pPr>
      <w:r>
        <w:t xml:space="preserve">Supplementary Figure 5:</w:t>
      </w:r>
      <w:r>
        <w:t xml:space="preserve"> </w:t>
      </w:r>
      <w:r>
        <w:rPr>
          <w:bCs/>
          <w:b/>
        </w:rPr>
        <w:t xml:space="preserve">Mass isotopomer distributions after 72 h of labeling in pulmonary artery smooth muscle cells.</w:t>
      </w:r>
      <w:r>
        <w:t xml:space="preserve"> </w:t>
      </w:r>
      <w:r>
        <w:t xml:space="preserve">Pulmonary artery smooth muscle cells (PASMCs) were labeled with the indicated tracers and intracellular metabolites were analyzed by LC-MS after 36 h. Mass isotopomer distributions were adjusted for natural abundance. Data are the mean ± SEM of 4 biological replicates. Significant differences in labeling patterns between 21% and 0.5% oxygen (*) for each combination of metabolite and tracer are highlighted.</w:t>
      </w:r>
    </w:p>
    <w:p>
      <w:pPr>
        <w:pStyle w:val="BodyText"/>
      </w:pPr>
      <w:r>
        <w:t xml:space="preserve">Supplementary Figure 6:</w:t>
      </w:r>
      <w:r>
        <w:t xml:space="preserve"> </w:t>
      </w:r>
      <w:r>
        <w:rPr>
          <w:bCs/>
          <w:b/>
        </w:rPr>
        <w:t xml:space="preserve">Isotope incorporation in key metabolites over the experimental time course.</w:t>
      </w:r>
      <w:r>
        <w:t xml:space="preserve"> </w:t>
      </w:r>
      <w:r>
        <w:t xml:space="preserve">(</w:t>
      </w:r>
      <w:r>
        <w:rPr>
          <w:bCs/>
          <w:b/>
        </w:rPr>
        <w:t xml:space="preserve">A</w:t>
      </w:r>
      <w:r>
        <w:t xml:space="preserve">,</w:t>
      </w:r>
      <w:r>
        <w:t xml:space="preserve"> </w:t>
      </w:r>
      <w:r>
        <w:rPr>
          <w:bCs/>
          <w:b/>
        </w:rPr>
        <w:t xml:space="preserve">B</w:t>
      </w:r>
      <w:r>
        <w:t xml:space="preserve">) LFs were cultured in 21% (A) or 0.5% (B) oxygen and labeled with the indicated tracers and intracellular metabolites were analyzed by LC-MS (PYR, pyruvate; CIT, citrate; MAL, malate). Mass isotopomer distributions were adjusted for natural abundance. Data are the mean ± SEM of 4 biological replicates.</w:t>
      </w:r>
    </w:p>
    <w:p>
      <w:pPr>
        <w:pStyle w:val="BodyText"/>
      </w:pPr>
      <w:r>
        <w:t xml:space="preserve">Supplementary Figure 7:</w:t>
      </w:r>
      <w:r>
        <w:t xml:space="preserve"> </w:t>
      </w:r>
      <w:r>
        <w:rPr>
          <w:bCs/>
          <w:b/>
        </w:rPr>
        <w:t xml:space="preserve">Isotopically non-stationary metabolic flux analysis.</w:t>
      </w:r>
      <w:r>
        <w:t xml:space="preserve"> </w:t>
      </w:r>
      <w:r>
        <w:t xml:space="preserve">(</w:t>
      </w:r>
      <w:r>
        <w:rPr>
          <w:bCs/>
          <w:b/>
        </w:rPr>
        <w:t xml:space="preserve">A</w:t>
      </w:r>
      <w:r>
        <w:t xml:space="preserve">) Metabolic flux model of LF metabolism in 21% oxygen. (</w:t>
      </w:r>
      <w:r>
        <w:rPr>
          <w:bCs/>
          <w:b/>
        </w:rPr>
        <w:t xml:space="preserve">B</w:t>
      </w:r>
      <w:r>
        <w:t xml:space="preserve">) Metabolic flux model of PASMC metabolism in 21% oxygen. (</w:t>
      </w:r>
      <w:r>
        <w:rPr>
          <w:bCs/>
          <w:b/>
        </w:rPr>
        <w:t xml:space="preserve">C</w:t>
      </w:r>
      <w:r>
        <w:t xml:space="preserve">) LF fluxes were normalized to cell growth rate. Graph depicts the ratio of normalized metabolic fluxes in LFs cultured in 0.5% oxygen compared to 21% oxygen control. Fluxes with non-overlapping confidence intervals are highlighted to indicate significant changes. (</w:t>
      </w:r>
      <w:r>
        <w:rPr>
          <w:bCs/>
          <w:b/>
        </w:rPr>
        <w:t xml:space="preserve">D</w:t>
      </w:r>
      <w:r>
        <w:t xml:space="preserve">) Ratio of metabolic fluxes in 0.5% oxygen compared to 21% oxygen in PASMCs.</w:t>
      </w:r>
    </w:p>
    <w:p>
      <w:pPr>
        <w:pStyle w:val="BodyText"/>
      </w:pPr>
      <w:r>
        <w:t xml:space="preserve">Supplementary Figure 8:</w:t>
      </w:r>
      <w:r>
        <w:t xml:space="preserve"> </w:t>
      </w:r>
      <w:r>
        <w:rPr>
          <w:bCs/>
          <w:b/>
        </w:rPr>
        <w:t xml:space="preserve">Metabolomic profiling of hypoxia and BAY treated lung fibroblasts.</w:t>
      </w:r>
      <w:r>
        <w:t xml:space="preserve"> </w:t>
      </w:r>
      <w:r>
        <w:t xml:space="preserve">(</w:t>
      </w:r>
      <w:r>
        <w:rPr>
          <w:bCs/>
          <w:b/>
        </w:rPr>
        <w:t xml:space="preserve">A</w:t>
      </w:r>
      <w:r>
        <w:t xml:space="preserve">,</w:t>
      </w:r>
      <w:r>
        <w:t xml:space="preserve"> </w:t>
      </w:r>
      <w:r>
        <w:rPr>
          <w:bCs/>
          <w:b/>
        </w:rPr>
        <w:t xml:space="preserve">B</w:t>
      </w:r>
      <w:r>
        <w:t xml:space="preserve">) Volcano plots of differentially regulated metabolites with 0.5% oxygen in DMSO-treated cells (A) or BAY treatment in 21% oxygen-cultured cells (B). Significantly increased metabolites with 0.5% oxygen (</w:t>
      </w:r>
      <w:r>
        <w:rPr>
          <w:iCs/>
          <w:i/>
        </w:rPr>
        <w:t xml:space="preserve">blue</w:t>
      </w:r>
      <w:r>
        <w:t xml:space="preserve">) or with BAY treatment (</w:t>
      </w:r>
      <w:r>
        <w:rPr>
          <w:iCs/>
          <w:i/>
        </w:rPr>
        <w:t xml:space="preserve">purple</w:t>
      </w:r>
      <w:r>
        <w:t xml:space="preserve">) are indicated. The top 10 up- and down-regulated metabolites are labeled. (</w:t>
      </w:r>
      <w:r>
        <w:rPr>
          <w:bCs/>
          <w:b/>
        </w:rPr>
        <w:t xml:space="preserve">C</w:t>
      </w:r>
      <w:r>
        <w:t xml:space="preserve">) Venn diagram illustrating the number of differentially regulated metabolites following hypoxia (</w:t>
      </w:r>
      <w:r>
        <w:rPr>
          <w:iCs/>
          <w:i/>
        </w:rPr>
        <w:t xml:space="preserve">blue</w:t>
      </w:r>
      <w:r>
        <w:t xml:space="preserve">) or BAY treatment (</w:t>
      </w:r>
      <w:r>
        <w:rPr>
          <w:iCs/>
          <w:i/>
        </w:rPr>
        <w:t xml:space="preserve">purple</w:t>
      </w:r>
      <w:r>
        <w:t xml:space="preserve">). (</w:t>
      </w:r>
      <w:r>
        <w:rPr>
          <w:bCs/>
          <w:b/>
        </w:rPr>
        <w:t xml:space="preserve">D</w:t>
      </w:r>
      <w:r>
        <w:t xml:space="preserve">,</w:t>
      </w:r>
      <w:r>
        <w:t xml:space="preserve"> </w:t>
      </w:r>
      <w:r>
        <w:rPr>
          <w:bCs/>
          <w:b/>
        </w:rPr>
        <w:t xml:space="preserve">E</w:t>
      </w:r>
      <w:r>
        <w:t xml:space="preserve">) Results of a metabolite set enrichment analysis of KEGG pathways based on the data from (A) and (B). Significantly enriched pathways with p &lt; 0.05 are indicated.</w:t>
      </w:r>
    </w:p>
    <w:p>
      <w:pPr>
        <w:pStyle w:val="BodyText"/>
      </w:pPr>
      <w:r>
        <w:t xml:space="preserve">Supplementary Figure 9:</w:t>
      </w:r>
      <w:r>
        <w:t xml:space="preserve"> </w:t>
      </w:r>
      <w:r>
        <w:rPr>
          <w:bCs/>
          <w:b/>
        </w:rPr>
        <w:t xml:space="preserve">Transcriptomic profiling of hypoxia and BAY treated lung fibroblasts.</w:t>
      </w:r>
      <w:r>
        <w:t xml:space="preserve"> </w:t>
      </w:r>
      <w:r>
        <w:t xml:space="preserve">(</w:t>
      </w:r>
      <w:r>
        <w:rPr>
          <w:bCs/>
          <w:b/>
        </w:rPr>
        <w:t xml:space="preserve">A</w:t>
      </w:r>
      <w:r>
        <w:t xml:space="preserve">,</w:t>
      </w:r>
      <w:r>
        <w:t xml:space="preserve"> </w:t>
      </w:r>
      <w:r>
        <w:rPr>
          <w:bCs/>
          <w:b/>
        </w:rPr>
        <w:t xml:space="preserve">B</w:t>
      </w:r>
      <w:r>
        <w:t xml:space="preserve">) Volcano plots of differentially regulated transcripts with 0.5% oxygen in DMSO-treated cells (A) or BAY treatment in 21% oxygen-cultured cells (B). The top 10 up- and down-regulated metabolites are highlighted. (</w:t>
      </w:r>
      <w:r>
        <w:rPr>
          <w:bCs/>
          <w:b/>
        </w:rPr>
        <w:t xml:space="preserve">C</w:t>
      </w:r>
      <w:r>
        <w:t xml:space="preserve">) Venn diagram illustrating the number of differentially regulated genes following hypoxia (</w:t>
      </w:r>
      <w:r>
        <w:rPr>
          <w:iCs/>
          <w:i/>
        </w:rPr>
        <w:t xml:space="preserve">blue</w:t>
      </w:r>
      <w:r>
        <w:t xml:space="preserve">) or BAY treatment (</w:t>
      </w:r>
      <w:r>
        <w:rPr>
          <w:iCs/>
          <w:i/>
        </w:rPr>
        <w:t xml:space="preserve">purple</w:t>
      </w:r>
      <w:r>
        <w:t xml:space="preserve">). (</w:t>
      </w:r>
      <w:r>
        <w:rPr>
          <w:bCs/>
          <w:b/>
        </w:rPr>
        <w:t xml:space="preserve">D</w:t>
      </w:r>
      <w:r>
        <w:t xml:space="preserve">) Venn diagram illustrating the number of differentially enriched Hallmark gene sets with hypoxia (</w:t>
      </w:r>
      <w:r>
        <w:rPr>
          <w:iCs/>
          <w:i/>
        </w:rPr>
        <w:t xml:space="preserve">blue</w:t>
      </w:r>
      <w:r>
        <w:t xml:space="preserve">) or BAY treatment (</w:t>
      </w:r>
      <w:r>
        <w:rPr>
          <w:iCs/>
          <w:i/>
        </w:rPr>
        <w:t xml:space="preserve">purple</w:t>
      </w:r>
      <w:r>
        <w:t xml:space="preserve">). (</w:t>
      </w:r>
      <w:r>
        <w:rPr>
          <w:bCs/>
          <w:b/>
        </w:rPr>
        <w:t xml:space="preserve">E</w:t>
      </w:r>
      <w:r>
        <w:t xml:space="preserve">,</w:t>
      </w:r>
      <w:r>
        <w:t xml:space="preserve"> </w:t>
      </w:r>
      <w:r>
        <w:rPr>
          <w:bCs/>
          <w:b/>
        </w:rPr>
        <w:t xml:space="preserve">F</w:t>
      </w:r>
      <w:r>
        <w:t xml:space="preserve">) Normalized enrichment scores from gene set enrichment analysis of Hallmark gene sets affected by 0.5% oxygen (E) or BAY treatment (F).</w:t>
      </w:r>
    </w:p>
    <w:p>
      <w:r>
        <w:br w:type="page"/>
      </w:r>
    </w:p>
    <w:bookmarkEnd w:id="22"/>
    <w:bookmarkStart w:id="32" w:name="figures"/>
    <w:p>
      <w:pPr>
        <w:pStyle w:val="Heading1"/>
      </w:pPr>
      <w:r>
        <w:t xml:space="preserve">Figures</w:t>
      </w:r>
    </w:p>
    <w:p>
      <w:pPr>
        <w:pStyle w:val="CaptionedFigure"/>
      </w:pPr>
      <w:r>
        <w:drawing>
          <wp:inline>
            <wp:extent cx="4559300" cy="5257800"/>
            <wp:effectExtent b="0" l="0" r="0" t="0"/>
            <wp:docPr descr="Figure 1: Supporting data for extracellular flux calculations. (A) Cell viability as assessed by live/dead cell staining with acridine orange plus propidium iodide staining did not differ between 21% and 0.5% oxygen culture conditions (n = 3 technical replicates). (B) Standard curves were generated to interpolate cell counts from total DNA by seeding lung fibroblasts (LF) and pulmonary artery smooth muscle cells (PASMC) at the indicated densities in basal medium. Data are mean ± SEM of three biological replicates. (C) Total DNA measurements were compared to direct cell counts over the experimental time course. Cell counts and total DNA were obtained from the same sample wells. The slopes of the best-fit lines for 21% (red) and 0.5% (blue) samples were not different. (D) Predicted well volumes were estimated from the change in culture plate mass over the time course of the experiment. Evaporation rates were different depending on the treatment. Although the mean evaporation rate is depicted, experiment-specific evaporation rates were used to calculate fluxes for each experiment. (E) Metabolite accumulation (positive values) and degradation (negative values) rates. Data are mean ± SEM of 3-8 biological replicates. Rates significantly different from 0 (*) based on a probability value &lt; 0.05 using Student’s one-sample t-test were incorporated into flux calculations." title="" id="1" name="Picture"/>
            <a:graphic>
              <a:graphicData uri="http://schemas.openxmlformats.org/drawingml/2006/picture">
                <pic:pic>
                  <pic:nvPicPr>
                    <pic:cNvPr descr="/Users/will/Dropbox%20(Partners%20HealthCare)/Copeland.2021.hypoxia.flux/manuscript/figures/s1.pdf" id="0" name="Picture"/>
                    <pic:cNvPicPr>
                      <a:picLocks noChangeArrowheads="1" noChangeAspect="1"/>
                    </pic:cNvPicPr>
                  </pic:nvPicPr>
                  <pic:blipFill>
                    <a:blip r:embed="rId23"/>
                    <a:stretch>
                      <a:fillRect/>
                    </a:stretch>
                  </pic:blipFill>
                  <pic:spPr bwMode="auto">
                    <a:xfrm>
                      <a:off x="0" y="0"/>
                      <a:ext cx="4559300" cy="5257800"/>
                    </a:xfrm>
                    <a:prstGeom prst="rect">
                      <a:avLst/>
                    </a:prstGeom>
                    <a:noFill/>
                    <a:ln w="9525">
                      <a:noFill/>
                      <a:headEnd/>
                      <a:tailEnd/>
                    </a:ln>
                  </pic:spPr>
                </pic:pic>
              </a:graphicData>
            </a:graphic>
          </wp:inline>
        </w:drawing>
      </w:r>
    </w:p>
    <w:p>
      <w:pPr>
        <w:pStyle w:val="ImageCaption"/>
      </w:pPr>
      <w:r>
        <w:t xml:space="preserve">Figure 1:</w:t>
      </w:r>
      <w:r>
        <w:t xml:space="preserve"> </w:t>
      </w:r>
      <w:r>
        <w:rPr>
          <w:bCs/>
          <w:b/>
        </w:rPr>
        <w:t xml:space="preserve">Supporting data for extracellular flux calculations.</w:t>
      </w:r>
      <w:r>
        <w:t xml:space="preserve"> </w:t>
      </w:r>
      <w:r>
        <w:t xml:space="preserve">(</w:t>
      </w:r>
      <w:r>
        <w:rPr>
          <w:bCs/>
          <w:b/>
        </w:rPr>
        <w:t xml:space="preserve">A</w:t>
      </w:r>
      <w:r>
        <w:t xml:space="preserve">) Cell viability as assessed by live/dead cell staining with acridine orange plus propidium iodide staining did not differ between 21% and 0.5% oxygen culture conditions (n = 3 technical replicates). (</w:t>
      </w:r>
      <w:r>
        <w:rPr>
          <w:bCs/>
          <w:b/>
        </w:rPr>
        <w:t xml:space="preserve">B</w:t>
      </w:r>
      <w:r>
        <w:t xml:space="preserve">) Standard curves were generated to interpolate cell counts from total DNA by seeding lung fibroblasts (LF) and pulmonary artery smooth muscle cells (PASMC) at the indicated densities in basal medium. Data are mean ± SEM of three biological replicates. (</w:t>
      </w:r>
      <w:r>
        <w:rPr>
          <w:bCs/>
          <w:b/>
        </w:rPr>
        <w:t xml:space="preserve">C</w:t>
      </w:r>
      <w:r>
        <w:t xml:space="preserve">) Total DNA measurements were compared to direct cell counts over the experimental time course. Cell counts and total DNA were obtained from the same sample wells. The slopes of the best-fit lines for 21% (</w:t>
      </w:r>
      <w:r>
        <w:rPr>
          <w:iCs/>
          <w:i/>
        </w:rPr>
        <w:t xml:space="preserve">red</w:t>
      </w:r>
      <w:r>
        <w:t xml:space="preserve">) and 0.5% (</w:t>
      </w:r>
      <w:r>
        <w:rPr>
          <w:iCs/>
          <w:i/>
        </w:rPr>
        <w:t xml:space="preserve">blue</w:t>
      </w:r>
      <w:r>
        <w:t xml:space="preserve">) samples were not different. (</w:t>
      </w:r>
      <w:r>
        <w:rPr>
          <w:bCs/>
          <w:b/>
        </w:rPr>
        <w:t xml:space="preserve">D</w:t>
      </w:r>
      <w:r>
        <w:t xml:space="preserve">) Predicted well volumes were estimated from the change in culture plate mass over the time course of the experiment. Evaporation rates were different depending on the treatment. Although the mean evaporation rate is depicted, experiment-specific evaporation rates were used to calculate fluxes for each experiment. (</w:t>
      </w:r>
      <w:r>
        <w:rPr>
          <w:bCs/>
          <w:b/>
        </w:rPr>
        <w:t xml:space="preserve">E</w:t>
      </w:r>
      <w:r>
        <w:t xml:space="preserve">) Metabolite accumulation (positive values) and degradation (negative values) rates. Data are mean ± SEM of 3-8 biological replicates. Rates significantly different from 0 (*) based on a probability value &lt; 0.05 using Student’s one-sample</w:t>
      </w:r>
      <w:r>
        <w:t xml:space="preserve"> </w:t>
      </w:r>
      <w:r>
        <w:rPr>
          <w:iCs/>
          <w:i/>
        </w:rPr>
        <w:t xml:space="preserve">t</w:t>
      </w:r>
      <w:r>
        <w:t xml:space="preserve">-test were incorporated into flux calculations.</w:t>
      </w:r>
    </w:p>
    <w:p>
      <w:r>
        <w:br w:type="page"/>
      </w:r>
    </w:p>
    <w:p>
      <w:pPr>
        <w:pStyle w:val="CaptionedFigure"/>
      </w:pPr>
      <w:r>
        <w:drawing>
          <wp:inline>
            <wp:extent cx="5270500" cy="6667500"/>
            <wp:effectExtent b="0" l="0" r="0" t="0"/>
            <wp:docPr descr="Figure 2: Extracellular flux measurements in 0.2% oxygen. Lung fibroblasts (LFs) were cultured with 21% oxygen (red) or 0.2% oxygen (dark blue) beginning 24 h prior to time 0. (A) Growth curves of LFs in each experimental condition (n = 4). (B) Growth rates from (A) were determined by robust linear modeling of log-transformed growth curves. (C) Representative immunoblot of LF protein lysates cultured as in (A). (D, E) Relative change in HIF-1α (D) and LDHA (E) protein levels normalized to 21% oxygen time 0 (n = 4). (F, G) Relative changes in GLUT1 (G) and LDHA (H) mRNA levels normalized to 21% oxygen time 0 (n = 4). (H, I) Extracellular fluxes of the indicated metabolites (n = 4). Data are mean ± SEM. Comparisons were made using linear mixed effects models with treatment group as a fixed effect and biological replicate as a random effect. Tukey’s post hoc test was applied to determine differences between 21% and 0.2% oxygen (*) with p-values &lt; 0.05 considered significant." title="" id="1" name="Picture"/>
            <a:graphic>
              <a:graphicData uri="http://schemas.openxmlformats.org/drawingml/2006/picture">
                <pic:pic>
                  <pic:nvPicPr>
                    <pic:cNvPr descr="/Users/will/Dropbox%20(Partners%20HealthCare)/Copeland.2021.hypoxia.flux/manuscript/figures/s2.pdf" id="0" name="Picture"/>
                    <pic:cNvPicPr>
                      <a:picLocks noChangeArrowheads="1" noChangeAspect="1"/>
                    </pic:cNvPicPr>
                  </pic:nvPicPr>
                  <pic:blipFill>
                    <a:blip r:embed="rId24"/>
                    <a:stretch>
                      <a:fillRect/>
                    </a:stretch>
                  </pic:blipFill>
                  <pic:spPr bwMode="auto">
                    <a:xfrm>
                      <a:off x="0" y="0"/>
                      <a:ext cx="5270500" cy="6667500"/>
                    </a:xfrm>
                    <a:prstGeom prst="rect">
                      <a:avLst/>
                    </a:prstGeom>
                    <a:noFill/>
                    <a:ln w="9525">
                      <a:noFill/>
                      <a:headEnd/>
                      <a:tailEnd/>
                    </a:ln>
                  </pic:spPr>
                </pic:pic>
              </a:graphicData>
            </a:graphic>
          </wp:inline>
        </w:drawing>
      </w:r>
    </w:p>
    <w:p>
      <w:pPr>
        <w:pStyle w:val="ImageCaption"/>
      </w:pPr>
      <w:r>
        <w:t xml:space="preserve">Figure 2:</w:t>
      </w:r>
      <w:r>
        <w:t xml:space="preserve"> </w:t>
      </w:r>
      <w:r>
        <w:rPr>
          <w:bCs/>
          <w:b/>
        </w:rPr>
        <w:t xml:space="preserve">Extracellular flux measurements in 0.2% oxygen.</w:t>
      </w:r>
      <w:r>
        <w:t xml:space="preserve"> </w:t>
      </w:r>
      <w:r>
        <w:t xml:space="preserve">Lung fibroblasts (LFs) were cultured with 21% oxygen (</w:t>
      </w:r>
      <w:r>
        <w:rPr>
          <w:iCs/>
          <w:i/>
        </w:rPr>
        <w:t xml:space="preserve">red</w:t>
      </w:r>
      <w:r>
        <w:t xml:space="preserve">) or 0.2% oxygen (</w:t>
      </w:r>
      <w:r>
        <w:rPr>
          <w:iCs/>
          <w:i/>
        </w:rPr>
        <w:t xml:space="preserve">dark blue</w:t>
      </w:r>
      <w:r>
        <w:t xml:space="preserve">) beginning 24 h prior to time 0. (</w:t>
      </w:r>
      <w:r>
        <w:rPr>
          <w:bCs/>
          <w:b/>
        </w:rPr>
        <w:t xml:space="preserve">A</w:t>
      </w:r>
      <w:r>
        <w:t xml:space="preserve">) Growth curves of LFs in each experimental condition (n = 4). (</w:t>
      </w:r>
      <w:r>
        <w:rPr>
          <w:bCs/>
          <w:b/>
        </w:rPr>
        <w:t xml:space="preserve">B</w:t>
      </w:r>
      <w:r>
        <w:t xml:space="preserve">) Growth rates from (A) were determined by robust linear modeling of log-transformed growth curves. (</w:t>
      </w:r>
      <w:r>
        <w:rPr>
          <w:bCs/>
          <w:b/>
        </w:rPr>
        <w:t xml:space="preserve">C</w:t>
      </w:r>
      <w:r>
        <w:t xml:space="preserve">) Representative immunoblot of LF protein lysates cultured as in (A). (</w:t>
      </w:r>
      <w:r>
        <w:rPr>
          <w:bCs/>
          <w:b/>
        </w:rPr>
        <w:t xml:space="preserve">D</w:t>
      </w:r>
      <w:r>
        <w:t xml:space="preserve">,</w:t>
      </w:r>
      <w:r>
        <w:t xml:space="preserve"> </w:t>
      </w:r>
      <w:r>
        <w:rPr>
          <w:bCs/>
          <w:b/>
        </w:rPr>
        <w:t xml:space="preserve">E</w:t>
      </w:r>
      <w:r>
        <w:t xml:space="preserve">) Relative change in HIF-1α (D) and LDHA (E) protein levels normalized to 21% oxygen time 0 (n = 4). (</w:t>
      </w:r>
      <w:r>
        <w:rPr>
          <w:bCs/>
          <w:b/>
        </w:rPr>
        <w:t xml:space="preserve">F</w:t>
      </w:r>
      <w:r>
        <w:t xml:space="preserve">,</w:t>
      </w:r>
      <w:r>
        <w:t xml:space="preserve"> </w:t>
      </w:r>
      <w:r>
        <w:rPr>
          <w:bCs/>
          <w:b/>
        </w:rPr>
        <w:t xml:space="preserve">G</w:t>
      </w:r>
      <w:r>
        <w:t xml:space="preserve">) Relative changes in GLUT1 (G) and LDHA (H) mRNA levels normalized to 21% oxygen time 0 (n = 4). (</w:t>
      </w:r>
      <w:r>
        <w:rPr>
          <w:bCs/>
          <w:b/>
        </w:rPr>
        <w:t xml:space="preserve">H</w:t>
      </w:r>
      <w:r>
        <w:t xml:space="preserve">,</w:t>
      </w:r>
      <w:r>
        <w:t xml:space="preserve"> </w:t>
      </w:r>
      <w:r>
        <w:rPr>
          <w:bCs/>
          <w:b/>
        </w:rPr>
        <w:t xml:space="preserve">I</w:t>
      </w:r>
      <w:r>
        <w:t xml:space="preserve">) Extracellular fluxes of the indicated metabolites (n = 4). Data are mean ± SEM. Comparisons were made using linear mixed effects models with treatment group as a fixed effect and biological replicate as a random effect. Tukey’s</w:t>
      </w:r>
      <w:r>
        <w:t xml:space="preserve"> </w:t>
      </w:r>
      <w:r>
        <w:rPr>
          <w:iCs/>
          <w:i/>
        </w:rPr>
        <w:t xml:space="preserve">post hoc</w:t>
      </w:r>
      <w:r>
        <w:t xml:space="preserve"> </w:t>
      </w:r>
      <w:r>
        <w:t xml:space="preserve">test was applied to determine differences between 21% and 0.2% oxygen (*) with p-values &lt; 0.05 considered significant.</w:t>
      </w:r>
    </w:p>
    <w:p>
      <w:r>
        <w:br w:type="page"/>
      </w:r>
    </w:p>
    <w:p>
      <w:pPr>
        <w:pStyle w:val="CaptionedFigure"/>
      </w:pPr>
      <w:r>
        <w:drawing>
          <wp:inline>
            <wp:extent cx="5232400" cy="6667500"/>
            <wp:effectExtent b="0" l="0" r="0" t="0"/>
            <wp:docPr descr="Figure 3: Extracellular flux measurements in pulmonary artery smooth muscle cells in 0.5% oxygen. Pulmonary artery smooth muscle cells (PASMCs) were cultured with 21% oxygen (red) or 0.5% oxygen (blue) beginning 24 h prior to time 0. (A) Growth curves of PASMCs under in each experimental condition (n = 8). (B) Growth rates from (A) were determined by robust linear modeling of log-transformed growth curves. (C) Representative immunoblot of PASMC protein lysates cultured as in (A). (D, E) Relative change in HIF-1α (D) and LDHA (E) protein levels normalized to 21% oxygen time 0 (n = 4). (F, G) Relative changes in GLUT1 (G) and LDHA (H) mRNA levels normalized to 21% oxygen time 0 (n = 4). (H, I) Extracellular fluxes of the indicated metabolites (n = 8). Data are mean ± SEM. Comparisons were made using linear mixed effects models with treatment group as a fixed effect and biological replicate as a random effect. Tukey’s post hoc test was applied to determine differences between 21% and 0.5% oxygen (*) with p-values &lt; 0.05 considered significant." title="" id="1" name="Picture"/>
            <a:graphic>
              <a:graphicData uri="http://schemas.openxmlformats.org/drawingml/2006/picture">
                <pic:pic>
                  <pic:nvPicPr>
                    <pic:cNvPr descr="/Users/will/Dropbox%20(Partners%20HealthCare)/Copeland.2021.hypoxia.flux/manuscript/figures/s3.pdf" id="0" name="Picture"/>
                    <pic:cNvPicPr>
                      <a:picLocks noChangeArrowheads="1" noChangeAspect="1"/>
                    </pic:cNvPicPr>
                  </pic:nvPicPr>
                  <pic:blipFill>
                    <a:blip r:embed="rId25"/>
                    <a:stretch>
                      <a:fillRect/>
                    </a:stretch>
                  </pic:blipFill>
                  <pic:spPr bwMode="auto">
                    <a:xfrm>
                      <a:off x="0" y="0"/>
                      <a:ext cx="5232400" cy="6667500"/>
                    </a:xfrm>
                    <a:prstGeom prst="rect">
                      <a:avLst/>
                    </a:prstGeom>
                    <a:noFill/>
                    <a:ln w="9525">
                      <a:noFill/>
                      <a:headEnd/>
                      <a:tailEnd/>
                    </a:ln>
                  </pic:spPr>
                </pic:pic>
              </a:graphicData>
            </a:graphic>
          </wp:inline>
        </w:drawing>
      </w:r>
    </w:p>
    <w:p>
      <w:pPr>
        <w:pStyle w:val="ImageCaption"/>
      </w:pPr>
      <w:r>
        <w:t xml:space="preserve">Figure 3:</w:t>
      </w:r>
      <w:r>
        <w:t xml:space="preserve"> </w:t>
      </w:r>
      <w:r>
        <w:rPr>
          <w:bCs/>
          <w:b/>
        </w:rPr>
        <w:t xml:space="preserve">Extracellular flux measurements in pulmonary artery smooth muscle cells in 0.5% oxygen.</w:t>
      </w:r>
      <w:r>
        <w:t xml:space="preserve"> </w:t>
      </w:r>
      <w:r>
        <w:t xml:space="preserve">Pulmonary artery smooth muscle cells (PASMCs) were cultured with 21% oxygen (</w:t>
      </w:r>
      <w:r>
        <w:rPr>
          <w:iCs/>
          <w:i/>
        </w:rPr>
        <w:t xml:space="preserve">red</w:t>
      </w:r>
      <w:r>
        <w:t xml:space="preserve">) or 0.5% oxygen (</w:t>
      </w:r>
      <w:r>
        <w:rPr>
          <w:iCs/>
          <w:i/>
        </w:rPr>
        <w:t xml:space="preserve">blue</w:t>
      </w:r>
      <w:r>
        <w:t xml:space="preserve">) beginning 24 h prior to time 0. (</w:t>
      </w:r>
      <w:r>
        <w:rPr>
          <w:bCs/>
          <w:b/>
        </w:rPr>
        <w:t xml:space="preserve">A</w:t>
      </w:r>
      <w:r>
        <w:t xml:space="preserve">) Growth curves of PASMCs under in each experimental condition (n = 8). (</w:t>
      </w:r>
      <w:r>
        <w:rPr>
          <w:bCs/>
          <w:b/>
        </w:rPr>
        <w:t xml:space="preserve">B</w:t>
      </w:r>
      <w:r>
        <w:t xml:space="preserve">) Growth rates from (A) were determined by robust linear modeling of log-transformed growth curves. (</w:t>
      </w:r>
      <w:r>
        <w:rPr>
          <w:bCs/>
          <w:b/>
        </w:rPr>
        <w:t xml:space="preserve">C</w:t>
      </w:r>
      <w:r>
        <w:t xml:space="preserve">) Representative immunoblot of PASMC protein lysates cultured as in (A). (</w:t>
      </w:r>
      <w:r>
        <w:rPr>
          <w:bCs/>
          <w:b/>
        </w:rPr>
        <w:t xml:space="preserve">D</w:t>
      </w:r>
      <w:r>
        <w:t xml:space="preserve">,</w:t>
      </w:r>
      <w:r>
        <w:t xml:space="preserve"> </w:t>
      </w:r>
      <w:r>
        <w:rPr>
          <w:bCs/>
          <w:b/>
        </w:rPr>
        <w:t xml:space="preserve">E</w:t>
      </w:r>
      <w:r>
        <w:t xml:space="preserve">) Relative change in HIF-1α (D) and LDHA (E) protein levels normalized to 21% oxygen time 0 (n = 4). (</w:t>
      </w:r>
      <w:r>
        <w:rPr>
          <w:bCs/>
          <w:b/>
        </w:rPr>
        <w:t xml:space="preserve">F</w:t>
      </w:r>
      <w:r>
        <w:t xml:space="preserve">,</w:t>
      </w:r>
      <w:r>
        <w:t xml:space="preserve"> </w:t>
      </w:r>
      <w:r>
        <w:rPr>
          <w:bCs/>
          <w:b/>
        </w:rPr>
        <w:t xml:space="preserve">G</w:t>
      </w:r>
      <w:r>
        <w:t xml:space="preserve">) Relative changes in GLUT1 (G) and LDHA (H) mRNA levels normalized to 21% oxygen time 0 (n = 4). (</w:t>
      </w:r>
      <w:r>
        <w:rPr>
          <w:bCs/>
          <w:b/>
        </w:rPr>
        <w:t xml:space="preserve">H</w:t>
      </w:r>
      <w:r>
        <w:t xml:space="preserve">,</w:t>
      </w:r>
      <w:r>
        <w:t xml:space="preserve"> </w:t>
      </w:r>
      <w:r>
        <w:rPr>
          <w:bCs/>
          <w:b/>
        </w:rPr>
        <w:t xml:space="preserve">I</w:t>
      </w:r>
      <w:r>
        <w:t xml:space="preserve">) Extracellular fluxes of the indicated metabolites (n = 8). Data are mean ± SEM. Comparisons were made using linear mixed effects models with treatment group as a fixed effect and biological replicate as a random effect. Tukey’s</w:t>
      </w:r>
      <w:r>
        <w:t xml:space="preserve"> </w:t>
      </w:r>
      <w:r>
        <w:rPr>
          <w:iCs/>
          <w:i/>
        </w:rPr>
        <w:t xml:space="preserve">post hoc</w:t>
      </w:r>
      <w:r>
        <w:t xml:space="preserve"> </w:t>
      </w:r>
      <w:r>
        <w:t xml:space="preserve">test was applied to determine differences between 21% and 0.5% oxygen (*) with p-values &lt; 0.05 considered significant.</w:t>
      </w:r>
    </w:p>
    <w:p>
      <w:r>
        <w:br w:type="page"/>
      </w:r>
    </w:p>
    <w:p>
      <w:pPr>
        <w:pStyle w:val="CaptionedFigure"/>
      </w:pPr>
      <w:r>
        <w:drawing>
          <wp:inline>
            <wp:extent cx="6400800" cy="6843037"/>
            <wp:effectExtent b="0" l="0" r="0" t="0"/>
            <wp:docPr descr="Figure 4: Mass isotopomer distributions after 72 h of labeling in lung fibroblasts. Lung fibroblasts (LFs) were labeled with the indicated tracers and intracellular metabolites were analyzed by LC-MS after 72 h. Mass isotopomer distributions were adjusted for natural abundance. Data are the mean ± SEM of 4 biological replicates. Significant differences in labeling patterns between 21% and 0.5% oxygen (*), DMSO and BAY treatment (†), and 0.5% oxygen and BAY treatment (‡) for each combination of metabolite and tracer are highlighted." title="" id="1" name="Picture"/>
            <a:graphic>
              <a:graphicData uri="http://schemas.openxmlformats.org/drawingml/2006/picture">
                <pic:pic>
                  <pic:nvPicPr>
                    <pic:cNvPr descr="/Users/will/Dropbox%20(Partners%20HealthCare)/Copeland.2021.hypoxia.flux/manuscript/figures/s4.pdf" id="0" name="Picture"/>
                    <pic:cNvPicPr>
                      <a:picLocks noChangeArrowheads="1" noChangeAspect="1"/>
                    </pic:cNvPicPr>
                  </pic:nvPicPr>
                  <pic:blipFill>
                    <a:blip r:embed="rId26"/>
                    <a:stretch>
                      <a:fillRect/>
                    </a:stretch>
                  </pic:blipFill>
                  <pic:spPr bwMode="auto">
                    <a:xfrm>
                      <a:off x="0" y="0"/>
                      <a:ext cx="6400800" cy="6843037"/>
                    </a:xfrm>
                    <a:prstGeom prst="rect">
                      <a:avLst/>
                    </a:prstGeom>
                    <a:noFill/>
                    <a:ln w="9525">
                      <a:noFill/>
                      <a:headEnd/>
                      <a:tailEnd/>
                    </a:ln>
                  </pic:spPr>
                </pic:pic>
              </a:graphicData>
            </a:graphic>
          </wp:inline>
        </w:drawing>
      </w:r>
    </w:p>
    <w:p>
      <w:pPr>
        <w:pStyle w:val="ImageCaption"/>
      </w:pPr>
      <w:r>
        <w:t xml:space="preserve">Figure 4:</w:t>
      </w:r>
      <w:r>
        <w:t xml:space="preserve"> </w:t>
      </w:r>
      <w:r>
        <w:rPr>
          <w:bCs/>
          <w:b/>
        </w:rPr>
        <w:t xml:space="preserve">Mass isotopomer distributions after 72 h of labeling in lung fibroblasts.</w:t>
      </w:r>
      <w:r>
        <w:t xml:space="preserve"> </w:t>
      </w:r>
      <w:r>
        <w:t xml:space="preserve">Lung fibroblasts (LFs) were labeled with the indicated tracers and intracellular metabolites were analyzed by LC-MS after 72 h. Mass isotopomer distributions were adjusted for natural abundance. Data are the mean ± SEM of 4 biological replicates. Significant differences in labeling patterns between 21% and 0.5% oxygen (*), DMSO and BAY treatment (†), and 0.5% oxygen and BAY treatment (‡) for each combination of metabolite and tracer are highlighted.</w:t>
      </w:r>
    </w:p>
    <w:p>
      <w:r>
        <w:br w:type="page"/>
      </w:r>
    </w:p>
    <w:p>
      <w:pPr>
        <w:pStyle w:val="CaptionedFigure"/>
      </w:pPr>
      <w:r>
        <w:drawing>
          <wp:inline>
            <wp:extent cx="6400800" cy="5155712"/>
            <wp:effectExtent b="0" l="0" r="0" t="0"/>
            <wp:docPr descr="Figure 5: Mass isotopomer distributions after 72 h of labeling in pulmonary artery smooth muscle cells. Pulmonary artery smooth muscle cells (PASMCs) were labeled with the indicated tracers and intracellular metabolites were analyzed by LC-MS after 36 h. Mass isotopomer distributions were adjusted for natural abundance. Data are the mean ± SEM of 4 biological replicates. Significant differences in labeling patterns between 21% and 0.5% oxygen (*) for each combination of metabolite and tracer are highlighted." title="" id="1" name="Picture"/>
            <a:graphic>
              <a:graphicData uri="http://schemas.openxmlformats.org/drawingml/2006/picture">
                <pic:pic>
                  <pic:nvPicPr>
                    <pic:cNvPr descr="/Users/will/Dropbox%20(Partners%20HealthCare)/Copeland.2021.hypoxia.flux/manuscript/figures/s5.pdf" id="0" name="Picture"/>
                    <pic:cNvPicPr>
                      <a:picLocks noChangeArrowheads="1" noChangeAspect="1"/>
                    </pic:cNvPicPr>
                  </pic:nvPicPr>
                  <pic:blipFill>
                    <a:blip r:embed="rId27"/>
                    <a:stretch>
                      <a:fillRect/>
                    </a:stretch>
                  </pic:blipFill>
                  <pic:spPr bwMode="auto">
                    <a:xfrm>
                      <a:off x="0" y="0"/>
                      <a:ext cx="6400800" cy="5155712"/>
                    </a:xfrm>
                    <a:prstGeom prst="rect">
                      <a:avLst/>
                    </a:prstGeom>
                    <a:noFill/>
                    <a:ln w="9525">
                      <a:noFill/>
                      <a:headEnd/>
                      <a:tailEnd/>
                    </a:ln>
                  </pic:spPr>
                </pic:pic>
              </a:graphicData>
            </a:graphic>
          </wp:inline>
        </w:drawing>
      </w:r>
    </w:p>
    <w:p>
      <w:pPr>
        <w:pStyle w:val="ImageCaption"/>
      </w:pPr>
      <w:r>
        <w:t xml:space="preserve">Figure 5:</w:t>
      </w:r>
      <w:r>
        <w:t xml:space="preserve"> </w:t>
      </w:r>
      <w:r>
        <w:rPr>
          <w:bCs/>
          <w:b/>
        </w:rPr>
        <w:t xml:space="preserve">Mass isotopomer distributions after 72 h of labeling in pulmonary artery smooth muscle cells.</w:t>
      </w:r>
      <w:r>
        <w:t xml:space="preserve"> </w:t>
      </w:r>
      <w:r>
        <w:t xml:space="preserve">Pulmonary artery smooth muscle cells (PASMCs) were labeled with the indicated tracers and intracellular metabolites were analyzed by LC-MS after 36 h. Mass isotopomer distributions were adjusted for natural abundance. Data are the mean ± SEM of 4 biological replicates. Significant differences in labeling patterns between 21% and 0.5% oxygen (*) for each combination of metabolite and tracer are highlighted.</w:t>
      </w:r>
    </w:p>
    <w:p>
      <w:r>
        <w:br w:type="page"/>
      </w:r>
    </w:p>
    <w:p>
      <w:pPr>
        <w:pStyle w:val="CaptionedFigure"/>
      </w:pPr>
      <w:r>
        <w:drawing>
          <wp:inline>
            <wp:extent cx="4203700" cy="6807200"/>
            <wp:effectExtent b="0" l="0" r="0" t="0"/>
            <wp:docPr descr="Figure 6: Isotope incorporation in key metabolites over the experimental time course. (A, B) LFs were cultured in 21% (A) or 0.5% (B) oxygen and labeled with the indicated tracers and intracellular metabolites were analyzed by LC-MS (PYR, pyruvate; CIT, citrate; MAL, malate). Mass isotopomer distributions were adjusted for natural abundance. Data are the mean ± SEM of 4 biological replicates." title="" id="1" name="Picture"/>
            <a:graphic>
              <a:graphicData uri="http://schemas.openxmlformats.org/drawingml/2006/picture">
                <pic:pic>
                  <pic:nvPicPr>
                    <pic:cNvPr descr="/Users/will/Dropbox%20(Partners%20HealthCare)/Copeland.2021.hypoxia.flux/manuscript/figures/s6.pdf" id="0" name="Picture"/>
                    <pic:cNvPicPr>
                      <a:picLocks noChangeArrowheads="1" noChangeAspect="1"/>
                    </pic:cNvPicPr>
                  </pic:nvPicPr>
                  <pic:blipFill>
                    <a:blip r:embed="rId28"/>
                    <a:stretch>
                      <a:fillRect/>
                    </a:stretch>
                  </pic:blipFill>
                  <pic:spPr bwMode="auto">
                    <a:xfrm>
                      <a:off x="0" y="0"/>
                      <a:ext cx="4203700" cy="6807200"/>
                    </a:xfrm>
                    <a:prstGeom prst="rect">
                      <a:avLst/>
                    </a:prstGeom>
                    <a:noFill/>
                    <a:ln w="9525">
                      <a:noFill/>
                      <a:headEnd/>
                      <a:tailEnd/>
                    </a:ln>
                  </pic:spPr>
                </pic:pic>
              </a:graphicData>
            </a:graphic>
          </wp:inline>
        </w:drawing>
      </w:r>
    </w:p>
    <w:p>
      <w:pPr>
        <w:pStyle w:val="ImageCaption"/>
      </w:pPr>
      <w:r>
        <w:t xml:space="preserve">Figure 6:</w:t>
      </w:r>
      <w:r>
        <w:t xml:space="preserve"> </w:t>
      </w:r>
      <w:r>
        <w:rPr>
          <w:bCs/>
          <w:b/>
        </w:rPr>
        <w:t xml:space="preserve">Isotope incorporation in key metabolites over the experimental time course.</w:t>
      </w:r>
      <w:r>
        <w:t xml:space="preserve"> </w:t>
      </w:r>
      <w:r>
        <w:t xml:space="preserve">(</w:t>
      </w:r>
      <w:r>
        <w:rPr>
          <w:bCs/>
          <w:b/>
        </w:rPr>
        <w:t xml:space="preserve">A</w:t>
      </w:r>
      <w:r>
        <w:t xml:space="preserve">,</w:t>
      </w:r>
      <w:r>
        <w:t xml:space="preserve"> </w:t>
      </w:r>
      <w:r>
        <w:rPr>
          <w:bCs/>
          <w:b/>
        </w:rPr>
        <w:t xml:space="preserve">B</w:t>
      </w:r>
      <w:r>
        <w:t xml:space="preserve">) LFs were cultured in 21% (A) or 0.5% (B) oxygen and labeled with the indicated tracers and intracellular metabolites were analyzed by LC-MS (PYR, pyruvate; CIT, citrate; MAL, malate). Mass isotopomer distributions were adjusted for natural abundance. Data are the mean ± SEM of 4 biological replicates.</w:t>
      </w:r>
    </w:p>
    <w:p>
      <w:r>
        <w:br w:type="page"/>
      </w:r>
    </w:p>
    <w:p>
      <w:pPr>
        <w:pStyle w:val="CaptionedFigure"/>
      </w:pPr>
      <w:r>
        <w:drawing>
          <wp:inline>
            <wp:extent cx="6400800" cy="7084380"/>
            <wp:effectExtent b="0" l="0" r="0" t="0"/>
            <wp:docPr descr="Figure 7: Isotopically non-stationary metabolic flux analysis. (A) Metabolic flux model of LF metabolism in 21% oxygen. (B) Metabolic flux model of PASMC metabolism in 21% oxygen. (C) LF fluxes were normalized to cell growth rate. Graph depicts the ratio of normalized metabolic fluxes in LFs cultured in 0.5% oxygen compared to 21% oxygen control. Fluxes with non-overlapping confidence intervals are highlighted to indicate significant changes. (D) Ratio of metabolic fluxes in 0.5% oxygen compared to 21% oxygen in PASMCs." title="" id="1" name="Picture"/>
            <a:graphic>
              <a:graphicData uri="http://schemas.openxmlformats.org/drawingml/2006/picture">
                <pic:pic>
                  <pic:nvPicPr>
                    <pic:cNvPr descr="/Users/will/Dropbox%20(Partners%20HealthCare)/Copeland.2021.hypoxia.flux/manuscript/figures/s7.pdf" id="0" name="Picture"/>
                    <pic:cNvPicPr>
                      <a:picLocks noChangeArrowheads="1" noChangeAspect="1"/>
                    </pic:cNvPicPr>
                  </pic:nvPicPr>
                  <pic:blipFill>
                    <a:blip r:embed="rId29"/>
                    <a:stretch>
                      <a:fillRect/>
                    </a:stretch>
                  </pic:blipFill>
                  <pic:spPr bwMode="auto">
                    <a:xfrm>
                      <a:off x="0" y="0"/>
                      <a:ext cx="6400800" cy="7084380"/>
                    </a:xfrm>
                    <a:prstGeom prst="rect">
                      <a:avLst/>
                    </a:prstGeom>
                    <a:noFill/>
                    <a:ln w="9525">
                      <a:noFill/>
                      <a:headEnd/>
                      <a:tailEnd/>
                    </a:ln>
                  </pic:spPr>
                </pic:pic>
              </a:graphicData>
            </a:graphic>
          </wp:inline>
        </w:drawing>
      </w:r>
    </w:p>
    <w:p>
      <w:pPr>
        <w:pStyle w:val="ImageCaption"/>
      </w:pPr>
      <w:r>
        <w:t xml:space="preserve">Figure 7:</w:t>
      </w:r>
      <w:r>
        <w:t xml:space="preserve"> </w:t>
      </w:r>
      <w:r>
        <w:rPr>
          <w:bCs/>
          <w:b/>
        </w:rPr>
        <w:t xml:space="preserve">Isotopically non-stationary metabolic flux analysis.</w:t>
      </w:r>
      <w:r>
        <w:t xml:space="preserve"> </w:t>
      </w:r>
      <w:r>
        <w:t xml:space="preserve">(</w:t>
      </w:r>
      <w:r>
        <w:rPr>
          <w:bCs/>
          <w:b/>
        </w:rPr>
        <w:t xml:space="preserve">A</w:t>
      </w:r>
      <w:r>
        <w:t xml:space="preserve">) Metabolic flux model of LF metabolism in 21% oxygen. (</w:t>
      </w:r>
      <w:r>
        <w:rPr>
          <w:bCs/>
          <w:b/>
        </w:rPr>
        <w:t xml:space="preserve">B</w:t>
      </w:r>
      <w:r>
        <w:t xml:space="preserve">) Metabolic flux model of PASMC metabolism in 21% oxygen. (</w:t>
      </w:r>
      <w:r>
        <w:rPr>
          <w:bCs/>
          <w:b/>
        </w:rPr>
        <w:t xml:space="preserve">C</w:t>
      </w:r>
      <w:r>
        <w:t xml:space="preserve">) LF fluxes were normalized to cell growth rate. Graph depicts the ratio of normalized metabolic fluxes in LFs cultured in 0.5% oxygen compared to 21% oxygen control. Fluxes with non-overlapping confidence intervals are highlighted to indicate significant changes. (</w:t>
      </w:r>
      <w:r>
        <w:rPr>
          <w:bCs/>
          <w:b/>
        </w:rPr>
        <w:t xml:space="preserve">D</w:t>
      </w:r>
      <w:r>
        <w:t xml:space="preserve">) Ratio of metabolic fluxes in 0.5% oxygen compared to 21% oxygen in PASMCs.</w:t>
      </w:r>
    </w:p>
    <w:p>
      <w:r>
        <w:br w:type="page"/>
      </w:r>
    </w:p>
    <w:p>
      <w:pPr>
        <w:pStyle w:val="CaptionedFigure"/>
      </w:pPr>
      <w:r>
        <w:drawing>
          <wp:inline>
            <wp:extent cx="6134100" cy="3327400"/>
            <wp:effectExtent b="0" l="0" r="0" t="0"/>
            <wp:docPr descr="Figure 8: Metabolomic profiling of hypoxia and BAY treated lung fibroblasts. (A, B) Volcano plots of differentially regulated metabolites with 0.5% oxygen in DMSO-treated cells (A) or BAY treatment in 21% oxygen-cultured cells (B). Significantly increased metabolites with 0.5% oxygen (blue) or with BAY treatment (purple) are indicated. The top 10 up- and down-regulated metabolites are labeled. (C) Venn diagram illustrating the number of differentially regulated metabolites following hypoxia (blue) or BAY treatment (purple). (D, E) Results of a metabolite set enrichment analysis of KEGG pathways based on the data from (A) and (B). Significantly enriched pathways with p &lt; 0.05 are indicated." title="" id="1" name="Picture"/>
            <a:graphic>
              <a:graphicData uri="http://schemas.openxmlformats.org/drawingml/2006/picture">
                <pic:pic>
                  <pic:nvPicPr>
                    <pic:cNvPr descr="/Users/will/Dropbox%20(Partners%20HealthCare)/Copeland.2021.hypoxia.flux/manuscript/figures/s8.pdf" id="0" name="Picture"/>
                    <pic:cNvPicPr>
                      <a:picLocks noChangeArrowheads="1" noChangeAspect="1"/>
                    </pic:cNvPicPr>
                  </pic:nvPicPr>
                  <pic:blipFill>
                    <a:blip r:embed="rId30"/>
                    <a:stretch>
                      <a:fillRect/>
                    </a:stretch>
                  </pic:blipFill>
                  <pic:spPr bwMode="auto">
                    <a:xfrm>
                      <a:off x="0" y="0"/>
                      <a:ext cx="6134100" cy="3327400"/>
                    </a:xfrm>
                    <a:prstGeom prst="rect">
                      <a:avLst/>
                    </a:prstGeom>
                    <a:noFill/>
                    <a:ln w="9525">
                      <a:noFill/>
                      <a:headEnd/>
                      <a:tailEnd/>
                    </a:ln>
                  </pic:spPr>
                </pic:pic>
              </a:graphicData>
            </a:graphic>
          </wp:inline>
        </w:drawing>
      </w:r>
    </w:p>
    <w:p>
      <w:pPr>
        <w:pStyle w:val="ImageCaption"/>
      </w:pPr>
      <w:r>
        <w:t xml:space="preserve">Figure 8:</w:t>
      </w:r>
      <w:r>
        <w:t xml:space="preserve"> </w:t>
      </w:r>
      <w:r>
        <w:rPr>
          <w:bCs/>
          <w:b/>
        </w:rPr>
        <w:t xml:space="preserve">Metabolomic profiling of hypoxia and BAY treated lung fibroblasts.</w:t>
      </w:r>
      <w:r>
        <w:t xml:space="preserve"> </w:t>
      </w:r>
      <w:r>
        <w:t xml:space="preserve">(</w:t>
      </w:r>
      <w:r>
        <w:rPr>
          <w:bCs/>
          <w:b/>
        </w:rPr>
        <w:t xml:space="preserve">A</w:t>
      </w:r>
      <w:r>
        <w:t xml:space="preserve">,</w:t>
      </w:r>
      <w:r>
        <w:t xml:space="preserve"> </w:t>
      </w:r>
      <w:r>
        <w:rPr>
          <w:bCs/>
          <w:b/>
        </w:rPr>
        <w:t xml:space="preserve">B</w:t>
      </w:r>
      <w:r>
        <w:t xml:space="preserve">) Volcano plots of differentially regulated metabolites with 0.5% oxygen in DMSO-treated cells (A) or BAY treatment in 21% oxygen-cultured cells (B). Significantly increased metabolites with 0.5% oxygen (</w:t>
      </w:r>
      <w:r>
        <w:rPr>
          <w:iCs/>
          <w:i/>
        </w:rPr>
        <w:t xml:space="preserve">blue</w:t>
      </w:r>
      <w:r>
        <w:t xml:space="preserve">) or with BAY treatment (</w:t>
      </w:r>
      <w:r>
        <w:rPr>
          <w:iCs/>
          <w:i/>
        </w:rPr>
        <w:t xml:space="preserve">purple</w:t>
      </w:r>
      <w:r>
        <w:t xml:space="preserve">) are indicated. The top 10 up- and down-regulated metabolites are labeled. (</w:t>
      </w:r>
      <w:r>
        <w:rPr>
          <w:bCs/>
          <w:b/>
        </w:rPr>
        <w:t xml:space="preserve">C</w:t>
      </w:r>
      <w:r>
        <w:t xml:space="preserve">) Venn diagram illustrating the number of differentially regulated metabolites following hypoxia (</w:t>
      </w:r>
      <w:r>
        <w:rPr>
          <w:iCs/>
          <w:i/>
        </w:rPr>
        <w:t xml:space="preserve">blue</w:t>
      </w:r>
      <w:r>
        <w:t xml:space="preserve">) or BAY treatment (</w:t>
      </w:r>
      <w:r>
        <w:rPr>
          <w:iCs/>
          <w:i/>
        </w:rPr>
        <w:t xml:space="preserve">purple</w:t>
      </w:r>
      <w:r>
        <w:t xml:space="preserve">). (</w:t>
      </w:r>
      <w:r>
        <w:rPr>
          <w:bCs/>
          <w:b/>
        </w:rPr>
        <w:t xml:space="preserve">D</w:t>
      </w:r>
      <w:r>
        <w:t xml:space="preserve">,</w:t>
      </w:r>
      <w:r>
        <w:t xml:space="preserve"> </w:t>
      </w:r>
      <w:r>
        <w:rPr>
          <w:bCs/>
          <w:b/>
        </w:rPr>
        <w:t xml:space="preserve">E</w:t>
      </w:r>
      <w:r>
        <w:t xml:space="preserve">) Results of a metabolite set enrichment analysis of KEGG pathways based on the data from (A) and (B). Significantly enriched pathways with p &lt; 0.05 are indicated.</w:t>
      </w:r>
    </w:p>
    <w:p>
      <w:r>
        <w:br w:type="page"/>
      </w:r>
    </w:p>
    <w:p>
      <w:pPr>
        <w:pStyle w:val="CaptionedFigure"/>
      </w:pPr>
      <w:r>
        <w:drawing>
          <wp:inline>
            <wp:extent cx="6388100" cy="6845300"/>
            <wp:effectExtent b="0" l="0" r="0" t="0"/>
            <wp:docPr descr="Figure 9: Transcriptomic profiling of hypoxia and BAY treated lung fibroblasts. (A, B) Volcano plots of differentially regulated transcripts with 0.5% oxygen in DMSO-treated cells (A) or BAY treatment in 21% oxygen-cultured cells (B). The top 10 up- and down-regulated metabolites are highlighted. (C) Venn diagram illustrating the number of differentially regulated genes following hypoxia (blue) or BAY treatment (purple). (D) Venn diagram illustrating the number of differentially enriched Hallmark gene sets with hypoxia (blue) or BAY treatment (purple). (E, F) Normalized enrichment scores from gene set enrichment analysis of Hallmark gene sets affected by 0.5% oxygen (E) or BAY treatment (F)." title="" id="1" name="Picture"/>
            <a:graphic>
              <a:graphicData uri="http://schemas.openxmlformats.org/drawingml/2006/picture">
                <pic:pic>
                  <pic:nvPicPr>
                    <pic:cNvPr descr="/Users/will/Dropbox%20(Partners%20HealthCare)/Copeland.2021.hypoxia.flux/manuscript/figures/s9.pdf" id="0" name="Picture"/>
                    <pic:cNvPicPr>
                      <a:picLocks noChangeArrowheads="1" noChangeAspect="1"/>
                    </pic:cNvPicPr>
                  </pic:nvPicPr>
                  <pic:blipFill>
                    <a:blip r:embed="rId31"/>
                    <a:stretch>
                      <a:fillRect/>
                    </a:stretch>
                  </pic:blipFill>
                  <pic:spPr bwMode="auto">
                    <a:xfrm>
                      <a:off x="0" y="0"/>
                      <a:ext cx="6388100" cy="6845300"/>
                    </a:xfrm>
                    <a:prstGeom prst="rect">
                      <a:avLst/>
                    </a:prstGeom>
                    <a:noFill/>
                    <a:ln w="9525">
                      <a:noFill/>
                      <a:headEnd/>
                      <a:tailEnd/>
                    </a:ln>
                  </pic:spPr>
                </pic:pic>
              </a:graphicData>
            </a:graphic>
          </wp:inline>
        </w:drawing>
      </w:r>
    </w:p>
    <w:p>
      <w:pPr>
        <w:pStyle w:val="ImageCaption"/>
      </w:pPr>
      <w:r>
        <w:t xml:space="preserve">Figure 9:</w:t>
      </w:r>
      <w:r>
        <w:t xml:space="preserve"> </w:t>
      </w:r>
      <w:r>
        <w:rPr>
          <w:bCs/>
          <w:b/>
        </w:rPr>
        <w:t xml:space="preserve">Transcriptomic profiling of hypoxia and BAY treated lung fibroblasts.</w:t>
      </w:r>
      <w:r>
        <w:t xml:space="preserve"> </w:t>
      </w:r>
      <w:r>
        <w:t xml:space="preserve">(</w:t>
      </w:r>
      <w:r>
        <w:rPr>
          <w:bCs/>
          <w:b/>
        </w:rPr>
        <w:t xml:space="preserve">A</w:t>
      </w:r>
      <w:r>
        <w:t xml:space="preserve">,</w:t>
      </w:r>
      <w:r>
        <w:t xml:space="preserve"> </w:t>
      </w:r>
      <w:r>
        <w:rPr>
          <w:bCs/>
          <w:b/>
        </w:rPr>
        <w:t xml:space="preserve">B</w:t>
      </w:r>
      <w:r>
        <w:t xml:space="preserve">) Volcano plots of differentially regulated transcripts with 0.5% oxygen in DMSO-treated cells (A) or BAY treatment in 21% oxygen-cultured cells (B). The top 10 up- and down-regulated metabolites are highlighted. (</w:t>
      </w:r>
      <w:r>
        <w:rPr>
          <w:bCs/>
          <w:b/>
        </w:rPr>
        <w:t xml:space="preserve">C</w:t>
      </w:r>
      <w:r>
        <w:t xml:space="preserve">) Venn diagram illustrating the number of differentially regulated genes following hypoxia (</w:t>
      </w:r>
      <w:r>
        <w:rPr>
          <w:iCs/>
          <w:i/>
        </w:rPr>
        <w:t xml:space="preserve">blue</w:t>
      </w:r>
      <w:r>
        <w:t xml:space="preserve">) or BAY treatment (</w:t>
      </w:r>
      <w:r>
        <w:rPr>
          <w:iCs/>
          <w:i/>
        </w:rPr>
        <w:t xml:space="preserve">purple</w:t>
      </w:r>
      <w:r>
        <w:t xml:space="preserve">). (</w:t>
      </w:r>
      <w:r>
        <w:rPr>
          <w:bCs/>
          <w:b/>
        </w:rPr>
        <w:t xml:space="preserve">D</w:t>
      </w:r>
      <w:r>
        <w:t xml:space="preserve">) Venn diagram illustrating the number of differentially enriched Hallmark gene sets with hypoxia (</w:t>
      </w:r>
      <w:r>
        <w:rPr>
          <w:iCs/>
          <w:i/>
        </w:rPr>
        <w:t xml:space="preserve">blue</w:t>
      </w:r>
      <w:r>
        <w:t xml:space="preserve">) or BAY treatment (</w:t>
      </w:r>
      <w:r>
        <w:rPr>
          <w:iCs/>
          <w:i/>
        </w:rPr>
        <w:t xml:space="preserve">purple</w:t>
      </w:r>
      <w:r>
        <w:t xml:space="preserve">). (</w:t>
      </w:r>
      <w:r>
        <w:rPr>
          <w:bCs/>
          <w:b/>
        </w:rPr>
        <w:t xml:space="preserve">E</w:t>
      </w:r>
      <w:r>
        <w:t xml:space="preserve">,</w:t>
      </w:r>
      <w:r>
        <w:t xml:space="preserve"> </w:t>
      </w:r>
      <w:r>
        <w:rPr>
          <w:bCs/>
          <w:b/>
        </w:rPr>
        <w:t xml:space="preserve">F</w:t>
      </w:r>
      <w:r>
        <w:t xml:space="preserve">) Normalized enrichment scores from gene set enrichment analysis of Hallmark gene sets affected by 0.5% oxygen (E) or BAY treatment (F).</w:t>
      </w:r>
    </w:p>
    <w:p>
      <w:r>
        <w:br w:type="page"/>
      </w:r>
    </w:p>
    <w:bookmarkEnd w:id="32"/>
    <w:bookmarkStart w:id="88" w:name="supplemental-references"/>
    <w:p>
      <w:pPr>
        <w:pStyle w:val="Heading1"/>
      </w:pPr>
      <w:r>
        <w:t xml:space="preserve">Supplemental References</w:t>
      </w:r>
    </w:p>
    <w:bookmarkStart w:id="87" w:name="refs_software"/>
    <w:bookmarkStart w:id="33" w:name="ref-R-pbkrtest"/>
    <w:p>
      <w:pPr>
        <w:pStyle w:val="FirstParagraph"/>
      </w:pPr>
      <w:r>
        <w:t xml:space="preserve">&lt;sorenh@math.aau.dk&gt;, U.H.S.H. (2020). Pbkrtest: Parametric bootstrap and kenward roger based methods for mixed model comparison.</w:t>
      </w:r>
    </w:p>
    <w:bookmarkEnd w:id="33"/>
    <w:bookmarkStart w:id="34" w:name="ref-R-rmarkdown"/>
    <w:p>
      <w:pPr>
        <w:pStyle w:val="BodyText"/>
      </w:pPr>
      <w:r>
        <w:t xml:space="preserve">Allaire, J., Xie, Y., McPherson, J., Luraschi, J., Ushey, K., Atkins, A., Wickham, H., Cheng, J., Chang, W., and Iannone, R. (2020). Rmarkdown: Dynamic documents for r.</w:t>
      </w:r>
    </w:p>
    <w:bookmarkEnd w:id="34"/>
    <w:bookmarkStart w:id="35" w:name="ref-R-magrittr"/>
    <w:p>
      <w:pPr>
        <w:pStyle w:val="BodyText"/>
      </w:pPr>
      <w:r>
        <w:t xml:space="preserve">Bache, S.M., and Wickham, H. (2014). Magrittr: A forward-pipe operator for r.</w:t>
      </w:r>
    </w:p>
    <w:bookmarkEnd w:id="35"/>
    <w:bookmarkStart w:id="36" w:name="ref-lme42015"/>
    <w:p>
      <w:pPr>
        <w:pStyle w:val="BodyText"/>
      </w:pPr>
      <w:r>
        <w:t xml:space="preserve">Bates, D., Mächler, M., Bolker, B., and Walker, S. (2015). Fitting linear mixed-effects models using</w:t>
      </w:r>
      <w:r>
        <w:t xml:space="preserve"> </w:t>
      </w:r>
      <w:r>
        <w:t xml:space="preserve">lme4</w:t>
      </w:r>
      <w:r>
        <w:t xml:space="preserve">. Journal of Statistical Software</w:t>
      </w:r>
      <w:r>
        <w:t xml:space="preserve"> </w:t>
      </w:r>
      <w:r>
        <w:rPr>
          <w:iCs/>
          <w:i/>
        </w:rPr>
        <w:t xml:space="preserve">67</w:t>
      </w:r>
      <w:r>
        <w:t xml:space="preserve">, 1–48.</w:t>
      </w:r>
    </w:p>
    <w:bookmarkEnd w:id="36"/>
    <w:bookmarkStart w:id="37" w:name="ref-R-lme4"/>
    <w:p>
      <w:pPr>
        <w:pStyle w:val="BodyText"/>
      </w:pPr>
      <w:r>
        <w:t xml:space="preserve">Bates, D., Maechler, M., Bolker, B., and Walker, S. (2020). lme4: Linear mixed-effects models using ’eigen’ and S4.</w:t>
      </w:r>
    </w:p>
    <w:bookmarkEnd w:id="37"/>
    <w:bookmarkStart w:id="38" w:name="ref-R-cellranger"/>
    <w:p>
      <w:pPr>
        <w:pStyle w:val="BodyText"/>
      </w:pPr>
      <w:r>
        <w:t xml:space="preserve">Bryan, J. (2016). Cellranger: Translate spreadsheet cell ranges to rows and columns.</w:t>
      </w:r>
    </w:p>
    <w:bookmarkEnd w:id="38"/>
    <w:bookmarkStart w:id="39" w:name="ref-R-ggbeeswarm"/>
    <w:p>
      <w:pPr>
        <w:pStyle w:val="BodyText"/>
      </w:pPr>
      <w:r>
        <w:t xml:space="preserve">Clarke, E., and Sherrill-Mix, S. (2017). Ggbeeswarm: Categorical scatter (violin point) plots.</w:t>
      </w:r>
    </w:p>
    <w:bookmarkEnd w:id="39"/>
    <w:bookmarkStart w:id="40" w:name="ref-R-viridis"/>
    <w:p>
      <w:pPr>
        <w:pStyle w:val="BodyText"/>
      </w:pPr>
      <w:r>
        <w:t xml:space="preserve">Garnier, S. (2018). Viridis: Default color maps from ’matplotlib’.</w:t>
      </w:r>
    </w:p>
    <w:bookmarkEnd w:id="40"/>
    <w:bookmarkStart w:id="41" w:name="ref-lubridate2011"/>
    <w:p>
      <w:pPr>
        <w:pStyle w:val="BodyText"/>
      </w:pPr>
      <w:r>
        <w:t xml:space="preserve">Grolemund, G., and Wickham, H. (2011). Dates and times made easy with</w:t>
      </w:r>
      <w:r>
        <w:t xml:space="preserve"> </w:t>
      </w:r>
      <w:r>
        <w:t xml:space="preserve">lubridate</w:t>
      </w:r>
      <w:r>
        <w:t xml:space="preserve">. Journal of Statistical Software</w:t>
      </w:r>
      <w:r>
        <w:t xml:space="preserve"> </w:t>
      </w:r>
      <w:r>
        <w:rPr>
          <w:iCs/>
          <w:i/>
        </w:rPr>
        <w:t xml:space="preserve">40</w:t>
      </w:r>
      <w:r>
        <w:t xml:space="preserve">, 1–25.</w:t>
      </w:r>
    </w:p>
    <w:bookmarkEnd w:id="41"/>
    <w:bookmarkStart w:id="42" w:name="ref-pbkrtest2014"/>
    <w:p>
      <w:pPr>
        <w:pStyle w:val="BodyText"/>
      </w:pPr>
      <w:r>
        <w:t xml:space="preserve">Halekoh, U., and Højsgaard, S. (2014). A kenward-roger approximation and parametric bootstrap methods for tests in linear mixed models – the</w:t>
      </w:r>
      <w:r>
        <w:t xml:space="preserve"> </w:t>
      </w:r>
      <w:r>
        <w:t xml:space="preserve">R</w:t>
      </w:r>
      <w:r>
        <w:t xml:space="preserve"> </w:t>
      </w:r>
      <w:r>
        <w:t xml:space="preserve">package</w:t>
      </w:r>
      <w:r>
        <w:t xml:space="preserve"> </w:t>
      </w:r>
      <w:r>
        <w:t xml:space="preserve">pbkrtest</w:t>
      </w:r>
      <w:r>
        <w:t xml:space="preserve">. Journal of Statistical Software</w:t>
      </w:r>
      <w:r>
        <w:t xml:space="preserve"> </w:t>
      </w:r>
      <w:r>
        <w:rPr>
          <w:iCs/>
          <w:i/>
        </w:rPr>
        <w:t xml:space="preserve">59</w:t>
      </w:r>
      <w:r>
        <w:t xml:space="preserve">, 1–30.</w:t>
      </w:r>
    </w:p>
    <w:bookmarkEnd w:id="42"/>
    <w:bookmarkStart w:id="43" w:name="ref-R-purrr"/>
    <w:p>
      <w:pPr>
        <w:pStyle w:val="BodyText"/>
      </w:pPr>
      <w:r>
        <w:t xml:space="preserve">Henry, L., and Wickham, H. (2020a). Purrr: Functional programming tools.</w:t>
      </w:r>
    </w:p>
    <w:bookmarkEnd w:id="43"/>
    <w:bookmarkStart w:id="44" w:name="ref-R-rlang"/>
    <w:p>
      <w:pPr>
        <w:pStyle w:val="BodyText"/>
      </w:pPr>
      <w:r>
        <w:t xml:space="preserve">Henry, L., and Wickham, H. (2020b). Rlang: Functions for base types and core r and ’tidyverse’ features.</w:t>
      </w:r>
    </w:p>
    <w:bookmarkEnd w:id="44"/>
    <w:bookmarkStart w:id="45" w:name="ref-fgsea"/>
    <w:p>
      <w:pPr>
        <w:pStyle w:val="BodyText"/>
      </w:pPr>
      <w:r>
        <w:t xml:space="preserve">Korotkevich, G., Sukhov, V., and Sergushichev, A. (2019). Fast gene set enrichment analysis. bioRxiv.</w:t>
      </w:r>
    </w:p>
    <w:bookmarkEnd w:id="45"/>
    <w:bookmarkStart w:id="46" w:name="ref-lmerTest2017"/>
    <w:p>
      <w:pPr>
        <w:pStyle w:val="BodyText"/>
      </w:pPr>
      <w:r>
        <w:t xml:space="preserve">Kuznetsova, A., Brockhoff, P.B., and Christensen, R.H.B. (2017).</w:t>
      </w:r>
      <w:r>
        <w:t xml:space="preserve"> </w:t>
      </w:r>
      <w:r>
        <w:t xml:space="preserve">lmerTest</w:t>
      </w:r>
      <w:r>
        <w:t xml:space="preserve"> </w:t>
      </w:r>
      <w:r>
        <w:t xml:space="preserve">package: Tests in linear mixed effects models. Journal of Statistical Software</w:t>
      </w:r>
      <w:r>
        <w:t xml:space="preserve"> </w:t>
      </w:r>
      <w:r>
        <w:rPr>
          <w:iCs/>
          <w:i/>
        </w:rPr>
        <w:t xml:space="preserve">82</w:t>
      </w:r>
      <w:r>
        <w:t xml:space="preserve">, 1–26.</w:t>
      </w:r>
    </w:p>
    <w:bookmarkEnd w:id="46"/>
    <w:bookmarkStart w:id="47" w:name="ref-R-lmerTest"/>
    <w:p>
      <w:pPr>
        <w:pStyle w:val="BodyText"/>
      </w:pPr>
      <w:r>
        <w:t xml:space="preserve">Kuznetsova, A., Bruun Brockhoff, P., and Haubo Bojesen Christensen, R. (2020). lmerTest: Tests in linear mixed effects models.</w:t>
      </w:r>
    </w:p>
    <w:bookmarkEnd w:id="47"/>
    <w:bookmarkStart w:id="48" w:name="ref-R-emmeans"/>
    <w:p>
      <w:pPr>
        <w:pStyle w:val="BodyText"/>
      </w:pPr>
      <w:r>
        <w:t xml:space="preserve">Lenth, R. (2020). Emmeans: Estimated marginal means, aka least-squares means.</w:t>
      </w:r>
    </w:p>
    <w:bookmarkEnd w:id="48"/>
    <w:bookmarkStart w:id="49" w:name="ref-R-tibble"/>
    <w:p>
      <w:pPr>
        <w:pStyle w:val="BodyText"/>
      </w:pPr>
      <w:r>
        <w:t xml:space="preserve">Müller, K., and Wickham, H. (2020). Tibble: Simple data frames.</w:t>
      </w:r>
    </w:p>
    <w:bookmarkEnd w:id="49"/>
    <w:bookmarkStart w:id="50" w:name="ref-R-RColorBrewer"/>
    <w:p>
      <w:pPr>
        <w:pStyle w:val="BodyText"/>
      </w:pPr>
      <w:r>
        <w:t xml:space="preserve">Neuwirth, E. (2014). RColorBrewer: ColorBrewer palettes.</w:t>
      </w:r>
    </w:p>
    <w:bookmarkEnd w:id="50"/>
    <w:bookmarkStart w:id="51" w:name="ref-R-mzrtools"/>
    <w:p>
      <w:pPr>
        <w:pStyle w:val="BodyText"/>
      </w:pPr>
      <w:r>
        <w:t xml:space="preserve">Oldham, W. (2020a). Mzrtools: Make molecular formulas useful for mass spectrometry.</w:t>
      </w:r>
    </w:p>
    <w:bookmarkEnd w:id="51"/>
    <w:bookmarkStart w:id="52" w:name="ref-R-wmo"/>
    <w:p>
      <w:pPr>
        <w:pStyle w:val="BodyText"/>
      </w:pPr>
      <w:r>
        <w:t xml:space="preserve">Oldham, W. (2020b). Wmo: Personal utility functions.</w:t>
      </w:r>
    </w:p>
    <w:bookmarkEnd w:id="52"/>
    <w:bookmarkStart w:id="53" w:name="ref-R-magick"/>
    <w:p>
      <w:pPr>
        <w:pStyle w:val="BodyText"/>
      </w:pPr>
      <w:r>
        <w:t xml:space="preserve">Ooms, J. (2020). Magick: Advanced graphics and image-processing in r.</w:t>
      </w:r>
    </w:p>
    <w:bookmarkEnd w:id="53"/>
    <w:bookmarkStart w:id="54" w:name="ref-R-ggraph"/>
    <w:p>
      <w:pPr>
        <w:pStyle w:val="BodyText"/>
      </w:pPr>
      <w:r>
        <w:t xml:space="preserve">Pedersen, T.L. (2020a). Ggraph: An implementation of grammar of graphics for graphs and networks.</w:t>
      </w:r>
    </w:p>
    <w:bookmarkEnd w:id="54"/>
    <w:bookmarkStart w:id="55" w:name="ref-R-patchwork"/>
    <w:p>
      <w:pPr>
        <w:pStyle w:val="BodyText"/>
      </w:pPr>
      <w:r>
        <w:t xml:space="preserve">Pedersen, T.L. (2020b). Patchwork: The composer of plots.</w:t>
      </w:r>
    </w:p>
    <w:bookmarkEnd w:id="55"/>
    <w:bookmarkStart w:id="56" w:name="ref-R-tidygraph"/>
    <w:p>
      <w:pPr>
        <w:pStyle w:val="BodyText"/>
      </w:pPr>
      <w:r>
        <w:t xml:space="preserve">Pedersen, T.L. (2020c). Tidygraph: A tidy API for graph manipulation.</w:t>
      </w:r>
    </w:p>
    <w:bookmarkEnd w:id="56"/>
    <w:bookmarkStart w:id="57" w:name="ref-TFEA.ChIP"/>
    <w:p>
      <w:pPr>
        <w:pStyle w:val="BodyText"/>
      </w:pPr>
      <w:r>
        <w:t xml:space="preserve">Puente-Santamaria, L., Wasserman, W., and del Peso, L. (2019). TFEA.ChIP: A tool kit for transcription factor binding site enrichment analysis capitalizing on ChIP-seq datasets. Bioinformatics.</w:t>
      </w:r>
    </w:p>
    <w:bookmarkEnd w:id="57"/>
    <w:bookmarkStart w:id="58" w:name="ref-R-base"/>
    <w:p>
      <w:pPr>
        <w:pStyle w:val="BodyText"/>
      </w:pPr>
      <w:r>
        <w:t xml:space="preserve">R Core Team (2020). R: A language and environment for statistical computing (Vienna, Austria: R Foundation for Statistical Computing).</w:t>
      </w:r>
    </w:p>
    <w:bookmarkEnd w:id="58"/>
    <w:bookmarkStart w:id="59" w:name="ref-R-MASS"/>
    <w:p>
      <w:pPr>
        <w:pStyle w:val="BodyText"/>
      </w:pPr>
      <w:r>
        <w:t xml:space="preserve">Ripley, B. (2020). MASS: Support functions and datasets for venables and ripley’s MASS.</w:t>
      </w:r>
    </w:p>
    <w:bookmarkEnd w:id="59"/>
    <w:bookmarkStart w:id="60" w:name="ref-limma"/>
    <w:p>
      <w:pPr>
        <w:pStyle w:val="BodyText"/>
      </w:pPr>
      <w:r>
        <w:t xml:space="preserve">Ritchie, M.E., Phipson, B., Wu, D., Hu, Y., Law, C.W., Shi, W., and Smyth, G.K. (2015).</w:t>
      </w:r>
      <w:r>
        <w:t xml:space="preserve"> </w:t>
      </w:r>
      <w:r>
        <w:t xml:space="preserve">limma</w:t>
      </w:r>
      <w:r>
        <w:t xml:space="preserve"> </w:t>
      </w:r>
      <w:r>
        <w:t xml:space="preserve">powers differential expression analyses for</w:t>
      </w:r>
      <w:r>
        <w:t xml:space="preserve"> </w:t>
      </w:r>
      <w:r>
        <w:t xml:space="preserve">RNA</w:t>
      </w:r>
      <w:r>
        <w:t xml:space="preserve">-sequencing and microarray studies. Nucleic Acids Research</w:t>
      </w:r>
      <w:r>
        <w:t xml:space="preserve"> </w:t>
      </w:r>
      <w:r>
        <w:rPr>
          <w:iCs/>
          <w:i/>
        </w:rPr>
        <w:t xml:space="preserve">43</w:t>
      </w:r>
      <w:r>
        <w:t xml:space="preserve">, e47.</w:t>
      </w:r>
    </w:p>
    <w:bookmarkEnd w:id="60"/>
    <w:bookmarkStart w:id="61" w:name="ref-R-broom"/>
    <w:p>
      <w:pPr>
        <w:pStyle w:val="BodyText"/>
      </w:pPr>
      <w:r>
        <w:t xml:space="preserve">Robinson, D., and Hayes, A. (2020). Broom: Convert statistical analysis objects into tidy tibbles.</w:t>
      </w:r>
    </w:p>
    <w:bookmarkEnd w:id="61"/>
    <w:bookmarkStart w:id="62" w:name="ref-multiGSEA"/>
    <w:p>
      <w:pPr>
        <w:pStyle w:val="BodyText"/>
      </w:pPr>
      <w:r>
        <w:t xml:space="preserve">Sebastian, C., and Hackermüller, J. (2020).</w:t>
      </w:r>
      <w:r>
        <w:t xml:space="preserve"> </w:t>
      </w:r>
      <w:r>
        <w:t xml:space="preserve">multiGSEA</w:t>
      </w:r>
      <w:r>
        <w:t xml:space="preserve">:</w:t>
      </w:r>
      <w:r>
        <w:t xml:space="preserve"> </w:t>
      </w:r>
      <w:r>
        <w:t xml:space="preserve">A GSEA</w:t>
      </w:r>
      <w:r>
        <w:t xml:space="preserve">-based pathway enrichment analysis for multi-omics data. BMC Bioinformatics</w:t>
      </w:r>
      <w:r>
        <w:t xml:space="preserve"> </w:t>
      </w:r>
      <w:r>
        <w:rPr>
          <w:iCs/>
          <w:i/>
        </w:rPr>
        <w:t xml:space="preserve">21</w:t>
      </w:r>
      <w:r>
        <w:t xml:space="preserve">.</w:t>
      </w:r>
    </w:p>
    <w:bookmarkEnd w:id="62"/>
    <w:bookmarkStart w:id="63" w:name="ref-R-lubridate"/>
    <w:p>
      <w:pPr>
        <w:pStyle w:val="BodyText"/>
      </w:pPr>
      <w:r>
        <w:t xml:space="preserve">Spinu, V., Grolemund, G., and Wickham, H. (2020). Lubridate: Make dealing with dates a little easier.</w:t>
      </w:r>
    </w:p>
    <w:bookmarkEnd w:id="63"/>
    <w:bookmarkStart w:id="64" w:name="ref-R-renv"/>
    <w:p>
      <w:pPr>
        <w:pStyle w:val="BodyText"/>
      </w:pPr>
      <w:r>
        <w:t xml:space="preserve">Ushey, K. (2020). Renv: Project environments.</w:t>
      </w:r>
    </w:p>
    <w:bookmarkEnd w:id="64"/>
    <w:bookmarkStart w:id="65" w:name="ref-MASS2002"/>
    <w:p>
      <w:pPr>
        <w:pStyle w:val="BodyText"/>
      </w:pPr>
      <w:r>
        <w:t xml:space="preserve">Venables, W.N., and Ripley, B.D. (2002). Modern applied statistics with s (New York: Springer).</w:t>
      </w:r>
    </w:p>
    <w:bookmarkEnd w:id="65"/>
    <w:bookmarkStart w:id="66" w:name="ref-ggplot22016"/>
    <w:p>
      <w:pPr>
        <w:pStyle w:val="BodyText"/>
      </w:pPr>
      <w:r>
        <w:t xml:space="preserve">Wickham, H. (2016). ggplot2: Elegant graphics for data analysis (Springer-Verlag New York).</w:t>
      </w:r>
    </w:p>
    <w:bookmarkEnd w:id="66"/>
    <w:bookmarkStart w:id="67" w:name="ref-R-stringr"/>
    <w:p>
      <w:pPr>
        <w:pStyle w:val="BodyText"/>
      </w:pPr>
      <w:r>
        <w:t xml:space="preserve">Wickham, H. (2019). Stringr: Simple, consistent wrappers for common string operations.</w:t>
      </w:r>
    </w:p>
    <w:bookmarkEnd w:id="67"/>
    <w:bookmarkStart w:id="68" w:name="ref-R-forcats"/>
    <w:p>
      <w:pPr>
        <w:pStyle w:val="BodyText"/>
      </w:pPr>
      <w:r>
        <w:t xml:space="preserve">Wickham, H. (2020a). Forcats: Tools for working with categorical variables (factors).</w:t>
      </w:r>
    </w:p>
    <w:bookmarkEnd w:id="68"/>
    <w:bookmarkStart w:id="69" w:name="ref-R-tidyverse"/>
    <w:p>
      <w:pPr>
        <w:pStyle w:val="BodyText"/>
      </w:pPr>
      <w:r>
        <w:t xml:space="preserve">Wickham, H. (2020b). Tidyverse: Easily install and load the ’tidyverse’.</w:t>
      </w:r>
    </w:p>
    <w:bookmarkEnd w:id="69"/>
    <w:bookmarkStart w:id="70" w:name="ref-R-readxl"/>
    <w:p>
      <w:pPr>
        <w:pStyle w:val="BodyText"/>
      </w:pPr>
      <w:r>
        <w:t xml:space="preserve">Wickham, H., and Bryan, J. (2019). Readxl: Read excel files.</w:t>
      </w:r>
    </w:p>
    <w:bookmarkEnd w:id="70"/>
    <w:bookmarkStart w:id="71" w:name="ref-R-usethis"/>
    <w:p>
      <w:pPr>
        <w:pStyle w:val="BodyText"/>
      </w:pPr>
      <w:r>
        <w:t xml:space="preserve">Wickham, H., and Bryan, J. (2020). Usethis: Automate package and project setup.</w:t>
      </w:r>
    </w:p>
    <w:bookmarkEnd w:id="71"/>
    <w:bookmarkStart w:id="72" w:name="ref-R-tidyr"/>
    <w:p>
      <w:pPr>
        <w:pStyle w:val="BodyText"/>
      </w:pPr>
      <w:r>
        <w:t xml:space="preserve">Wickham, H., and Henry, L. (2020). Tidyr: Tidy messy data.</w:t>
      </w:r>
    </w:p>
    <w:bookmarkEnd w:id="72"/>
    <w:bookmarkStart w:id="73" w:name="ref-R-readr"/>
    <w:p>
      <w:pPr>
        <w:pStyle w:val="BodyText"/>
      </w:pPr>
      <w:r>
        <w:t xml:space="preserve">Wickham, H., Hester, J., and Francois, R. (2018). Readr: Read rectangular text data.</w:t>
      </w:r>
    </w:p>
    <w:bookmarkEnd w:id="73"/>
    <w:bookmarkStart w:id="74" w:name="ref-tidyverse2019"/>
    <w:p>
      <w:pPr>
        <w:pStyle w:val="BodyText"/>
      </w:pPr>
      <w:r>
        <w:t xml:space="preserve">Wickham, H., Averick, M., Bryan, J., Chang, W., McGowan, L.D., François, R., Grolemund, G., Hayes, A., Henry, L., Hester, J., et al. (2019). Welcome to the</w:t>
      </w:r>
      <w:r>
        <w:t xml:space="preserve"> </w:t>
      </w:r>
      <w:r>
        <w:t xml:space="preserve">tidyverse</w:t>
      </w:r>
      <w:r>
        <w:t xml:space="preserve">. Journal of Open Source Software</w:t>
      </w:r>
      <w:r>
        <w:t xml:space="preserve"> </w:t>
      </w:r>
      <w:r>
        <w:rPr>
          <w:iCs/>
          <w:i/>
        </w:rPr>
        <w:t xml:space="preserve">4</w:t>
      </w:r>
      <w:r>
        <w:t xml:space="preserve">, 1686.</w:t>
      </w:r>
    </w:p>
    <w:bookmarkEnd w:id="74"/>
    <w:bookmarkStart w:id="75" w:name="ref-R-devtools"/>
    <w:p>
      <w:pPr>
        <w:pStyle w:val="BodyText"/>
      </w:pPr>
      <w:r>
        <w:t xml:space="preserve">Wickham, H., Hester, J., and Chang, W. (2020a). Devtools: Tools to make developing r packages easier.</w:t>
      </w:r>
    </w:p>
    <w:bookmarkEnd w:id="75"/>
    <w:bookmarkStart w:id="76" w:name="ref-R-dplyr"/>
    <w:p>
      <w:pPr>
        <w:pStyle w:val="BodyText"/>
      </w:pPr>
      <w:r>
        <w:t xml:space="preserve">Wickham, H., François, R., Henry, L., and Müller, K. (2020b). Dplyr: A grammar of data manipulation.</w:t>
      </w:r>
    </w:p>
    <w:bookmarkEnd w:id="76"/>
    <w:bookmarkStart w:id="77" w:name="ref-R-ggplot2"/>
    <w:p>
      <w:pPr>
        <w:pStyle w:val="BodyText"/>
      </w:pPr>
      <w:r>
        <w:t xml:space="preserve">Wickham, H., Chang, W., Henry, L., Pedersen, T.L., Takahashi, K., Wilke, C., Woo, K., Yutani, H., and Dunnington, D. (2020c). ggplot2: Create elegant data visualisations using the grammar of graphics.</w:t>
      </w:r>
    </w:p>
    <w:bookmarkEnd w:id="77"/>
    <w:bookmarkStart w:id="78" w:name="ref-R-roxygen2"/>
    <w:p>
      <w:pPr>
        <w:pStyle w:val="BodyText"/>
      </w:pPr>
      <w:r>
        <w:t xml:space="preserve">Wickham, H., Danenberg, P., Csárdi, G., and Eugster, M. (2020d). roxygen2: In-line documentation for r.</w:t>
      </w:r>
    </w:p>
    <w:bookmarkEnd w:id="78"/>
    <w:bookmarkStart w:id="79" w:name="ref-R-cowplot"/>
    <w:p>
      <w:pPr>
        <w:pStyle w:val="BodyText"/>
      </w:pPr>
      <w:r>
        <w:t xml:space="preserve">Wilke, C.O. (2019). Cowplot: Streamlined plot theme and plot annotations for ’ggplot2’.</w:t>
      </w:r>
    </w:p>
    <w:bookmarkEnd w:id="79"/>
    <w:bookmarkStart w:id="80" w:name="ref-knitr2015"/>
    <w:p>
      <w:pPr>
        <w:pStyle w:val="BodyText"/>
      </w:pPr>
      <w:r>
        <w:t xml:space="preserve">Xie, Y. (2015). Dynamic documents with</w:t>
      </w:r>
      <w:r>
        <w:t xml:space="preserve"> </w:t>
      </w:r>
      <w:r>
        <w:t xml:space="preserve">R</w:t>
      </w:r>
      <w:r>
        <w:t xml:space="preserve"> </w:t>
      </w:r>
      <w:r>
        <w:t xml:space="preserve">and knitr (Boca Raton, Florida: Chapman; Hall/CRC).</w:t>
      </w:r>
    </w:p>
    <w:bookmarkEnd w:id="80"/>
    <w:bookmarkStart w:id="81" w:name="ref-bookdown2016"/>
    <w:p>
      <w:pPr>
        <w:pStyle w:val="BodyText"/>
      </w:pPr>
      <w:r>
        <w:t xml:space="preserve">Xie, Y. (2016). Bookdown: Authoring books and technical documents with</w:t>
      </w:r>
      <w:r>
        <w:t xml:space="preserve"> </w:t>
      </w:r>
      <w:r>
        <w:t xml:space="preserve">R</w:t>
      </w:r>
      <w:r>
        <w:t xml:space="preserve"> </w:t>
      </w:r>
      <w:r>
        <w:t xml:space="preserve">markdown (Boca Raton, Florida: Chapman; Hall/CRC).</w:t>
      </w:r>
    </w:p>
    <w:bookmarkEnd w:id="81"/>
    <w:bookmarkStart w:id="82" w:name="ref-R-bookdown"/>
    <w:p>
      <w:pPr>
        <w:pStyle w:val="BodyText"/>
      </w:pPr>
      <w:r>
        <w:t xml:space="preserve">Xie, Y. (2020a). Bookdown: Authoring books and technical documents with r markdown.</w:t>
      </w:r>
    </w:p>
    <w:bookmarkEnd w:id="82"/>
    <w:bookmarkStart w:id="83" w:name="ref-R-knitr"/>
    <w:p>
      <w:pPr>
        <w:pStyle w:val="BodyText"/>
      </w:pPr>
      <w:r>
        <w:t xml:space="preserve">Xie, Y. (2020b). Knitr: A general-purpose package for dynamic report generation in r.</w:t>
      </w:r>
    </w:p>
    <w:bookmarkEnd w:id="83"/>
    <w:bookmarkStart w:id="84" w:name="ref-R-tinytex"/>
    <w:p>
      <w:pPr>
        <w:pStyle w:val="BodyText"/>
      </w:pPr>
      <w:r>
        <w:t xml:space="preserve">Xie, Y. (2020c). Tinytex: Helper functions to install and maintain TeX live, and compile LaTeX documents.</w:t>
      </w:r>
    </w:p>
    <w:bookmarkEnd w:id="84"/>
    <w:bookmarkStart w:id="85" w:name="ref-rmarkdown2018"/>
    <w:p>
      <w:pPr>
        <w:pStyle w:val="BodyText"/>
      </w:pPr>
      <w:r>
        <w:t xml:space="preserve">Xie, Y., Allaire, J.J., and Grolemund, G. (2018). R markdown: The definitive guide (Boca Raton, Florida: Chapman; Hall/CRC).</w:t>
      </w:r>
    </w:p>
    <w:bookmarkEnd w:id="85"/>
    <w:bookmarkStart w:id="86" w:name="ref-R-kableExtra"/>
    <w:p>
      <w:pPr>
        <w:pStyle w:val="BodyText"/>
      </w:pPr>
      <w:r>
        <w:t xml:space="preserve">Zhu, H. (2019). kableExtra: Construct complex table with ’kable’ and pipe syntax.</w:t>
      </w:r>
    </w:p>
    <w:bookmarkEnd w:id="86"/>
    <w:bookmarkEnd w:id="87"/>
    <w:bookmarkEnd w:id="88"/>
    <w:sectPr w:rsidR="00DE058C" w:rsidSect="000650CF">
      <w:pgSz w:h="15840" w:w="12240"/>
      <w:pgMar w:bottom="1440" w:footer="720" w:gutter="0" w:header="720" w:left="1080" w:right="108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085ACD0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52EA5898"/>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5224986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E03638E0"/>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5FEA093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2C03B86"/>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F37207DC"/>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EB0274A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92C40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BC4C6C0"/>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C1BCFE1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20" w:val="bestFit"/>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E10290"/>
    <w:pPr>
      <w:spacing w:line="360" w:lineRule="auto"/>
    </w:pPr>
    <w:rPr>
      <w:rFonts w:asciiTheme="majorHAnsi" w:hAnsiTheme="majorHAnsi"/>
      <w:sz w:val="22"/>
    </w:rPr>
  </w:style>
  <w:style w:styleId="Heading1" w:type="paragraph">
    <w:name w:val="heading 1"/>
    <w:basedOn w:val="Normal"/>
    <w:next w:val="BodyText"/>
    <w:uiPriority w:val="9"/>
    <w:qFormat/>
    <w:rsid w:val="00515FCD"/>
    <w:pPr>
      <w:keepNext/>
      <w:keepLines/>
      <w:spacing w:after="0" w:before="480"/>
      <w:outlineLvl w:val="0"/>
    </w:pPr>
    <w:rPr>
      <w:rFonts w:cstheme="majorBidi" w:eastAsiaTheme="majorEastAsia"/>
      <w:b/>
      <w:bCs/>
      <w:sz w:val="32"/>
      <w:szCs w:val="32"/>
    </w:rPr>
  </w:style>
  <w:style w:styleId="Heading2" w:type="paragraph">
    <w:name w:val="heading 2"/>
    <w:basedOn w:val="Normal"/>
    <w:next w:val="BodyText"/>
    <w:uiPriority w:val="9"/>
    <w:unhideWhenUsed/>
    <w:qFormat/>
    <w:rsid w:val="00515FCD"/>
    <w:pPr>
      <w:keepNext/>
      <w:keepLines/>
      <w:spacing w:after="0" w:before="200"/>
      <w:outlineLvl w:val="1"/>
    </w:pPr>
    <w:rPr>
      <w:rFonts w:cstheme="majorBidi" w:eastAsiaTheme="majorEastAsia"/>
      <w:b/>
      <w:bCs/>
      <w:sz w:val="28"/>
      <w:szCs w:val="28"/>
    </w:rPr>
  </w:style>
  <w:style w:styleId="Heading3" w:type="paragraph">
    <w:name w:val="heading 3"/>
    <w:basedOn w:val="Normal"/>
    <w:next w:val="BodyText"/>
    <w:uiPriority w:val="9"/>
    <w:unhideWhenUsed/>
    <w:qFormat/>
    <w:rsid w:val="00515FCD"/>
    <w:pPr>
      <w:keepNext/>
      <w:keepLines/>
      <w:spacing w:after="0" w:before="200"/>
      <w:outlineLvl w:val="2"/>
    </w:pPr>
    <w:rPr>
      <w:rFonts w:cstheme="majorBidi" w:eastAsiaTheme="majorEastAsia"/>
      <w:b/>
      <w:bCs/>
      <w:szCs w:val="22"/>
    </w:rPr>
  </w:style>
  <w:style w:styleId="Heading4" w:type="paragraph">
    <w:name w:val="heading 4"/>
    <w:basedOn w:val="Normal"/>
    <w:next w:val="BodyText"/>
    <w:uiPriority w:val="9"/>
    <w:unhideWhenUsed/>
    <w:qFormat/>
    <w:rsid w:val="00515FCD"/>
    <w:pPr>
      <w:keepNext/>
      <w:keepLines/>
      <w:spacing w:after="0" w:before="200"/>
      <w:outlineLvl w:val="3"/>
    </w:pPr>
    <w:rPr>
      <w:rFonts w:cstheme="majorBidi" w:eastAsiaTheme="majorEastAsia"/>
      <w:bCs/>
      <w:i/>
      <w:szCs w:val="22"/>
    </w:rPr>
  </w:style>
  <w:style w:styleId="Heading5" w:type="paragraph">
    <w:name w:val="heading 5"/>
    <w:basedOn w:val="Normal"/>
    <w:next w:val="BodyText"/>
    <w:uiPriority w:val="9"/>
    <w:unhideWhenUsed/>
    <w:qFormat/>
    <w:rsid w:val="00515FCD"/>
    <w:pPr>
      <w:keepNext/>
      <w:keepLines/>
      <w:spacing w:after="0" w:before="200"/>
      <w:outlineLvl w:val="4"/>
    </w:pPr>
    <w:rPr>
      <w:rFonts w:cstheme="majorBidi" w:eastAsiaTheme="majorEastAsia"/>
      <w:iCs/>
      <w:szCs w:val="22"/>
    </w:rPr>
  </w:style>
  <w:style w:styleId="Heading6" w:type="paragraph">
    <w:name w:val="heading 6"/>
    <w:basedOn w:val="Normal"/>
    <w:next w:val="BodyText"/>
    <w:uiPriority w:val="9"/>
    <w:unhideWhenUsed/>
    <w:qFormat/>
    <w:rsid w:val="00515FCD"/>
    <w:pPr>
      <w:keepNext/>
      <w:keepLines/>
      <w:spacing w:after="0" w:before="200"/>
      <w:outlineLvl w:val="5"/>
    </w:pPr>
    <w:rPr>
      <w:rFonts w:cstheme="majorBidi" w:eastAsiaTheme="majorEastAsia"/>
      <w:szCs w:val="22"/>
    </w:rPr>
  </w:style>
  <w:style w:styleId="Heading7" w:type="paragraph">
    <w:name w:val="heading 7"/>
    <w:basedOn w:val="Normal"/>
    <w:next w:val="BodyText"/>
    <w:uiPriority w:val="9"/>
    <w:unhideWhenUsed/>
    <w:qFormat/>
    <w:pPr>
      <w:keepNext/>
      <w:keepLines/>
      <w:spacing w:after="0" w:before="200"/>
      <w:outlineLvl w:val="6"/>
    </w:pPr>
    <w:rPr>
      <w:rFonts w:cstheme="majorBidi" w:eastAsiaTheme="majorEastAsia"/>
      <w:color w:themeColor="accent1" w:val="4F81BD"/>
      <w:sz w:val="24"/>
    </w:rPr>
  </w:style>
  <w:style w:styleId="Heading8" w:type="paragraph">
    <w:name w:val="heading 8"/>
    <w:basedOn w:val="Normal"/>
    <w:next w:val="BodyText"/>
    <w:uiPriority w:val="9"/>
    <w:unhideWhenUsed/>
    <w:qFormat/>
    <w:pPr>
      <w:keepNext/>
      <w:keepLines/>
      <w:spacing w:after="0" w:before="200"/>
      <w:outlineLvl w:val="7"/>
    </w:pPr>
    <w:rPr>
      <w:rFonts w:cstheme="majorBidi" w:eastAsiaTheme="majorEastAsia"/>
      <w:color w:themeColor="accent1" w:val="4F81BD"/>
      <w:sz w:val="24"/>
    </w:rPr>
  </w:style>
  <w:style w:styleId="Heading9" w:type="paragraph">
    <w:name w:val="heading 9"/>
    <w:basedOn w:val="Normal"/>
    <w:next w:val="BodyText"/>
    <w:uiPriority w:val="9"/>
    <w:unhideWhenUsed/>
    <w:qFormat/>
    <w:pPr>
      <w:keepNext/>
      <w:keepLines/>
      <w:spacing w:after="0" w:before="200"/>
      <w:outlineLvl w:val="8"/>
    </w:pPr>
    <w:rPr>
      <w:rFonts w:cstheme="majorBidi" w:eastAsiaTheme="majorEastAsia"/>
      <w:color w:themeColor="accent1" w:val="4F81BD"/>
      <w:sz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515FCD"/>
    <w:pPr>
      <w:keepNext/>
      <w:keepLines/>
      <w:spacing w:after="240" w:before="480"/>
      <w:jc w:val="center"/>
    </w:pPr>
    <w:rPr>
      <w:rFonts w:cstheme="majorBidi" w:eastAsiaTheme="majorEastAsia"/>
      <w:b/>
      <w:bCs/>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681772"/>
    <w:pPr>
      <w:keepNext/>
      <w:keepLines/>
      <w:jc w:val="center"/>
    </w:pPr>
    <w:rPr>
      <w:rFonts w:asciiTheme="majorHAnsi" w:hAnsiTheme="majorHAnsi"/>
      <w:sz w:val="22"/>
    </w:rPr>
  </w:style>
  <w:style w:styleId="Date" w:type="paragraph">
    <w:name w:val="Date"/>
    <w:next w:val="BodyText"/>
    <w:qFormat/>
    <w:rsid w:val="00681772"/>
    <w:pPr>
      <w:keepNext/>
      <w:keepLines/>
      <w:jc w:val="center"/>
    </w:pPr>
    <w:rPr>
      <w:rFonts w:asciiTheme="majorHAnsi" w:hAnsiTheme="majorHAnsi"/>
      <w:sz w:val="22"/>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300B28"/>
    <w:pPr>
      <w:spacing w:after="120"/>
    </w:pPr>
    <w:rPr>
      <w:b/>
    </w:rPr>
  </w:style>
  <w:style w:customStyle="1" w:styleId="TableCaption" w:type="paragraph">
    <w:name w:val="Table Caption"/>
    <w:basedOn w:val="Caption"/>
    <w:pPr>
      <w:keepNext/>
    </w:pPr>
  </w:style>
  <w:style w:customStyle="1" w:styleId="ImageCaption" w:type="paragraph">
    <w:name w:val="Image Caption"/>
    <w:basedOn w:val="Caption"/>
    <w:rsid w:val="0014005A"/>
    <w:pPr>
      <w:spacing w:line="240" w:lineRule="auto"/>
    </w:pPr>
    <w:rPr>
      <w:b w:val="0"/>
      <w:sz w:val="18"/>
    </w:rPr>
  </w:style>
  <w:style w:customStyle="1" w:styleId="Figure" w:type="paragraph">
    <w:name w:val="Figure"/>
    <w:basedOn w:val="Normal"/>
    <w:rsid w:val="00663598"/>
    <w:pPr>
      <w:jc w:val="center"/>
    </w:pPr>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300B28"/>
    <w:rPr>
      <w:rFonts w:asciiTheme="majorHAnsi" w:hAnsiTheme="majorHAnsi"/>
      <w:b/>
      <w:sz w:val="22"/>
    </w:rPr>
  </w:style>
  <w:style w:customStyle="1" w:styleId="VerbatimChar" w:type="character">
    <w:name w:val="Verbatim Char"/>
    <w:basedOn w:val="CaptionChar"/>
    <w:link w:val="SourceCode"/>
    <w:rPr>
      <w:rFonts w:ascii="Consolas" w:hAnsi="Consolas"/>
      <w:b/>
      <w:sz w:val="22"/>
    </w:rPr>
  </w:style>
  <w:style w:customStyle="1" w:styleId="SectionNumber" w:type="character">
    <w:name w:val="Section Number"/>
    <w:basedOn w:val="CaptionChar"/>
    <w:rPr>
      <w:rFonts w:asciiTheme="majorHAnsi" w:hAnsiTheme="majorHAnsi"/>
      <w:b/>
      <w:sz w:val="22"/>
    </w:rPr>
  </w:style>
  <w:style w:styleId="FootnoteReference" w:type="character">
    <w:name w:val="footnote reference"/>
    <w:basedOn w:val="CaptionChar"/>
    <w:rPr>
      <w:rFonts w:asciiTheme="majorHAnsi" w:hAnsiTheme="majorHAnsi"/>
      <w:b/>
      <w:sz w:val="22"/>
      <w:vertAlign w:val="superscript"/>
    </w:rPr>
  </w:style>
  <w:style w:styleId="Hyperlink" w:type="character">
    <w:name w:val="Hyperlink"/>
    <w:basedOn w:val="CaptionChar"/>
    <w:rsid w:val="003F6A90"/>
    <w:rPr>
      <w:rFonts w:asciiTheme="majorHAnsi" w:hAnsiTheme="majorHAnsi"/>
      <w:b/>
      <w:color w:themeColor="accent2" w:themeShade="BF" w:val="943634"/>
      <w:sz w:val="22"/>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val="0"/>
      <w:color w:val="204A87"/>
      <w:sz w:val="22"/>
      <w:shd w:color="auto" w:fill="F8F8F8" w:val="clear"/>
    </w:rPr>
  </w:style>
  <w:style w:customStyle="1" w:styleId="DataTypeTok" w:type="character">
    <w:name w:val="DataTypeTok"/>
    <w:basedOn w:val="VerbatimChar"/>
    <w:rPr>
      <w:rFonts w:ascii="Consolas" w:hAnsi="Consolas"/>
      <w:b/>
      <w:color w:val="204A87"/>
      <w:sz w:val="22"/>
      <w:shd w:color="auto" w:fill="F8F8F8" w:val="clear"/>
    </w:rPr>
  </w:style>
  <w:style w:customStyle="1" w:styleId="DecValTok" w:type="character">
    <w:name w:val="DecValTok"/>
    <w:basedOn w:val="VerbatimChar"/>
    <w:rPr>
      <w:rFonts w:ascii="Consolas" w:hAnsi="Consolas"/>
      <w:b/>
      <w:color w:val="0000CF"/>
      <w:sz w:val="22"/>
      <w:shd w:color="auto" w:fill="F8F8F8" w:val="clear"/>
    </w:rPr>
  </w:style>
  <w:style w:customStyle="1" w:styleId="BaseNTok" w:type="character">
    <w:name w:val="BaseNTok"/>
    <w:basedOn w:val="VerbatimChar"/>
    <w:rPr>
      <w:rFonts w:ascii="Consolas" w:hAnsi="Consolas"/>
      <w:b/>
      <w:color w:val="0000CF"/>
      <w:sz w:val="22"/>
      <w:shd w:color="auto" w:fill="F8F8F8" w:val="clear"/>
    </w:rPr>
  </w:style>
  <w:style w:customStyle="1" w:styleId="FloatTok" w:type="character">
    <w:name w:val="FloatTok"/>
    <w:basedOn w:val="VerbatimChar"/>
    <w:rPr>
      <w:rFonts w:ascii="Consolas" w:hAnsi="Consolas"/>
      <w:b/>
      <w:color w:val="0000CF"/>
      <w:sz w:val="22"/>
      <w:shd w:color="auto" w:fill="F8F8F8" w:val="clear"/>
    </w:rPr>
  </w:style>
  <w:style w:customStyle="1" w:styleId="ConstantTok" w:type="character">
    <w:name w:val="ConstantTok"/>
    <w:basedOn w:val="VerbatimChar"/>
    <w:rPr>
      <w:rFonts w:ascii="Consolas" w:hAnsi="Consolas"/>
      <w:b/>
      <w:color w:val="000000"/>
      <w:sz w:val="22"/>
      <w:shd w:color="auto" w:fill="F8F8F8" w:val="clear"/>
    </w:rPr>
  </w:style>
  <w:style w:customStyle="1" w:styleId="CharTok" w:type="character">
    <w:name w:val="CharTok"/>
    <w:basedOn w:val="VerbatimChar"/>
    <w:rPr>
      <w:rFonts w:ascii="Consolas" w:hAnsi="Consolas"/>
      <w:b/>
      <w:color w:val="4E9A06"/>
      <w:sz w:val="22"/>
      <w:shd w:color="auto" w:fill="F8F8F8" w:val="clear"/>
    </w:rPr>
  </w:style>
  <w:style w:customStyle="1" w:styleId="SpecialCharTok" w:type="character">
    <w:name w:val="SpecialCharTok"/>
    <w:basedOn w:val="VerbatimChar"/>
    <w:rPr>
      <w:rFonts w:ascii="Consolas" w:hAnsi="Consolas"/>
      <w:b/>
      <w:color w:val="000000"/>
      <w:sz w:val="22"/>
      <w:shd w:color="auto" w:fill="F8F8F8" w:val="clear"/>
    </w:rPr>
  </w:style>
  <w:style w:customStyle="1" w:styleId="StringTok" w:type="character">
    <w:name w:val="StringTok"/>
    <w:basedOn w:val="VerbatimChar"/>
    <w:rPr>
      <w:rFonts w:ascii="Consolas" w:hAnsi="Consolas"/>
      <w:b/>
      <w:color w:val="4E9A06"/>
      <w:sz w:val="22"/>
      <w:shd w:color="auto" w:fill="F8F8F8" w:val="clear"/>
    </w:rPr>
  </w:style>
  <w:style w:customStyle="1" w:styleId="VerbatimStringTok" w:type="character">
    <w:name w:val="VerbatimStringTok"/>
    <w:basedOn w:val="VerbatimChar"/>
    <w:rPr>
      <w:rFonts w:ascii="Consolas" w:hAnsi="Consolas"/>
      <w:b/>
      <w:color w:val="4E9A06"/>
      <w:sz w:val="22"/>
      <w:shd w:color="auto" w:fill="F8F8F8" w:val="clear"/>
    </w:rPr>
  </w:style>
  <w:style w:customStyle="1" w:styleId="SpecialStringTok" w:type="character">
    <w:name w:val="SpecialStringTok"/>
    <w:basedOn w:val="VerbatimChar"/>
    <w:rPr>
      <w:rFonts w:ascii="Consolas" w:hAnsi="Consolas"/>
      <w:b/>
      <w:color w:val="4E9A06"/>
      <w:sz w:val="22"/>
      <w:shd w:color="auto" w:fill="F8F8F8" w:val="clear"/>
    </w:rPr>
  </w:style>
  <w:style w:customStyle="1" w:styleId="ImportTok" w:type="character">
    <w:name w:val="ImportTok"/>
    <w:basedOn w:val="VerbatimChar"/>
    <w:rPr>
      <w:rFonts w:ascii="Consolas" w:hAnsi="Consolas"/>
      <w:b/>
      <w:sz w:val="22"/>
      <w:shd w:color="auto" w:fill="F8F8F8" w:val="clear"/>
    </w:rPr>
  </w:style>
  <w:style w:customStyle="1" w:styleId="CommentTok" w:type="character">
    <w:name w:val="CommentTok"/>
    <w:basedOn w:val="VerbatimChar"/>
    <w:rPr>
      <w:rFonts w:ascii="Consolas" w:hAnsi="Consolas"/>
      <w:b/>
      <w:i/>
      <w:color w:val="8F5902"/>
      <w:sz w:val="22"/>
      <w:shd w:color="auto" w:fill="F8F8F8" w:val="clear"/>
    </w:rPr>
  </w:style>
  <w:style w:customStyle="1" w:styleId="DocumentationTok" w:type="character">
    <w:name w:val="DocumentationTok"/>
    <w:basedOn w:val="VerbatimChar"/>
    <w:rPr>
      <w:rFonts w:ascii="Consolas" w:hAnsi="Consolas"/>
      <w:b w:val="0"/>
      <w:i/>
      <w:color w:val="8F5902"/>
      <w:sz w:val="22"/>
      <w:shd w:color="auto" w:fill="F8F8F8" w:val="clear"/>
    </w:rPr>
  </w:style>
  <w:style w:customStyle="1" w:styleId="AnnotationTok" w:type="character">
    <w:name w:val="AnnotationTok"/>
    <w:basedOn w:val="VerbatimChar"/>
    <w:rPr>
      <w:rFonts w:ascii="Consolas" w:hAnsi="Consolas"/>
      <w:b w:val="0"/>
      <w:i/>
      <w:color w:val="8F5902"/>
      <w:sz w:val="22"/>
      <w:shd w:color="auto" w:fill="F8F8F8" w:val="clear"/>
    </w:rPr>
  </w:style>
  <w:style w:customStyle="1" w:styleId="CommentVarTok" w:type="character">
    <w:name w:val="CommentVarTok"/>
    <w:basedOn w:val="VerbatimChar"/>
    <w:rPr>
      <w:rFonts w:ascii="Consolas" w:hAnsi="Consolas"/>
      <w:b w:val="0"/>
      <w:i/>
      <w:color w:val="8F5902"/>
      <w:sz w:val="22"/>
      <w:shd w:color="auto" w:fill="F8F8F8" w:val="clear"/>
    </w:rPr>
  </w:style>
  <w:style w:customStyle="1" w:styleId="OtherTok" w:type="character">
    <w:name w:val="OtherTok"/>
    <w:basedOn w:val="VerbatimChar"/>
    <w:rPr>
      <w:rFonts w:ascii="Consolas" w:hAnsi="Consolas"/>
      <w:b/>
      <w:color w:val="8F5902"/>
      <w:sz w:val="22"/>
      <w:shd w:color="auto" w:fill="F8F8F8" w:val="clear"/>
    </w:rPr>
  </w:style>
  <w:style w:customStyle="1" w:styleId="FunctionTok" w:type="character">
    <w:name w:val="FunctionTok"/>
    <w:basedOn w:val="VerbatimChar"/>
    <w:rPr>
      <w:rFonts w:ascii="Consolas" w:hAnsi="Consolas"/>
      <w:b/>
      <w:color w:val="000000"/>
      <w:sz w:val="22"/>
      <w:shd w:color="auto" w:fill="F8F8F8" w:val="clear"/>
    </w:rPr>
  </w:style>
  <w:style w:customStyle="1" w:styleId="VariableTok" w:type="character">
    <w:name w:val="VariableTok"/>
    <w:basedOn w:val="VerbatimChar"/>
    <w:rPr>
      <w:rFonts w:ascii="Consolas" w:hAnsi="Consolas"/>
      <w:b/>
      <w:color w:val="000000"/>
      <w:sz w:val="22"/>
      <w:shd w:color="auto" w:fill="F8F8F8" w:val="clear"/>
    </w:rPr>
  </w:style>
  <w:style w:customStyle="1" w:styleId="ControlFlowTok" w:type="character">
    <w:name w:val="ControlFlowTok"/>
    <w:basedOn w:val="VerbatimChar"/>
    <w:rPr>
      <w:rFonts w:ascii="Consolas" w:hAnsi="Consolas"/>
      <w:b w:val="0"/>
      <w:color w:val="204A87"/>
      <w:sz w:val="22"/>
      <w:shd w:color="auto" w:fill="F8F8F8" w:val="clear"/>
    </w:rPr>
  </w:style>
  <w:style w:customStyle="1" w:styleId="OperatorTok" w:type="character">
    <w:name w:val="OperatorTok"/>
    <w:basedOn w:val="VerbatimChar"/>
    <w:rPr>
      <w:rFonts w:ascii="Consolas" w:hAnsi="Consolas"/>
      <w:b w:val="0"/>
      <w:color w:val="CE5C00"/>
      <w:sz w:val="22"/>
      <w:shd w:color="auto" w:fill="F8F8F8" w:val="clear"/>
    </w:rPr>
  </w:style>
  <w:style w:customStyle="1" w:styleId="BuiltInTok" w:type="character">
    <w:name w:val="BuiltInTok"/>
    <w:basedOn w:val="VerbatimChar"/>
    <w:rPr>
      <w:rFonts w:ascii="Consolas" w:hAnsi="Consolas"/>
      <w:b/>
      <w:sz w:val="22"/>
      <w:shd w:color="auto" w:fill="F8F8F8" w:val="clear"/>
    </w:rPr>
  </w:style>
  <w:style w:customStyle="1" w:styleId="ExtensionTok" w:type="character">
    <w:name w:val="ExtensionTok"/>
    <w:basedOn w:val="VerbatimChar"/>
    <w:rPr>
      <w:rFonts w:ascii="Consolas" w:hAnsi="Consolas"/>
      <w:b/>
      <w:sz w:val="22"/>
      <w:shd w:color="auto" w:fill="F8F8F8" w:val="clear"/>
    </w:rPr>
  </w:style>
  <w:style w:customStyle="1" w:styleId="PreprocessorTok" w:type="character">
    <w:name w:val="PreprocessorTok"/>
    <w:basedOn w:val="VerbatimChar"/>
    <w:rPr>
      <w:rFonts w:ascii="Consolas" w:hAnsi="Consolas"/>
      <w:b/>
      <w:i/>
      <w:color w:val="8F5902"/>
      <w:sz w:val="22"/>
      <w:shd w:color="auto" w:fill="F8F8F8" w:val="clear"/>
    </w:rPr>
  </w:style>
  <w:style w:customStyle="1" w:styleId="AttributeTok" w:type="character">
    <w:name w:val="AttributeTok"/>
    <w:basedOn w:val="VerbatimChar"/>
    <w:rPr>
      <w:rFonts w:ascii="Consolas" w:hAnsi="Consolas"/>
      <w:b/>
      <w:color w:val="C4A000"/>
      <w:sz w:val="22"/>
      <w:shd w:color="auto" w:fill="F8F8F8" w:val="clear"/>
    </w:rPr>
  </w:style>
  <w:style w:customStyle="1" w:styleId="RegionMarkerTok" w:type="character">
    <w:name w:val="RegionMarkerTok"/>
    <w:basedOn w:val="VerbatimChar"/>
    <w:rPr>
      <w:rFonts w:ascii="Consolas" w:hAnsi="Consolas"/>
      <w:b/>
      <w:sz w:val="22"/>
      <w:shd w:color="auto" w:fill="F8F8F8" w:val="clear"/>
    </w:rPr>
  </w:style>
  <w:style w:customStyle="1" w:styleId="InformationTok" w:type="character">
    <w:name w:val="InformationTok"/>
    <w:basedOn w:val="VerbatimChar"/>
    <w:rPr>
      <w:rFonts w:ascii="Consolas" w:hAnsi="Consolas"/>
      <w:b w:val="0"/>
      <w:i/>
      <w:color w:val="8F5902"/>
      <w:sz w:val="22"/>
      <w:shd w:color="auto" w:fill="F8F8F8" w:val="clear"/>
    </w:rPr>
  </w:style>
  <w:style w:customStyle="1" w:styleId="WarningTok" w:type="character">
    <w:name w:val="WarningTok"/>
    <w:basedOn w:val="VerbatimChar"/>
    <w:rPr>
      <w:rFonts w:ascii="Consolas" w:hAnsi="Consolas"/>
      <w:b w:val="0"/>
      <w:i/>
      <w:color w:val="8F5902"/>
      <w:sz w:val="22"/>
      <w:shd w:color="auto" w:fill="F8F8F8" w:val="clear"/>
    </w:rPr>
  </w:style>
  <w:style w:customStyle="1" w:styleId="AlertTok" w:type="character">
    <w:name w:val="AlertTok"/>
    <w:basedOn w:val="VerbatimChar"/>
    <w:rPr>
      <w:rFonts w:ascii="Consolas" w:hAnsi="Consolas"/>
      <w:b/>
      <w:color w:val="EF2929"/>
      <w:sz w:val="22"/>
      <w:shd w:color="auto" w:fill="F8F8F8" w:val="clear"/>
    </w:rPr>
  </w:style>
  <w:style w:customStyle="1" w:styleId="ErrorTok" w:type="character">
    <w:name w:val="ErrorTok"/>
    <w:basedOn w:val="VerbatimChar"/>
    <w:rPr>
      <w:rFonts w:ascii="Consolas" w:hAnsi="Consolas"/>
      <w:b w:val="0"/>
      <w:color w:val="A40000"/>
      <w:sz w:val="22"/>
      <w:shd w:color="auto" w:fill="F8F8F8" w:val="clear"/>
    </w:rPr>
  </w:style>
  <w:style w:customStyle="1" w:styleId="NormalTok" w:type="character">
    <w:name w:val="NormalTok"/>
    <w:basedOn w:val="VerbatimChar"/>
    <w:rPr>
      <w:rFonts w:ascii="Consolas" w:hAnsi="Consolas"/>
      <w:b/>
      <w:sz w:val="22"/>
      <w:shd w:color="auto" w:fill="F8F8F8" w:val="clear"/>
    </w:rPr>
  </w:style>
  <w:style w:styleId="LineNumber" w:type="character">
    <w:name w:val="line number"/>
    <w:basedOn w:val="DefaultParagraphFont"/>
    <w:semiHidden/>
    <w:unhideWhenUsed/>
    <w:rsid w:val="0083190B"/>
    <w:rPr>
      <w:rFonts w:asciiTheme="majorHAnsi" w:hAnsiTheme="majorHAnsi"/>
      <w:sz w:val="18"/>
    </w:rPr>
  </w:style>
  <w:style w:customStyle="1" w:styleId="BodyTextChar" w:type="character">
    <w:name w:val="Body Text Char"/>
    <w:basedOn w:val="DefaultParagraphFont"/>
    <w:link w:val="BodyText"/>
    <w:rsid w:val="000650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df" /><Relationship Type="http://schemas.openxmlformats.org/officeDocument/2006/relationships/image" Id="rId24" Target="media/rId24.pdf" /><Relationship Type="http://schemas.openxmlformats.org/officeDocument/2006/relationships/image" Id="rId25" Target="media/rId25.pdf" /><Relationship Type="http://schemas.openxmlformats.org/officeDocument/2006/relationships/image" Id="rId26" Target="media/rId26.pdf" /><Relationship Type="http://schemas.openxmlformats.org/officeDocument/2006/relationships/image" Id="rId27" Target="media/rId27.pdf" /><Relationship Type="http://schemas.openxmlformats.org/officeDocument/2006/relationships/image" Id="rId28" Target="media/rId28.pdf" /><Relationship Type="http://schemas.openxmlformats.org/officeDocument/2006/relationships/image" Id="rId29" Target="media/rId29.pdf" /><Relationship Type="http://schemas.openxmlformats.org/officeDocument/2006/relationships/image" Id="rId30" Target="media/rId30.pdf" /><Relationship Type="http://schemas.openxmlformats.org/officeDocument/2006/relationships/image" Id="rId31" Target="media/rId31.pdf" /><Relationship Type="http://schemas.openxmlformats.org/officeDocument/2006/relationships/hyperlink" Id="rId20" Target="mailto:woldham@bwh.harvard.edu" TargetMode="External" /></Relationships>
</file>

<file path=word/_rels/footnotes.xml.rels><?xml version="1.0" encoding="UTF-8"?><Relationships xmlns="http://schemas.openxmlformats.org/package/2006/relationships"><Relationship Type="http://schemas.openxmlformats.org/officeDocument/2006/relationships/hyperlink" Id="rId20" Target="mailto:woldham@bwh.harvard.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144</Words>
  <Characters>821</Characters>
  <Application>Microsoft Office Word</Application>
  <DocSecurity>0</DocSecurity>
  <Lines>6</Lines>
  <Paragraphs>1</Paragraphs>
  <ScaleCrop>false</ScaleCrop>
  <Company/>
  <LinksUpToDate>false</LinksUpToDate>
  <CharactersWithSpaces>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Supplemental Information</dc:title>
  <dc:creator>Courtney A. Copeland1, Benjamin A. Olenchock1,2, David R. Ziehr1,4, Sarah McGarrity1,5, Jamey D. Young3, Joseph Loscalzo1, and William M. Oldham1,‡</dc:creator>
  <cp:keywords/>
  <dcterms:created xsi:type="dcterms:W3CDTF">2021-11-14T19:22:33Z</dcterms:created>
  <dcterms:modified xsi:type="dcterms:W3CDTF">2021-11-14T19:22:33Z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_main">
    <vt:lpwstr>library.bib</vt:lpwstr>
  </property>
  <property fmtid="{D5CDD505-2E9C-101B-9397-08002B2CF9AE}" pid="3" name="bibliography_software">
    <vt:lpwstr>packages.bib</vt:lpwstr>
  </property>
  <property fmtid="{D5CDD505-2E9C-101B-9397-08002B2CF9AE}" pid="4" name="compact-title">
    <vt:lpwstr>True</vt:lpwstr>
  </property>
  <property fmtid="{D5CDD505-2E9C-101B-9397-08002B2CF9AE}" pid="5" name="csl">
    <vt:lpwstr>cell-metabolism.csl</vt:lpwstr>
  </property>
  <property fmtid="{D5CDD505-2E9C-101B-9397-08002B2CF9AE}" pid="6" name="fontsize">
    <vt:lpwstr>11pt</vt:lpwstr>
  </property>
  <property fmtid="{D5CDD505-2E9C-101B-9397-08002B2CF9AE}" pid="7" name="geometry">
    <vt:lpwstr>margin = 0.75in</vt:lpwstr>
  </property>
  <property fmtid="{D5CDD505-2E9C-101B-9397-08002B2CF9AE}" pid="8" name="graphics">
    <vt:lpwstr>yes</vt:lpwstr>
  </property>
  <property fmtid="{D5CDD505-2E9C-101B-9397-08002B2CF9AE}" pid="9" name="link-citations">
    <vt:lpwstr>yes</vt:lpwstr>
  </property>
  <property fmtid="{D5CDD505-2E9C-101B-9397-08002B2CF9AE}" pid="10" name="mainfont">
    <vt:lpwstr>Calibri</vt:lpwstr>
  </property>
  <property fmtid="{D5CDD505-2E9C-101B-9397-08002B2CF9AE}" pid="11" name="nocite">
    <vt:lpwstr>@R-base, @R-bookdown, @R-broom, @R-cellranger, @R-cowplot, @R-devtools, @R-dplyr, @R-emmeans, @R-forcats, @R-ggbeeswarm, @R-ggplot2, @R-ggraph, @R-kableExtra, @R-knitr, @R-lme4, @R-lmerTest, @R-lubridate, @R-magick, @R-magrittr, @R-MASS, @R-mzrtools, @R-patchwork, @R-pbkrtest, @R-purrr, @R-RColorBrewer, @R-readr, @R-readxl, @R-renv, @R-rlang, @R-rmarkdown, @R-roxygen2, @R-stringr, @R-tibble, @R-tidygraph, @R-tidyr, @R-tidyverse, @R-tinytex, @R-usethis, @R-viridis, @R-wmo, @bookdown2016, @ggplot22016, @knitr2015, @lme42015, @lmerTest2017, @lubridate2011, @MASS2002, @pbkrtest2014, @rmarkdown2018, @tidyverse2019, tinytex2019, @fgsea, @TFEA.ChIP, @multiGSEA, @limma, @targets, @flextable, @officer, @patchwork</vt:lpwstr>
  </property>
  <property fmtid="{D5CDD505-2E9C-101B-9397-08002B2CF9AE}" pid="12" name="output">
    <vt:lpwstr/>
  </property>
  <property fmtid="{D5CDD505-2E9C-101B-9397-08002B2CF9AE}" pid="13" name="subtitle">
    <vt:lpwstr>Hypoxia uncouples HIF gene transcription and metabolic flux in proliferating primary cells</vt:lpwstr>
  </property>
</Properties>
</file>