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MYC</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expression</w:t>
      </w:r>
      <w:r>
        <w:t xml:space="preserve"> </w:t>
      </w:r>
      <w:r>
        <w:t xml:space="preserve">from</w:t>
      </w:r>
      <w:r>
        <w:t xml:space="preserve"> </w:t>
      </w:r>
      <w:r>
        <w:t xml:space="preserve">glycolytic</w:t>
      </w:r>
      <w:r>
        <w:t xml:space="preserve"> </w:t>
      </w:r>
      <w:r>
        <w:t xml:space="preserve">flux</w:t>
      </w:r>
      <w:r>
        <w:t xml:space="preserve"> </w:t>
      </w:r>
      <w:r>
        <w:t xml:space="preserve">in</w:t>
      </w:r>
      <w:r>
        <w:t xml:space="preserve"> </w:t>
      </w:r>
      <w:r>
        <w:t xml:space="preserve">hypoxic</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4</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Department of Medicine, Massachusetts General Hospital and Harvard Medical School, Boston, MA</w:t>
      </w:r>
      <w:r>
        <w:br/>
      </w:r>
      <w:r>
        <w:rPr>
          <w:vertAlign w:val="superscript"/>
        </w:rPr>
        <w:t xml:space="preserve">3</w:t>
      </w:r>
      <w:r>
        <w:t xml:space="preserve"> </w:t>
      </w:r>
      <w:r>
        <w:t xml:space="preserve">Center for Systems Biology, School of Health Sciences, University of Iceland, Reykjavik, Iceland</w:t>
      </w:r>
      <w:r>
        <w:br/>
      </w:r>
      <w:r>
        <w:rPr>
          <w:vertAlign w:val="superscript"/>
        </w:rPr>
        <w:t xml:space="preserve">4</w:t>
      </w:r>
      <w:r>
        <w:t xml:space="preserve"> </w:t>
      </w:r>
      <w:r>
        <w:t xml:space="preserve">Departments of Chemical &amp; Biomolecular Engineering and Molecular Physiology &amp; Biophysics, Vanderbilt University, Nashville, TN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rmarkdown"/>
    <w:p>
      <w:pPr>
        <w:pStyle w:val="FirstParagraph"/>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fgsea"/>
    <w:p>
      <w:pPr>
        <w:pStyle w:val="BodyText"/>
      </w:pPr>
      <w:r>
        <w:t xml:space="preserve">Korotkevich, G., Sukhov, V., and Sergushichev, A. (2019). Fast gene set enrichment analysis. bioRxiv.</w:t>
      </w:r>
    </w:p>
    <w:bookmarkEnd w:id="44"/>
    <w:bookmarkStart w:id="45"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5"/>
    <w:bookmarkStart w:id="46" w:name="ref-R-lmerTest"/>
    <w:p>
      <w:pPr>
        <w:pStyle w:val="BodyText"/>
      </w:pPr>
      <w:r>
        <w:t xml:space="preserve">Kuznetsova, A., Bruun Brockhoff, P., and Haubo Bojesen Christensen, R. (2020). lmerTest: Tests in linear mixed effects models.</w:t>
      </w:r>
    </w:p>
    <w:bookmarkEnd w:id="46"/>
    <w:bookmarkStart w:id="47" w:name="ref-R-emmeans"/>
    <w:p>
      <w:pPr>
        <w:pStyle w:val="BodyText"/>
      </w:pPr>
      <w:r>
        <w:t xml:space="preserve">Lenth, R. (2020). Emmeans: Estimated marginal means, aka least-squares means.</w:t>
      </w:r>
    </w:p>
    <w:bookmarkEnd w:id="47"/>
    <w:bookmarkStart w:id="48" w:name="ref-R-tibble"/>
    <w:p>
      <w:pPr>
        <w:pStyle w:val="BodyText"/>
      </w:pPr>
      <w:r>
        <w:t xml:space="preserve">Müller, K., and Wickham, H. (2020). Tibble: Simple data frames.</w:t>
      </w:r>
    </w:p>
    <w:bookmarkEnd w:id="48"/>
    <w:bookmarkStart w:id="49" w:name="ref-R-RColorBrewer"/>
    <w:p>
      <w:pPr>
        <w:pStyle w:val="BodyText"/>
      </w:pPr>
      <w:r>
        <w:t xml:space="preserve">Neuwirth, E. (2014). RColorBrewer: ColorBrewer palettes.</w:t>
      </w:r>
    </w:p>
    <w:bookmarkEnd w:id="49"/>
    <w:bookmarkStart w:id="50" w:name="ref-R-mzrtools"/>
    <w:p>
      <w:pPr>
        <w:pStyle w:val="BodyText"/>
      </w:pPr>
      <w:r>
        <w:t xml:space="preserve">Oldham, W. (2020a). Mzrtools: Make molecular formulas useful for mass spectrometry.</w:t>
      </w:r>
    </w:p>
    <w:bookmarkEnd w:id="50"/>
    <w:bookmarkStart w:id="51" w:name="ref-R-wmo"/>
    <w:p>
      <w:pPr>
        <w:pStyle w:val="BodyText"/>
      </w:pPr>
      <w:r>
        <w:t xml:space="preserve">Oldham, W. (2020b). Wmo: Personal utility functions.</w:t>
      </w:r>
    </w:p>
    <w:bookmarkEnd w:id="51"/>
    <w:bookmarkStart w:id="52" w:name="ref-R-magick"/>
    <w:p>
      <w:pPr>
        <w:pStyle w:val="BodyText"/>
      </w:pPr>
      <w:r>
        <w:t xml:space="preserve">Ooms, J. (2020). Magick: Advanced graphics and image-processing in r.</w:t>
      </w:r>
    </w:p>
    <w:bookmarkEnd w:id="52"/>
    <w:bookmarkStart w:id="53" w:name="ref-R-ggraph"/>
    <w:p>
      <w:pPr>
        <w:pStyle w:val="BodyText"/>
      </w:pPr>
      <w:r>
        <w:t xml:space="preserve">Pedersen, T.L. (2020a). Ggraph: An implementation of grammar of graphics for graphs and networks.</w:t>
      </w:r>
    </w:p>
    <w:bookmarkEnd w:id="53"/>
    <w:bookmarkStart w:id="54" w:name="ref-R-patchwork"/>
    <w:p>
      <w:pPr>
        <w:pStyle w:val="BodyText"/>
      </w:pPr>
      <w:r>
        <w:t xml:space="preserve">Pedersen, T.L. (2020b). Patchwork: The composer of plots.</w:t>
      </w:r>
    </w:p>
    <w:bookmarkEnd w:id="54"/>
    <w:bookmarkStart w:id="55" w:name="ref-R-tidygraph"/>
    <w:p>
      <w:pPr>
        <w:pStyle w:val="BodyText"/>
      </w:pPr>
      <w:r>
        <w:t xml:space="preserve">Pedersen, T.L. (2020c). Tidygraph: A tidy API for graph manipulation.</w:t>
      </w:r>
    </w:p>
    <w:bookmarkEnd w:id="55"/>
    <w:bookmarkStart w:id="56" w:name="ref-TFEA.ChIP"/>
    <w:p>
      <w:pPr>
        <w:pStyle w:val="BodyText"/>
      </w:pPr>
      <w:r>
        <w:t xml:space="preserve">Puente-Santamaria, L., Wasserman, W., and del Peso, L. (2019). TFEA.ChIP: A tool kit for transcription factor binding site enrichment analysis capitalizing on ChIP-seq datasets. Bioinformatics.</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59"/>
    <w:bookmarkStart w:id="60" w:name="ref-R-broom"/>
    <w:p>
      <w:pPr>
        <w:pStyle w:val="BodyText"/>
      </w:pPr>
      <w:r>
        <w:t xml:space="preserve">Robinson, D., and Hayes, A. (2020). Broom: Convert statistical analysis objects into tidy tibbles.</w:t>
      </w:r>
    </w:p>
    <w:bookmarkEnd w:id="60"/>
    <w:bookmarkStart w:id="61"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1"/>
    <w:bookmarkStart w:id="62" w:name="ref-R-pbkrtest"/>
    <w:p>
      <w:pPr>
        <w:pStyle w:val="BodyText"/>
      </w:pPr>
      <w:r>
        <w:t xml:space="preserve">&lt;sorenh@math.aau.dk&gt;, U.H.S.H. (2020). Pbkrtest: Parametric bootstrap and kenward roger based methods for mixed model comparison.</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 David R. Ziehr1,2, Sarah McGarrity1,3, Kevin Leahy1, Jamey D. Young4, Joseph Loscalzo1, and William M. Oldham1,‡</dc:creator>
  <cp:keywords/>
  <dcterms:created xsi:type="dcterms:W3CDTF">2021-12-14T15:30:41Z</dcterms:created>
  <dcterms:modified xsi:type="dcterms:W3CDTF">2021-12-14T15:30:41Z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subtitle">
    <vt:lpwstr>MYC uncouples HIF target gene expression from glycolytic flux in hypoxic proliferating primary cells</vt:lpwstr>
  </property>
</Properties>
</file>