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0.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cellular functions that underlie numerous physiologic and pathologic processes. While many studies have explored the metabolic consequences of hypoxia in cancer models, comparatively little is known about the metabolic response of primary cells to hypoxia. Here, we performed metabolic flux analyses of proliferating human lung fibroblasts and pulmonary artery smooth muscle cells in hypoxia. Unexpectedly, glycolytic flux was decreased in hypoxic cells despite activation of the hypoxia-inducible factor (HIF) transcriptional program and increased expression of glycolytic enzymes. Pharmacologic activation of HIF with the prolyl hydroxylase (PHD) inhibitor molidustat in normoxia did increase glycolytic flux, but hypoxia abrogated this effect. Multi-omic profiling of cells treated with hypoxia or molidustat, separately or together,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activities from wound healing and angiogenesis to vascular remodeling and fibrosis</w:t>
      </w:r>
      <w:r>
        <w:t xml:space="preserve"> </w:t>
      </w:r>
      <w:r>
        <w:t xml:space="preserve">(</w:t>
      </w:r>
      <w:hyperlink w:anchor="ref-lee2019">
        <w:r>
          <w:rPr>
            <w:rStyle w:val="Hyperlink"/>
          </w:rPr>
          <w:t xml:space="preserve">Lee et al., 2019a</w:t>
        </w:r>
      </w:hyperlink>
      <w:r>
        <w:t xml:space="preserve">;</w:t>
      </w:r>
      <w:r>
        <w:t xml:space="preserve"> </w:t>
      </w:r>
      <w:hyperlink w:anchor="ref-semenza2012b">
        <w:r>
          <w:rPr>
            <w:rStyle w:val="Hyperlink"/>
          </w:rPr>
          <w:t xml:space="preserve">Semenza, 2012</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lee2020b">
        <w:r>
          <w:rPr>
            <w:rStyle w:val="Hyperlink"/>
          </w:rPr>
          <w:t xml:space="preserve">Lee et al., 2020</w:t>
        </w:r>
      </w:hyperlink>
      <w:r>
        <w:t xml:space="preserve">;</w:t>
      </w:r>
      <w:r>
        <w:t xml:space="preserve"> </w:t>
      </w:r>
      <w:hyperlink w:anchor="ref-semenza2012b">
        <w:r>
          <w:rPr>
            <w:rStyle w:val="Hyperlink"/>
          </w:rPr>
          <w:t xml:space="preserve">Semenza, 2012</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and Ratcliffe,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demands through down-regulation of Na</w:t>
      </w:r>
      <w:r>
        <w:rPr>
          <w:vertAlign w:val="superscript"/>
        </w:rPr>
        <w:t xml:space="preserve">+</w:t>
      </w:r>
      <w:r>
        <w:t xml:space="preserve">/K</w:t>
      </w:r>
      <w:r>
        <w:rPr>
          <w:vertAlign w:val="superscript"/>
        </w:rPr>
        <w:t xml:space="preserve">+</w:t>
      </w:r>
      <w:r>
        <w:t xml:space="preserve">-ATPase, slowing protein translation, and attenuating cell proliferation</w:t>
      </w:r>
      <w:r>
        <w:t xml:space="preserve"> </w:t>
      </w:r>
      <w:r>
        <w:t xml:space="preserve">(</w:t>
      </w:r>
      <w:hyperlink w:anchor="ref-hubbi2015">
        <w:r>
          <w:rPr>
            <w:rStyle w:val="Hyperlink"/>
          </w:rPr>
          <w:t xml:space="preserve">Hubbi and Semenza, 2015</w:t>
        </w:r>
      </w:hyperlink>
      <w:r>
        <w:t xml:space="preserve">;</w:t>
      </w:r>
      <w:r>
        <w:t xml:space="preserve"> </w:t>
      </w:r>
      <w:hyperlink w:anchor="ref-wheaton2011">
        <w:r>
          <w:rPr>
            <w:rStyle w:val="Hyperlink"/>
          </w:rPr>
          <w:t xml:space="preserve">Wheaton and Chandel, 2011</w:t>
        </w:r>
      </w:hyperlink>
      <w:r>
        <w:t xml:space="preserve">)</w:t>
      </w:r>
      <w:r>
        <w:t xml:space="preserve">. In particular, HIF-1α decreases cell proliferation by activating cyclin-dependent kinase inhibitor expression, inhibiting cell cycle checkpoint progression</w:t>
      </w:r>
      <w:r>
        <w:t xml:space="preserve"> </w:t>
      </w:r>
      <w:r>
        <w:t xml:space="preserve">(</w:t>
      </w:r>
      <w:hyperlink w:anchor="ref-gardner2001">
        <w:r>
          <w:rPr>
            <w:rStyle w:val="Hyperlink"/>
          </w:rPr>
          <w:t xml:space="preserve">Gardner et al., 2001</w:t>
        </w:r>
      </w:hyperlink>
      <w:r>
        <w:t xml:space="preserve">)</w:t>
      </w:r>
      <w:r>
        <w:t xml:space="preserve">, and antagonizing pro-proliferative MYC signaling</w:t>
      </w:r>
      <w:r>
        <w:t xml:space="preserve"> </w:t>
      </w:r>
      <w:r>
        <w:t xml:space="preserve">(</w:t>
      </w:r>
      <w:hyperlink w:anchor="ref-koshiji2004">
        <w:r>
          <w:rPr>
            <w:rStyle w:val="Hyperlink"/>
          </w:rPr>
          <w:t xml:space="preserve">Koshiji et al.,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and Semenza, 2015</w:t>
        </w:r>
      </w:hyperlink>
      <w:r>
        <w:t xml:space="preserve">)</w:t>
      </w:r>
      <w:r>
        <w:t xml:space="preserve">. How these cells meet the metabolic needs of sustained proliferation in hypoxia and how these adaptations are regulated are an active area of investigation</w:t>
      </w:r>
      <w:r>
        <w:t xml:space="preserve"> </w:t>
      </w:r>
      <w:r>
        <w:t xml:space="preserve">(</w:t>
      </w:r>
      <w:hyperlink w:anchor="ref-jain2020">
        <w:r>
          <w:rPr>
            <w:rStyle w:val="Hyperlink"/>
          </w:rPr>
          <w:t xml:space="preserve">Jain et al., 2020</w:t>
        </w:r>
      </w:hyperlink>
      <w:r>
        <w:t xml:space="preserve">;</w:t>
      </w:r>
      <w:r>
        <w:t xml:space="preserve"> </w:t>
      </w:r>
      <w:hyperlink w:anchor="ref-lee2020b">
        <w:r>
          <w:rPr>
            <w:rStyle w:val="Hyperlink"/>
          </w:rPr>
          <w:t xml:space="preserve">Lee et al., 2020</w:t>
        </w:r>
      </w:hyperlink>
      <w:r>
        <w:t xml:space="preserve">;</w:t>
      </w:r>
      <w:r>
        <w:t xml:space="preserve"> </w:t>
      </w:r>
      <w:hyperlink w:anchor="ref-oldham2015">
        <w:r>
          <w:rPr>
            <w:rStyle w:val="Hyperlink"/>
          </w:rPr>
          <w:t xml:space="preserve">Oldham et al., 2015</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garcia-bermudez2018">
        <w:r>
          <w:rPr>
            <w:rStyle w:val="Hyperlink"/>
          </w:rPr>
          <w:t xml:space="preserve">Garcia-Bermudez et al., 2018</w:t>
        </w:r>
      </w:hyperlink>
      <w:r>
        <w:t xml:space="preserve">;</w:t>
      </w:r>
      <w:r>
        <w:t xml:space="preserve"> </w:t>
      </w:r>
      <w:hyperlink w:anchor="ref-jiang2016">
        <w:r>
          <w:rPr>
            <w:rStyle w:val="Hyperlink"/>
          </w:rPr>
          <w:t xml:space="preserve">Jiang et al., 2016</w:t>
        </w:r>
      </w:hyperlink>
      <w:r>
        <w:t xml:space="preserve">;</w:t>
      </w:r>
      <w:r>
        <w:t xml:space="preserve"> </w:t>
      </w:r>
      <w:hyperlink w:anchor="ref-lee2019a">
        <w:r>
          <w:rPr>
            <w:rStyle w:val="Hyperlink"/>
          </w:rPr>
          <w:t xml:space="preserve">Lee et al., 2019b</w:t>
        </w:r>
      </w:hyperlink>
      <w:r>
        <w:t xml:space="preserve">;</w:t>
      </w:r>
      <w:r>
        <w:t xml:space="preserve"> </w:t>
      </w:r>
      <w:hyperlink w:anchor="ref-melendez-rodriguez2019">
        <w:r>
          <w:rPr>
            <w:rStyle w:val="Hyperlink"/>
          </w:rPr>
          <w:t xml:space="preserve">Melendez-Rodriguez et al., 2019</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For example, stable isotope tracing and metabolic flux analyses identified a critical role for reductive carboxylation of glutamine-derived α-ketoglutarate for lipid biosynthesis in supporting tumor growth</w:t>
      </w:r>
      <w:r>
        <w:t xml:space="preserve"> </w:t>
      </w:r>
      <w:r>
        <w:t xml:space="preserve">(</w:t>
      </w:r>
      <w:hyperlink w:anchor="ref-gameiro2013a">
        <w:r>
          <w:rPr>
            <w:rStyle w:val="Hyperlink"/>
          </w:rPr>
          <w:t xml:space="preserve">Gameiro et al., 2013a</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 et al.,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 et al., 2014</w:t>
        </w:r>
      </w:hyperlink>
      <w:r>
        <w:t xml:space="preserve">)</w:t>
      </w:r>
      <w:r>
        <w:t xml:space="preserve"> </w:t>
      </w:r>
      <w:r>
        <w:t xml:space="preserve">did increase glycolysis and lactate efflux; however, hypoxia blocked this response. These findings suggested the existence of important hypoxia-dependent regulatory mechanisms that override the metabolic consequences of HIF-1α-dependent up-regulation of glycolytic gene expression in human primary cells. Transcriptomic profiling suggested a critical role for the transcription factor MYC in the adaptive response to hypoxia. Using knockdown and overexpression approaches, we demonstrate that MYC attenuates HIF-driven glycolysis in hypoxia and following BAY treatment.</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 et al., 2015</w:t>
        </w:r>
      </w:hyperlink>
      <w:r>
        <w:t xml:space="preserve">)</w:t>
      </w:r>
      <w:r>
        <w:t xml:space="preserve">. Exponential growth phase is thought to reflect metabolic pseudo-steady state as cells in the culture steadily divide at their maximal condition-specific rate, provided nutrient supply does not become limiting</w:t>
      </w:r>
      <w:r>
        <w:t xml:space="preserve"> </w:t>
      </w:r>
      <w:r>
        <w:t xml:space="preserve">(</w:t>
      </w:r>
      <w:hyperlink w:anchor="ref-ahn2011">
        <w:r>
          <w:rPr>
            <w:rStyle w:val="Hyperlink"/>
          </w:rPr>
          <w:t xml:space="preserve">Ahn and Antoniewicz, 2011</w:t>
        </w:r>
      </w:hyperlink>
      <w:r>
        <w:t xml:space="preserve">;</w:t>
      </w:r>
      <w:r>
        <w:t xml:space="preserve"> </w:t>
      </w:r>
      <w:hyperlink w:anchor="ref-buescher2015">
        <w:r>
          <w:rPr>
            <w:rStyle w:val="Hyperlink"/>
          </w:rPr>
          <w:t xml:space="preserve">Buescher et al., 2015</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 et al., 2020</w:t>
        </w:r>
      </w:hyperlink>
      <w:r>
        <w:t xml:space="preserve">;</w:t>
      </w:r>
      <w:r>
        <w:t xml:space="preserve"> </w:t>
      </w:r>
      <w:hyperlink w:anchor="ref-wenger2015">
        <w:r>
          <w:rPr>
            <w:rStyle w:val="Hyperlink"/>
          </w:rPr>
          <w:t xml:space="preserve">Wenger et al.,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and Young,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 cells in 0.2% ambient oxygen (</w:t>
      </w:r>
      <w:r>
        <w:rPr>
          <w:bCs/>
          <w:b/>
        </w:rPr>
        <w:t xml:space="preserve">Fig S2</w:t>
      </w:r>
      <w:r>
        <w:t xml:space="preserve">). These results were similar to 0.5% oxygen culture. We observed no change in glucose or lactate fluxes.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1</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1</w:t>
      </w:r>
      <w:r>
        <w:rPr>
          <w:bCs/>
          <w:b/>
        </w:rPr>
        <w:t xml:space="preserve">I</w:t>
      </w:r>
      <w:r>
        <w:t xml:space="preserve">), as expected based on the pattern of glycolytic gene expression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 et al.,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 et al.,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 et al.,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crown2015">
        <w:r>
          <w:rPr>
            <w:rStyle w:val="Hyperlink"/>
          </w:rPr>
          <w:t xml:space="preserve">Crown et al., 2015</w:t>
        </w:r>
      </w:hyperlink>
      <w:r>
        <w:t xml:space="preserve">;</w:t>
      </w:r>
      <w:r>
        <w:t xml:space="preserve"> </w:t>
      </w:r>
      <w:hyperlink w:anchor="ref-mann2021">
        <w:r>
          <w:rPr>
            <w:rStyle w:val="Hyperlink"/>
          </w:rPr>
          <w:t xml:space="preserve">Mann et al., 2021</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 et al., 2009</w:t>
        </w:r>
      </w:hyperlink>
      <w:r>
        <w:t xml:space="preserve">;</w:t>
      </w:r>
      <w:r>
        <w:t xml:space="preserve"> </w:t>
      </w:r>
      <w:hyperlink w:anchor="ref-xue2017">
        <w:r>
          <w:rPr>
            <w:rStyle w:val="Hyperlink"/>
          </w:rPr>
          <w:t xml:space="preserve">Xue et al.,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 et al.,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jazmin2013">
        <w:r>
          <w:rPr>
            <w:rStyle w:val="Hyperlink"/>
          </w:rPr>
          <w:t xml:space="preserve">Jazmin and Young, 2013</w:t>
        </w:r>
      </w:hyperlink>
      <w:r>
        <w:t xml:space="preserve">;</w:t>
      </w:r>
      <w:r>
        <w:t xml:space="preserve"> </w:t>
      </w:r>
      <w:hyperlink w:anchor="ref-murphy2013a">
        <w:r>
          <w:rPr>
            <w:rStyle w:val="Hyperlink"/>
          </w:rPr>
          <w:t xml:space="preserve">Murphy and Young, 2013</w:t>
        </w:r>
      </w:hyperlink>
      <w:r>
        <w:t xml:space="preserve">;</w:t>
      </w:r>
      <w:r>
        <w:t xml:space="preserve"> </w:t>
      </w:r>
      <w:hyperlink w:anchor="ref-young2014a">
        <w:r>
          <w:rPr>
            <w:rStyle w:val="Hyperlink"/>
          </w:rPr>
          <w:t xml:space="preserve">Young et al., 2014</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Figures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 et al., 2013</w:t>
        </w:r>
      </w:hyperlink>
      <w:r>
        <w:t xml:space="preserve">)</w:t>
      </w:r>
      <w:r>
        <w:t xml:space="preserve">, where oxidative phosphorylation continued to provide the majority of cellular ATP even in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modest increases (~10%) in glycolytic flux were observed (</w:t>
      </w:r>
      <w:r>
        <w:rPr>
          <w:bCs/>
          <w:b/>
        </w:rPr>
        <w:t xml:space="preserve">Figure S7E</w:t>
      </w:r>
      <w:r>
        <w:t xml:space="preserve">). This finding suggests that, while glycolysis increases relative to growth rate in hypoxic cells, the regulators of cell proliferation rate override the consequences of the HIF-1α transcriptional program. Indeed, even after adjusting for cell growth rate, the relative increase in glycolytic flux is modest compared to the marked up-regulation of glycolytic protein levels. BAY treatment decreased cell proliferation rate (</w:t>
      </w:r>
      <w:r>
        <w:rPr>
          <w:bCs/>
          <w:b/>
        </w:rPr>
        <w:t xml:space="preserve">Figure</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hypoxia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 et al.,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w:t>
      </w:r>
      <w:r>
        <w:t xml:space="preserve"> </w:t>
      </w:r>
      <w:r>
        <w:rPr>
          <w:vertAlign w:val="superscript"/>
        </w:rPr>
        <w:t xml:space="preserve">18</w:t>
      </w:r>
      <w:r>
        <w:t xml:space="preserve">F ]-fluorodeoxyglucose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 et al., 2017</w:t>
        </w:r>
      </w:hyperlink>
      <w:r>
        <w:t xml:space="preserve">;</w:t>
      </w:r>
      <w:r>
        <w:t xml:space="preserve"> </w:t>
      </w:r>
      <w:hyperlink w:anchor="ref-hui2020">
        <w:r>
          <w:rPr>
            <w:rStyle w:val="Hyperlink"/>
          </w:rPr>
          <w:t xml:space="preserve">Hui et al.,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favaro2012">
        <w:r>
          <w:rPr>
            <w:rStyle w:val="Hyperlink"/>
          </w:rPr>
          <w:t xml:space="preserve">Favaro et al., 2012</w:t>
        </w:r>
      </w:hyperlink>
      <w:r>
        <w:t xml:space="preserve">;</w:t>
      </w:r>
      <w:r>
        <w:t xml:space="preserve"> </w:t>
      </w:r>
      <w:hyperlink w:anchor="ref-owczarek2020">
        <w:r>
          <w:rPr>
            <w:rStyle w:val="Hyperlink"/>
          </w:rPr>
          <w:t xml:space="preserve">Owczarek et al., 2020</w:t>
        </w:r>
      </w:hyperlink>
      <w:r>
        <w:t xml:space="preserve">;</w:t>
      </w:r>
      <w:r>
        <w:t xml:space="preserve"> </w:t>
      </w:r>
      <w:hyperlink w:anchor="ref-pelletier2012">
        <w:r>
          <w:rPr>
            <w:rStyle w:val="Hyperlink"/>
          </w:rPr>
          <w:t xml:space="preserve">Pelletier et al.,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indicate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 et al., 2018</w:t>
        </w:r>
      </w:hyperlink>
      <w:r>
        <w:t xml:space="preserve">;</w:t>
      </w:r>
      <w:r>
        <w:t xml:space="preserve"> </w:t>
      </w:r>
      <w:hyperlink w:anchor="ref-melendez-rodriguez2019">
        <w:r>
          <w:rPr>
            <w:rStyle w:val="Hyperlink"/>
          </w:rPr>
          <w:t xml:space="preserve">Melendez-Rodriguez et al.,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treatments.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and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 et al.,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metabolic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 et al., 2015</w:t>
        </w:r>
      </w:hyperlink>
      <w:r>
        <w:t xml:space="preserve">)</w:t>
      </w:r>
      <w:r>
        <w:t xml:space="preserve"> </w:t>
      </w:r>
      <w:r>
        <w:t xml:space="preserve">(</w:t>
      </w:r>
      <w:r>
        <w:rPr>
          <w:bCs/>
          <w:b/>
        </w:rPr>
        <w:t xml:space="preserve">Figs S9D, S9E, S9F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 et al.,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C-E</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D</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E</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F-H</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G</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 et al., 2006</w:t>
        </w:r>
      </w:hyperlink>
      <w:r>
        <w:t xml:space="preserve">;</w:t>
      </w:r>
      <w:r>
        <w:t xml:space="preserve"> </w:t>
      </w:r>
      <w:hyperlink w:anchor="ref-li2020d">
        <w:r>
          <w:rPr>
            <w:rStyle w:val="Hyperlink"/>
          </w:rPr>
          <w:t xml:space="preserve">Li et al., 2020</w:t>
        </w:r>
      </w:hyperlink>
      <w:r>
        <w:t xml:space="preserve">;</w:t>
      </w:r>
      <w:r>
        <w:t xml:space="preserve"> </w:t>
      </w:r>
      <w:hyperlink w:anchor="ref-stine2015">
        <w:r>
          <w:rPr>
            <w:rStyle w:val="Hyperlink"/>
          </w:rPr>
          <w:t xml:space="preserve">Stine et al.,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and Henriksson, 2006</w:t>
        </w:r>
      </w:hyperlink>
      <w:r>
        <w:t xml:space="preserve">)</w:t>
      </w:r>
      <w:r>
        <w:t xml:space="preserve">, much of our understanding of MYC regulation comes from studies using cancer cell models</w:t>
      </w:r>
      <w:r>
        <w:t xml:space="preserve"> </w:t>
      </w:r>
      <w:r>
        <w:t xml:space="preserve">(</w:t>
      </w:r>
      <w:hyperlink w:anchor="ref-dang2012a">
        <w:r>
          <w:rPr>
            <w:rStyle w:val="Hyperlink"/>
          </w:rPr>
          <w:t xml:space="preserve">Dang, 2012</w:t>
        </w:r>
      </w:hyperlink>
      <w:r>
        <w:t xml:space="preserve">;</w:t>
      </w:r>
      <w:r>
        <w:t xml:space="preserve"> </w:t>
      </w:r>
      <w:hyperlink w:anchor="ref-li2020d">
        <w:r>
          <w:rPr>
            <w:rStyle w:val="Hyperlink"/>
          </w:rPr>
          <w:t xml:space="preserve">Li et al., 2020</w:t>
        </w:r>
      </w:hyperlink>
      <w:r>
        <w:t xml:space="preserve">;</w:t>
      </w:r>
      <w:r>
        <w:t xml:space="preserve"> </w:t>
      </w:r>
      <w:hyperlink w:anchor="ref-madden2021">
        <w:r>
          <w:rPr>
            <w:rStyle w:val="Hyperlink"/>
          </w:rPr>
          <w:t xml:space="preserve">Madden et al., 2021</w:t>
        </w:r>
      </w:hyperlink>
      <w:r>
        <w:t xml:space="preserve">;</w:t>
      </w:r>
      <w:r>
        <w:t xml:space="preserve"> </w:t>
      </w:r>
      <w:hyperlink w:anchor="ref-stine2015">
        <w:r>
          <w:rPr>
            <w:rStyle w:val="Hyperlink"/>
          </w:rPr>
          <w:t xml:space="preserve">Stine et al., 2015</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 et al., 2020</w:t>
        </w:r>
      </w:hyperlink>
      <w:r>
        <w:t xml:space="preserve">)</w:t>
      </w:r>
      <w:r>
        <w:t xml:space="preserve">. Generally, HIF-1 has been observed to inhibit MYC through multiple mechanisms</w:t>
      </w:r>
      <w:r>
        <w:t xml:space="preserve"> </w:t>
      </w:r>
      <w:r>
        <w:t xml:space="preserve">(</w:t>
      </w:r>
      <w:hyperlink w:anchor="ref-gordan2007">
        <w:r>
          <w:rPr>
            <w:rStyle w:val="Hyperlink"/>
          </w:rPr>
          <w:t xml:space="preserve">Gordan et al., 2007</w:t>
        </w:r>
      </w:hyperlink>
      <w:r>
        <w:t xml:space="preserve">;</w:t>
      </w:r>
      <w:r>
        <w:t xml:space="preserve"> </w:t>
      </w:r>
      <w:hyperlink w:anchor="ref-koshiji2004">
        <w:r>
          <w:rPr>
            <w:rStyle w:val="Hyperlink"/>
          </w:rPr>
          <w:t xml:space="preserve">Koshiji et al., 2004</w:t>
        </w:r>
      </w:hyperlink>
      <w:r>
        <w:t xml:space="preserve">,</w:t>
      </w:r>
      <w:r>
        <w:t xml:space="preserve"> </w:t>
      </w:r>
      <w:hyperlink w:anchor="ref-koshiji2005">
        <w:r>
          <w:rPr>
            <w:rStyle w:val="Hyperlink"/>
          </w:rPr>
          <w:t xml:space="preserve">2005</w:t>
        </w:r>
      </w:hyperlink>
      <w:r>
        <w:t xml:space="preserve">;</w:t>
      </w:r>
      <w:r>
        <w:t xml:space="preserve"> </w:t>
      </w:r>
      <w:hyperlink w:anchor="ref-zhang2007">
        <w:r>
          <w:rPr>
            <w:rStyle w:val="Hyperlink"/>
          </w:rPr>
          <w:t xml:space="preserve">Zhang et al., 2007</w:t>
        </w:r>
      </w:hyperlink>
      <w:r>
        <w:t xml:space="preserve">)</w:t>
      </w:r>
      <w:r>
        <w:t xml:space="preserve">, and this previous work is consistent with our present observations that HIF stabilization following BAY treatment decreased MYC protein and target gene expression. Conversely, MYC has been implicated in increased HIF activity through transcriptional and post-transcriptional mechanisms</w:t>
      </w:r>
      <w:r>
        <w:t xml:space="preserve"> </w:t>
      </w:r>
      <w:r>
        <w:t xml:space="preserve">(</w:t>
      </w:r>
      <w:hyperlink w:anchor="ref-chen2013">
        <w:r>
          <w:rPr>
            <w:rStyle w:val="Hyperlink"/>
          </w:rPr>
          <w:t xml:space="preserve">Chen et al., 2013</w:t>
        </w:r>
      </w:hyperlink>
      <w:r>
        <w:t xml:space="preserve">;</w:t>
      </w:r>
      <w:r>
        <w:t xml:space="preserve"> </w:t>
      </w:r>
      <w:hyperlink w:anchor="ref-doe2012">
        <w:r>
          <w:rPr>
            <w:rStyle w:val="Hyperlink"/>
          </w:rPr>
          <w:t xml:space="preserve">Doe et al., 2012</w:t>
        </w:r>
      </w:hyperlink>
      <w:r>
        <w:t xml:space="preserve">;</w:t>
      </w:r>
      <w:r>
        <w:t xml:space="preserve"> </w:t>
      </w:r>
      <w:hyperlink w:anchor="ref-zhang2009a">
        <w:r>
          <w:rPr>
            <w:rStyle w:val="Hyperlink"/>
          </w:rPr>
          <w:t xml:space="preserve">Zhang et al., 2009</w:t>
        </w:r>
      </w:hyperlink>
      <w:r>
        <w:t xml:space="preserve">)</w:t>
      </w:r>
      <w:r>
        <w:t xml:space="preserve">, primarily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 et al.,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targets genes involved in many other intermediary metabolic pathways, including amino acids, nucleotides, and lipids</w:t>
      </w:r>
      <w:r>
        <w:t xml:space="preserve"> </w:t>
      </w:r>
      <w:r>
        <w:t xml:space="preserve">(</w:t>
      </w:r>
      <w:hyperlink w:anchor="ref-stine2015">
        <w:r>
          <w:rPr>
            <w:rStyle w:val="Hyperlink"/>
          </w:rPr>
          <w:t xml:space="preserve">Stine et al.,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 et al.,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 et al.,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 et al.,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 et al., 1998</w:t>
        </w:r>
      </w:hyperlink>
      <w:r>
        <w:t xml:space="preserve">)</w:t>
      </w:r>
      <w:r>
        <w:t xml:space="preserve">. Mitochondrial ROS increase the half-lives of several mRNAs in hypoxia, including MYC, as we observed in this work, independent of HIF stabilization</w:t>
      </w:r>
      <w:r>
        <w:t xml:space="preserve"> </w:t>
      </w:r>
      <w:r>
        <w:t xml:space="preserve">(</w:t>
      </w:r>
      <w:hyperlink w:anchor="ref-guzy2005">
        <w:r>
          <w:rPr>
            <w:rStyle w:val="Hyperlink"/>
          </w:rPr>
          <w:t xml:space="preserve">Guzy et al.,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and Williams, 1955</w:t>
        </w:r>
      </w:hyperlink>
      <w:r>
        <w:t xml:space="preserve">;</w:t>
      </w:r>
      <w:r>
        <w:t xml:space="preserve"> </w:t>
      </w:r>
      <w:hyperlink w:anchor="ref-garofalo1988">
        <w:r>
          <w:rPr>
            <w:rStyle w:val="Hyperlink"/>
          </w:rPr>
          <w:t xml:space="preserve">Garofalo et al.,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 et al.,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and Semenza, 2015</w:t>
        </w:r>
      </w:hyperlink>
      <w:r>
        <w:t xml:space="preserve">)</w:t>
      </w:r>
      <w:r>
        <w:t xml:space="preserve">, which is precisely what we observed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 et al., 2001</w:t>
        </w:r>
      </w:hyperlink>
      <w:r>
        <w:t xml:space="preserve">)</w:t>
      </w:r>
      <w:r>
        <w:t xml:space="preserve">, and inhibition of pro-proliferative MYC signaling</w:t>
      </w:r>
      <w:r>
        <w:t xml:space="preserve"> </w:t>
      </w:r>
      <w:r>
        <w:t xml:space="preserve">(</w:t>
      </w:r>
      <w:hyperlink w:anchor="ref-koshiji2004">
        <w:r>
          <w:rPr>
            <w:rStyle w:val="Hyperlink"/>
          </w:rPr>
          <w:t xml:space="preserve">Koshiji et al., 2004</w:t>
        </w:r>
      </w:hyperlink>
      <w:r>
        <w:t xml:space="preserve">)</w:t>
      </w:r>
      <w:r>
        <w:t xml:space="preserve">. These transcriptional effects are precisely what is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 et al.,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 et al.,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 et al., 2008</w:t>
        </w:r>
      </w:hyperlink>
      <w:r>
        <w:t xml:space="preserve">)</w:t>
      </w:r>
      <w:r>
        <w:t xml:space="preserve">. Interestingly, these cells also had increased ATP levels compared to wild type, suggesting that mitochondrial function was adequate under 1% oxygen culture conditions to support oxidative phosphorylation and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 et al.,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 et al.,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 et al., 2013</w:t>
        </w:r>
      </w:hyperlink>
      <w:r>
        <w:t xml:space="preserve">;</w:t>
      </w:r>
      <w:r>
        <w:t xml:space="preserve"> </w:t>
      </w:r>
      <w:hyperlink w:anchor="ref-hui2017">
        <w:r>
          <w:rPr>
            <w:rStyle w:val="Hyperlink"/>
          </w:rPr>
          <w:t xml:space="preserve">Hui et al.,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and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 et al.,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grassian2014">
        <w:r>
          <w:rPr>
            <w:rStyle w:val="Hyperlink"/>
          </w:rPr>
          <w:t xml:space="preserve">Grassian et al., 2014</w:t>
        </w:r>
      </w:hyperlink>
      <w:r>
        <w:t xml:space="preserve">;</w:t>
      </w:r>
      <w:r>
        <w:t xml:space="preserve"> </w:t>
      </w:r>
      <w:hyperlink w:anchor="ref-metallo2011">
        <w:r>
          <w:rPr>
            <w:rStyle w:val="Hyperlink"/>
          </w:rPr>
          <w:t xml:space="preserve">Metallo et al., 2011</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58"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in a standard tissue culture incubator in 5% CO</w:t>
      </w:r>
      <w:r>
        <w:rPr>
          <w:vertAlign w:val="subscript"/>
        </w:rPr>
        <w:t xml:space="preserve">2</w:t>
      </w:r>
      <w:r>
        <w:t xml:space="preserve"> </w:t>
      </w:r>
      <w:r>
        <w:t xml:space="preserve">at 37 °C. Cells from two donors were used in these studies: #33652 (56 y.o., male) and #29132 (19 y.o., female). Cell authentication was performed by the vendor. Primary human pulmonary artery smooth muscle cells were purchased from Lonza (CC-2581) and cultured in SmGM-2 (Lonza CC-3182) in a standard tissue culture incubator in 5% CO</w:t>
      </w:r>
      <w:r>
        <w:rPr>
          <w:vertAlign w:val="subscript"/>
        </w:rPr>
        <w:t xml:space="preserve">2</w:t>
      </w:r>
      <w:r>
        <w:t xml:space="preserve"> </w:t>
      </w:r>
      <w:r>
        <w:t xml:space="preserve">at 37 °C. Cells from multiple donors were used in these studies: #30020 (64 y.o., male), #27662 (35 y.o., male), #26698 (51 y.o., male), and #19828 (51 y.o., male). Cell authentication was performed by the vendor.</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without glucose, glutamine, or phenol red (genDEPOT)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to 0.5% oxygen and 5% CO</w:t>
      </w:r>
      <w:r>
        <w:rPr>
          <w:vertAlign w:val="subscript"/>
        </w:rPr>
        <w:t xml:space="preserve">2</w:t>
      </w:r>
      <w:r>
        <w:t xml:space="preserve"> </w:t>
      </w:r>
      <w:r>
        <w:t xml:space="preserve">(Coy Lab Products). Medium was supplemented with DMSO 0.1% or BAY (10 μM) for DMSO and BAY treatment conditions. On Day 0, cells were washed with PBS and the medium was changed to either</w:t>
      </w:r>
      <w:r>
        <w:t xml:space="preserve"> </w:t>
      </w:r>
      <w:r>
        <w:t xml:space="preserve">“</w:t>
      </w:r>
      <w:r>
        <w:t xml:space="preserve">light</w:t>
      </w:r>
      <w:r>
        <w:t xml:space="preserve">”</w:t>
      </w:r>
      <w:r>
        <w:t xml:space="preserve"> </w:t>
      </w:r>
      <w:r>
        <w:t xml:space="preserve">medium for flux measurements or</w:t>
      </w:r>
      <w:r>
        <w:t xml:space="preserve"> </w:t>
      </w:r>
      <w:r>
        <w:t xml:space="preserve">“</w:t>
      </w:r>
      <w:r>
        <w:t xml:space="preserve">heavy</w:t>
      </w:r>
      <w:r>
        <w:t xml:space="preserve">”</w:t>
      </w:r>
      <w:r>
        <w:t xml:space="preserve"> </w:t>
      </w:r>
      <w:r>
        <w:t xml:space="preserve">medium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r>
        <w:t xml:space="preserve"> </w:t>
      </w:r>
      <w:r>
        <w:t xml:space="preserve">## Cell count</w:t>
      </w:r>
    </w:p>
    <w:p>
      <w:pPr>
        <w:pStyle w:val="BodyText"/>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w:t>
      </w:r>
      <w:r>
        <w:t xml:space="preserve">). No difference in total cellular DNA was identified between normoxia and hypoxia cultures (</w:t>
      </w:r>
      <w:r>
        <w:rPr>
          <w:bCs/>
          <w:b/>
        </w:rPr>
        <w:t xml:space="preserve">Fig S1D</w:t>
      </w:r>
      <w:r>
        <w:t xml:space="preserve">).</w:t>
      </w:r>
    </w:p>
    <w:bookmarkEnd w:id="35"/>
    <w:bookmarkStart w:id="36"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6"/>
    <w:bookmarkStart w:id="37"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7"/>
    <w:bookmarkStart w:id="38"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8"/>
    <w:bookmarkStart w:id="39"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r>
        <w:t xml:space="preserve"> </w:t>
      </w:r>
      <w:r>
        <w:t xml:space="preserve">## Pyruvate assay</w:t>
      </w:r>
    </w:p>
    <w:p>
      <w:pPr>
        <w:pStyle w:val="BodyText"/>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 et al., 2019</w:t>
        </w:r>
      </w:hyperlink>
      <w:r>
        <w:t xml:space="preserve">)</w:t>
      </w:r>
      <w:r>
        <w:t xml:space="preserve">.</w:t>
      </w:r>
    </w:p>
    <w:bookmarkEnd w:id="39"/>
    <w:bookmarkStart w:id="40"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0"/>
    <w:bookmarkStart w:id="41" w:name="myc-knockdown"/>
    <w:p>
      <w:pPr>
        <w:pStyle w:val="Heading2"/>
      </w:pPr>
      <w:r>
        <w:t xml:space="preserve">MYC knockdown</w:t>
      </w:r>
    </w:p>
    <w:p>
      <w:pPr>
        <w:pStyle w:val="FirstParagraph"/>
      </w:pPr>
      <w:r>
        <w:t xml:space="preserve">Approximately 1.25 M LFs were reverse transfected in 6-cm dishes with 40 pmol siMYC or non-targeting siCTL pools (Dharmacon) in 20 uL RNAiMAX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1"/>
    <w:bookmarkStart w:id="42"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 et al.,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2"/>
    <w:bookmarkStart w:id="43"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and Young,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using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3"/>
    <w:bookmarkStart w:id="49" w:name="metabolomics"/>
    <w:p>
      <w:pPr>
        <w:pStyle w:val="Heading2"/>
      </w:pPr>
      <w:r>
        <w:t xml:space="preserve">Metabolomics</w:t>
      </w:r>
    </w:p>
    <w:bookmarkStart w:id="44"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4"/>
    <w:bookmarkStart w:id="4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5"/>
    <w:bookmarkStart w:id="47"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 × 10</w:t>
      </w:r>
      <w:r>
        <w:rPr>
          <w:vertAlign w:val="superscript"/>
        </w:rPr>
        <w:t xml:space="preserve">5</w:t>
      </w:r>
      <w:r>
        <w:t xml:space="preserve"> </w:t>
      </w:r>
      <w:r>
        <w:t xml:space="preserve">ions. Peak areas were corrected for quadrupole bias as previously described</w:t>
      </w:r>
      <w:r>
        <w:t xml:space="preserve"> </w:t>
      </w:r>
      <w:r>
        <w:t xml:space="preserve">(</w:t>
      </w:r>
      <w:hyperlink w:anchor="ref-kim2015">
        <w:r>
          <w:rPr>
            <w:rStyle w:val="Hyperlink"/>
          </w:rPr>
          <w:t xml:space="preserve">Kim et al., 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6">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r>
        <w:t xml:space="preserve">(</w:t>
      </w:r>
      <w:hyperlink w:anchor="ref-fernandez1996">
        <w:r>
          <w:rPr>
            <w:rStyle w:val="Hyperlink"/>
          </w:rPr>
          <w:t xml:space="preserve">Fernandez et al., 1996</w:t>
        </w:r>
      </w:hyperlink>
      <w:r>
        <w:t xml:space="preserve">)</w:t>
      </w:r>
      <w:r>
        <w:t xml:space="preserve">.</w:t>
      </w:r>
    </w:p>
    <w:bookmarkEnd w:id="47"/>
    <w:bookmarkStart w:id="48"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1x10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 et al.,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 et al.,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 et al., 2015</w:t>
        </w:r>
      </w:hyperlink>
      <w:r>
        <w:t xml:space="preserve">)</w:t>
      </w:r>
      <w:r>
        <w:t xml:space="preserve">. Metabolite set enrichment analysis was performed using the fgsea package</w:t>
      </w:r>
      <w:r>
        <w:t xml:space="preserve"> </w:t>
      </w:r>
      <w:r>
        <w:t xml:space="preserve">(</w:t>
      </w:r>
      <w:hyperlink w:anchor="ref-korotkevich2021a">
        <w:r>
          <w:rPr>
            <w:rStyle w:val="Hyperlink"/>
          </w:rPr>
          <w:t xml:space="preserve">Korotkevich et al.,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and Goto, 2000</w:t>
        </w:r>
      </w:hyperlink>
      <w:r>
        <w:t xml:space="preserve">)</w:t>
      </w:r>
      <w:r>
        <w:t xml:space="preserve">.</w:t>
      </w:r>
    </w:p>
    <w:bookmarkEnd w:id="48"/>
    <w:bookmarkEnd w:id="49"/>
    <w:bookmarkStart w:id="50"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 et al., 2013</w:t>
        </w:r>
      </w:hyperlink>
      <w:r>
        <w:t xml:space="preserve">;</w:t>
      </w:r>
      <w:r>
        <w:t xml:space="preserve"> </w:t>
      </w:r>
      <w:hyperlink w:anchor="ref-zamorano2010">
        <w:r>
          <w:rPr>
            <w:rStyle w:val="Hyperlink"/>
          </w:rPr>
          <w:t xml:space="preserve">Zamorano et al., 2010</w:t>
        </w:r>
      </w:hyperlink>
      <w:r>
        <w:t xml:space="preserve">)</w:t>
      </w:r>
      <w:r>
        <w:t xml:space="preserve">.</w:t>
      </w:r>
    </w:p>
    <w:bookmarkEnd w:id="50"/>
    <w:bookmarkStart w:id="51"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 et al., 2013</w:t>
        </w:r>
      </w:hyperlink>
      <w:r>
        <w:t xml:space="preserve">;</w:t>
      </w:r>
      <w:r>
        <w:t xml:space="preserve"> </w:t>
      </w:r>
      <w:hyperlink w:anchor="ref-vacanti2014">
        <w:r>
          <w:rPr>
            <w:rStyle w:val="Hyperlink"/>
          </w:rPr>
          <w:t xml:space="preserve">Vacanti et al., 2014</w:t>
        </w:r>
      </w:hyperlink>
      <w:r>
        <w:t xml:space="preserve">)</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aspartate, fumarate, malate, oxaloacetate, and pyruvate existed in cytosolic and mitochondrial pools. Aspartate and malate were allowed to exchange freely between the compartments.</w:t>
      </w:r>
    </w:p>
    <w:p>
      <w:pPr>
        <w:numPr>
          <w:ilvl w:val="0"/>
          <w:numId w:val="1001"/>
        </w:numPr>
        <w:pStyle w:val="Compact"/>
      </w:pPr>
      <w:r>
        <w:t xml:space="preserve">The per cell biomass requirements of proliferating lung fibroblasts were similar to published estimated in other cells</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w:t>
      </w:r>
    </w:p>
    <w:p>
      <w:pPr>
        <w:numPr>
          <w:ilvl w:val="0"/>
          <w:numId w:val="1001"/>
        </w:numPr>
        <w:pStyle w:val="Compact"/>
      </w:pPr>
      <w:r>
        <w:t xml:space="preserve">Dilution of alanine, aspartate, glutamate, glutamine, lactate, and pyruvate was allowed to occur through reversible exchange with unlabeled substrates in the medium as these metabolites were present in unconditioned medium or serum.</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 et al., 2006</w:t>
        </w:r>
      </w:hyperlink>
      <w:r>
        <w:t xml:space="preserve">;</w:t>
      </w:r>
      <w:r>
        <w:t xml:space="preserve"> </w:t>
      </w:r>
      <w:hyperlink w:anchor="ref-murphy2013">
        <w:r>
          <w:rPr>
            <w:rStyle w:val="Hyperlink"/>
          </w:rPr>
          <w:t xml:space="preserve">Murphy et al., 2013</w:t>
        </w:r>
      </w:hyperlink>
      <w:r>
        <w:t xml:space="preserve">)</w:t>
      </w:r>
      <w:r>
        <w:t xml:space="preserve">.</w:t>
      </w:r>
    </w:p>
    <w:bookmarkEnd w:id="51"/>
    <w:bookmarkStart w:id="52"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 et al.,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cell count from cells estimated from total DNA quantification as described above.</w:t>
      </w:r>
    </w:p>
    <w:bookmarkEnd w:id="52"/>
    <w:bookmarkStart w:id="54"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 et al., 2019</w:t>
        </w:r>
      </w:hyperlink>
      <w:r>
        <w:t xml:space="preserve">)</w:t>
      </w:r>
      <w:r>
        <w:t xml:space="preserve">. This data is available from the Oldham Lab GitHub repository (</w:t>
      </w:r>
      <w:hyperlink r:id="rId53">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 et al., 2014</w:t>
        </w:r>
      </w:hyperlink>
      <w:r>
        <w:t xml:space="preserve">)</w:t>
      </w:r>
      <w:r>
        <w:t xml:space="preserve">. Gene set enrichment and transcription factor enrichment was performed using the fgsea and DoRothEA R packages, respectively</w:t>
      </w:r>
      <w:r>
        <w:t xml:space="preserve"> </w:t>
      </w:r>
      <w:r>
        <w:t xml:space="preserve">(</w:t>
      </w:r>
      <w:hyperlink w:anchor="ref-garcia-alonso2019">
        <w:r>
          <w:rPr>
            <w:rStyle w:val="Hyperlink"/>
          </w:rPr>
          <w:t xml:space="preserve">Garcia-Alonso et al., 2019</w:t>
        </w:r>
      </w:hyperlink>
      <w:r>
        <w:t xml:space="preserve">;</w:t>
      </w:r>
      <w:r>
        <w:t xml:space="preserve"> </w:t>
      </w:r>
      <w:hyperlink w:anchor="ref-korotkevich2021a">
        <w:r>
          <w:rPr>
            <w:rStyle w:val="Hyperlink"/>
          </w:rPr>
          <w:t xml:space="preserve">Korotkevich et al., 2021</w:t>
        </w:r>
      </w:hyperlink>
      <w:r>
        <w:t xml:space="preserve">)</w:t>
      </w:r>
      <w:r>
        <w:t xml:space="preserve">.</w:t>
      </w:r>
    </w:p>
    <w:bookmarkEnd w:id="54"/>
    <w:bookmarkStart w:id="56"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5">
        <w:r>
          <w:rPr>
            <w:rStyle w:val="Hyperlink"/>
          </w:rPr>
          <w:t xml:space="preserve">https://github.com/oldhamlab/Copeland.2021.hypoxia.flux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2022</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Two group comparisons (</w:t>
      </w:r>
      <w:r>
        <w:rPr>
          <w:iCs/>
          <w:i/>
        </w:rPr>
        <w:t xml:space="preserve">e.g.</w:t>
      </w:r>
      <w:r>
        <w:t xml:space="preserve">, 21%</w:t>
      </w:r>
      <w:r>
        <w:t xml:space="preserve"> </w:t>
      </w:r>
      <w:r>
        <w:rPr>
          <w:iCs/>
          <w:i/>
        </w:rPr>
        <w:t xml:space="preserve">v.</w:t>
      </w:r>
      <w:r>
        <w:t xml:space="preserve"> </w:t>
      </w:r>
      <w:r>
        <w:t xml:space="preserve">0.5% oxygen) were performed using Student’s</w:t>
      </w:r>
      <w:r>
        <w:t xml:space="preserve"> </w:t>
      </w:r>
      <w:r>
        <w:rPr>
          <w:iCs/>
          <w:i/>
        </w:rPr>
        <w:t xml:space="preserve">t</w:t>
      </w:r>
      <w:r>
        <w:t xml:space="preserve">-test on log-transformed values with pairing among biological replicates. Multifactor comparisons (</w:t>
      </w:r>
      <w:r>
        <w:rPr>
          <w:iCs/>
          <w:i/>
        </w:rPr>
        <w:t xml:space="preserve">e.g.</w:t>
      </w:r>
      <w:r>
        <w:t xml:space="preserve">, BAY and oxygen) were performed using linear mixed-effects models with</w:t>
      </w:r>
      <w:r>
        <w:t xml:space="preserve"> </w:t>
      </w:r>
      <w:r>
        <w:rPr>
          <w:iCs/>
          <w:i/>
        </w:rPr>
        <w:t xml:space="preserve">post hoc</w:t>
      </w:r>
      <w:r>
        <w:t xml:space="preserve"> </w:t>
      </w:r>
      <w:r>
        <w:t xml:space="preserve">comparisons based on the multivariate</w:t>
      </w:r>
      <w:r>
        <w:t xml:space="preserve"> </w:t>
      </w:r>
      <w:r>
        <w:rPr>
          <w:iCs/>
          <w:i/>
        </w:rPr>
        <w:t xml:space="preserve">t</w:t>
      </w:r>
      <w:r>
        <w:t xml:space="preserve"> </w:t>
      </w:r>
      <w:r>
        <w:t xml:space="preserve">distribution. Metabolomics and RNA-seq data were analyzed as described above. Probability values less than 0.05 were considered significant.</w:t>
      </w:r>
    </w:p>
    <w:p>
      <w:r>
        <w:br w:type="page"/>
      </w:r>
    </w:p>
    <w:bookmarkEnd w:id="56"/>
    <w:bookmarkStart w:id="57"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https://github.com/oldhamlab/Copeland.2021.hypoxia.flux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7"/>
    <w:bookmarkEnd w:id="58"/>
    <w:bookmarkStart w:id="59"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59"/>
    <w:bookmarkStart w:id="60"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0"/>
    <w:bookmarkStart w:id="61" w:name="conflict-of-interest"/>
    <w:p>
      <w:pPr>
        <w:pStyle w:val="Heading1"/>
      </w:pPr>
      <w:r>
        <w:t xml:space="preserve">Conflict of interest</w:t>
      </w:r>
    </w:p>
    <w:p>
      <w:pPr>
        <w:pStyle w:val="FirstParagraph"/>
      </w:pPr>
      <w:r>
        <w:t xml:space="preserve">The authors declare that they have no competing interests.</w:t>
      </w:r>
    </w:p>
    <w:p>
      <w:r>
        <w:br w:type="page"/>
      </w:r>
    </w:p>
    <w:bookmarkEnd w:id="61"/>
    <w:bookmarkStart w:id="248" w:name="references"/>
    <w:p>
      <w:pPr>
        <w:pStyle w:val="Heading1"/>
      </w:pPr>
      <w:r>
        <w:t xml:space="preserve">References</w:t>
      </w:r>
    </w:p>
    <w:bookmarkStart w:id="247" w:name="refs"/>
    <w:bookmarkStart w:id="63" w:name="ref-ahn2011"/>
    <w:p>
      <w:pPr>
        <w:pStyle w:val="Bibliography"/>
      </w:pPr>
      <w:r>
        <w:t xml:space="preserve">Ahn, W.S., and Antoniewicz, M.R. (2011). Metabolic flux analysis of CHO cells at growth and non-growth phases using isotopic tracers and mass spectrometry. Metab Eng</w:t>
      </w:r>
      <w:r>
        <w:t xml:space="preserve"> </w:t>
      </w:r>
      <w:r>
        <w:rPr>
          <w:iCs/>
          <w:i/>
        </w:rPr>
        <w:t xml:space="preserve">13</w:t>
      </w:r>
      <w:r>
        <w:t xml:space="preserve">, 598–609.</w:t>
      </w:r>
      <w:r>
        <w:t xml:space="preserve"> </w:t>
      </w:r>
      <w:hyperlink r:id="rId62">
        <w:r>
          <w:rPr>
            <w:rStyle w:val="Hyperlink"/>
          </w:rPr>
          <w:t xml:space="preserve">https://doi.org/10.1016/j.ymben.2011.07.002</w:t>
        </w:r>
      </w:hyperlink>
      <w:r>
        <w:t xml:space="preserve">.</w:t>
      </w:r>
    </w:p>
    <w:bookmarkEnd w:id="63"/>
    <w:bookmarkStart w:id="65" w:name="ref-antoniewicz2018"/>
    <w:p>
      <w:pPr>
        <w:pStyle w:val="Bibliography"/>
      </w:pPr>
      <w:r>
        <w:t xml:space="preserve">Antoniewicz, M.R. (2018). A guide to 13C metabolic flux analysis for the cancer biologist. Exp Mol Med</w:t>
      </w:r>
      <w:r>
        <w:t xml:space="preserve"> </w:t>
      </w:r>
      <w:r>
        <w:rPr>
          <w:iCs/>
          <w:i/>
        </w:rPr>
        <w:t xml:space="preserve">50</w:t>
      </w:r>
      <w:r>
        <w:t xml:space="preserve">, 1–13.</w:t>
      </w:r>
      <w:r>
        <w:t xml:space="preserve"> </w:t>
      </w:r>
      <w:hyperlink r:id="rId64">
        <w:r>
          <w:rPr>
            <w:rStyle w:val="Hyperlink"/>
          </w:rPr>
          <w:t xml:space="preserve">https://doi.org/10.1038/s12276-018-0060-y</w:t>
        </w:r>
      </w:hyperlink>
      <w:r>
        <w:t xml:space="preserve">.</w:t>
      </w:r>
    </w:p>
    <w:bookmarkEnd w:id="65"/>
    <w:bookmarkStart w:id="67" w:name="ref-antoniewicz2006"/>
    <w:p>
      <w:pPr>
        <w:pStyle w:val="Bibliography"/>
      </w:pPr>
      <w:r>
        <w:t xml:space="preserve">Antoniewicz, M.R., Kelleher, J.K., and Stephanopoulos, G. (2006). Determination of confidence intervals of metabolic fluxes estimated from stable isotope measurements. Metab Eng</w:t>
      </w:r>
      <w:r>
        <w:t xml:space="preserve"> </w:t>
      </w:r>
      <w:r>
        <w:rPr>
          <w:iCs/>
          <w:i/>
        </w:rPr>
        <w:t xml:space="preserve">8</w:t>
      </w:r>
      <w:r>
        <w:t xml:space="preserve">, 324–337.</w:t>
      </w:r>
      <w:r>
        <w:t xml:space="preserve"> </w:t>
      </w:r>
      <w:hyperlink r:id="rId66">
        <w:r>
          <w:rPr>
            <w:rStyle w:val="Hyperlink"/>
          </w:rPr>
          <w:t xml:space="preserve">https://doi.org/10.1016/j.ymben.2006.01.004</w:t>
        </w:r>
      </w:hyperlink>
      <w:r>
        <w:t xml:space="preserve">.</w:t>
      </w:r>
    </w:p>
    <w:bookmarkEnd w:id="67"/>
    <w:bookmarkStart w:id="69" w:name="ref-batie2019"/>
    <w:p>
      <w:pPr>
        <w:pStyle w:val="Bibliography"/>
      </w:pPr>
      <w:r>
        <w:t xml:space="preserve">Batie, M., Frost, J., Frost, M., Wilson, J.W., Schofield, P., and Rocha, S. (2019). Hypoxia induces rapid changes to histone methylation and reprograms chromatin. Science</w:t>
      </w:r>
      <w:r>
        <w:t xml:space="preserve"> </w:t>
      </w:r>
      <w:r>
        <w:rPr>
          <w:iCs/>
          <w:i/>
        </w:rPr>
        <w:t xml:space="preserve">363</w:t>
      </w:r>
      <w:r>
        <w:t xml:space="preserve">, 1222–1226.</w:t>
      </w:r>
      <w:r>
        <w:t xml:space="preserve"> </w:t>
      </w:r>
      <w:hyperlink r:id="rId68">
        <w:r>
          <w:rPr>
            <w:rStyle w:val="Hyperlink"/>
          </w:rPr>
          <w:t xml:space="preserve">https://doi.org/10.1126/science.aau5870</w:t>
        </w:r>
      </w:hyperlink>
      <w:r>
        <w:t xml:space="preserve">.</w:t>
      </w:r>
    </w:p>
    <w:bookmarkEnd w:id="69"/>
    <w:bookmarkStart w:id="71" w:name="ref-broadhurst2018"/>
    <w:p>
      <w:pPr>
        <w:pStyle w:val="Bibliography"/>
      </w:pPr>
      <w:r>
        <w:t xml:space="preserve">Broadhurst, D., Goodacre, R., Reinke, S.N., Kuligowski, J., Wilson, I.D., Lewis, M.R., and Dunn, W.B. (2018). Guidelines and considerations for the use of system suitability and quality control samples in mass spectrometry assays applied in untargeted clinical metabolomic studies. Metabolomics</w:t>
      </w:r>
      <w:r>
        <w:t xml:space="preserve"> </w:t>
      </w:r>
      <w:r>
        <w:rPr>
          <w:iCs/>
          <w:i/>
        </w:rPr>
        <w:t xml:space="preserve">14</w:t>
      </w:r>
      <w:r>
        <w:t xml:space="preserve">, 72.</w:t>
      </w:r>
      <w:r>
        <w:t xml:space="preserve"> </w:t>
      </w:r>
      <w:hyperlink r:id="rId70">
        <w:r>
          <w:rPr>
            <w:rStyle w:val="Hyperlink"/>
          </w:rPr>
          <w:t xml:space="preserve">https://doi.org/10.1007/s11306-018-1367-3</w:t>
        </w:r>
      </w:hyperlink>
      <w:r>
        <w:t xml:space="preserve">.</w:t>
      </w:r>
    </w:p>
    <w:bookmarkEnd w:id="71"/>
    <w:bookmarkStart w:id="73" w:name="ref-buescher2015"/>
    <w:p>
      <w:pPr>
        <w:pStyle w:val="Bibliography"/>
      </w:pPr>
      <w:r>
        <w:t xml:space="preserve">Buescher, J.M., Antoniewicz, M.R., Boros, L.G., Burgess, S.C., Brunengraber, H., Clish, C.B., DeBerardinis, R.J., Feron, O., Frezza, C., Ghesquiere, B., et al. (2015). A roadmap for interpreting (13)C metabolite labeling patterns from cells. Curr Opin Biotechnol</w:t>
      </w:r>
      <w:r>
        <w:t xml:space="preserve"> </w:t>
      </w:r>
      <w:r>
        <w:rPr>
          <w:iCs/>
          <w:i/>
        </w:rPr>
        <w:t xml:space="preserve">34</w:t>
      </w:r>
      <w:r>
        <w:t xml:space="preserve">, 189–201.</w:t>
      </w:r>
      <w:r>
        <w:t xml:space="preserve"> </w:t>
      </w:r>
      <w:hyperlink r:id="rId72">
        <w:r>
          <w:rPr>
            <w:rStyle w:val="Hyperlink"/>
          </w:rPr>
          <w:t xml:space="preserve">https://doi.org/10.1016/j.copbio.2015.02.003</w:t>
        </w:r>
      </w:hyperlink>
      <w:r>
        <w:t xml:space="preserve">.</w:t>
      </w:r>
    </w:p>
    <w:bookmarkEnd w:id="73"/>
    <w:bookmarkStart w:id="74" w:name="ref-chance1955"/>
    <w:p>
      <w:pPr>
        <w:pStyle w:val="Bibliography"/>
      </w:pPr>
      <w:r>
        <w:t xml:space="preserve">Chance, B., and Williams, G.R. (1955). Respiratory enzymes in oxidative phosphorylation. III. The steady state. J Biol Chem</w:t>
      </w:r>
      <w:r>
        <w:t xml:space="preserve"> </w:t>
      </w:r>
      <w:r>
        <w:rPr>
          <w:iCs/>
          <w:i/>
        </w:rPr>
        <w:t xml:space="preserve">217</w:t>
      </w:r>
      <w:r>
        <w:t xml:space="preserve">, 409–427.</w:t>
      </w:r>
    </w:p>
    <w:bookmarkEnd w:id="74"/>
    <w:bookmarkStart w:id="76" w:name="ref-chandel1998"/>
    <w:p>
      <w:pPr>
        <w:pStyle w:val="Bibliography"/>
      </w:pPr>
      <w:r>
        <w:t xml:space="preserve">Chandel, N.S., Maltepe, E., Goldwasser, E., Mathieu, C.E., Simon, M.C., and Schumacker, P.T. (1998). Mitochondrial reactive oxygen species trigger hypoxia-induced transcription. Proc Natl Acad Sci U S A</w:t>
      </w:r>
      <w:r>
        <w:t xml:space="preserve"> </w:t>
      </w:r>
      <w:r>
        <w:rPr>
          <w:iCs/>
          <w:i/>
        </w:rPr>
        <w:t xml:space="preserve">95</w:t>
      </w:r>
      <w:r>
        <w:t xml:space="preserve">, 11715–11720.</w:t>
      </w:r>
      <w:r>
        <w:t xml:space="preserve"> </w:t>
      </w:r>
      <w:hyperlink r:id="rId75">
        <w:r>
          <w:rPr>
            <w:rStyle w:val="Hyperlink"/>
          </w:rPr>
          <w:t xml:space="preserve">https://doi.org/10.1073/pnas.95.20.11715</w:t>
        </w:r>
      </w:hyperlink>
      <w:r>
        <w:t xml:space="preserve">.</w:t>
      </w:r>
    </w:p>
    <w:bookmarkEnd w:id="76"/>
    <w:bookmarkStart w:id="78" w:name="ref-chen2009"/>
    <w:p>
      <w:pPr>
        <w:pStyle w:val="Bibliography"/>
      </w:pPr>
      <w:r>
        <w:t xml:space="preserve">Chen, B., Calvert, A.E., Cui, H., and Nelin, L.D. (2009). Hypoxia promotes human pulmonary artery smooth muscle cell proliferation through induction of arginase. American Journal of Physiology-Lung Cellular and Molecular Physiology</w:t>
      </w:r>
      <w:r>
        <w:t xml:space="preserve"> </w:t>
      </w:r>
      <w:r>
        <w:rPr>
          <w:iCs/>
          <w:i/>
        </w:rPr>
        <w:t xml:space="preserve">297</w:t>
      </w:r>
      <w:r>
        <w:t xml:space="preserve">, L1151–L1159.</w:t>
      </w:r>
      <w:r>
        <w:t xml:space="preserve"> </w:t>
      </w:r>
      <w:hyperlink r:id="rId77">
        <w:r>
          <w:rPr>
            <w:rStyle w:val="Hyperlink"/>
          </w:rPr>
          <w:t xml:space="preserve">https://doi.org/10.1152/ajplung.00183.2009</w:t>
        </w:r>
      </w:hyperlink>
      <w:r>
        <w:t xml:space="preserve">.</w:t>
      </w:r>
    </w:p>
    <w:bookmarkEnd w:id="78"/>
    <w:bookmarkStart w:id="80" w:name="ref-chen2013"/>
    <w:p>
      <w:pPr>
        <w:pStyle w:val="Bibliography"/>
      </w:pPr>
      <w:r>
        <w:t xml:space="preserve">Chen, C., Cai, S., Wang, G., Cao, X., Yang, X., Luo, X., Feng, Y., and Hu, J. (2013). c-Myc enhances colon cancer cell-mediated angiogenesis through the regulation of HIF-1α. Biochem Biophys Res Commun</w:t>
      </w:r>
      <w:r>
        <w:t xml:space="preserve"> </w:t>
      </w:r>
      <w:r>
        <w:rPr>
          <w:iCs/>
          <w:i/>
        </w:rPr>
        <w:t xml:space="preserve">430</w:t>
      </w:r>
      <w:r>
        <w:t xml:space="preserve">, 505–511.</w:t>
      </w:r>
      <w:r>
        <w:t xml:space="preserve"> </w:t>
      </w:r>
      <w:hyperlink r:id="rId79">
        <w:r>
          <w:rPr>
            <w:rStyle w:val="Hyperlink"/>
          </w:rPr>
          <w:t xml:space="preserve">https://doi.org/10.1016/j.bbrc.2012.12.006</w:t>
        </w:r>
      </w:hyperlink>
      <w:r>
        <w:t xml:space="preserve">.</w:t>
      </w:r>
    </w:p>
    <w:bookmarkEnd w:id="80"/>
    <w:bookmarkStart w:id="82" w:name="ref-contreras-baeza2019"/>
    <w:p>
      <w:pPr>
        <w:pStyle w:val="Bibliography"/>
      </w:pPr>
      <w:r>
        <w:t xml:space="preserve">Contreras-Baeza, Y., Sandoval, P.Y., Alarcon, R., Galaz, A., Cortes-Molina, F., Alegria, K., Baeza-Lehnert, F., Arce-Molina, R., Guequen, A., Flores, C.A., et al. (2019). Monocarboxylate transporter 4 (MCT4) is a high affinity transporter capable of exporting lactate in high-lactate microenvironments. J Biol Chem</w:t>
      </w:r>
      <w:r>
        <w:t xml:space="preserve"> </w:t>
      </w:r>
      <w:r>
        <w:rPr>
          <w:iCs/>
          <w:i/>
        </w:rPr>
        <w:t xml:space="preserve">294</w:t>
      </w:r>
      <w:r>
        <w:t xml:space="preserve">, 20135–20147.</w:t>
      </w:r>
      <w:r>
        <w:t xml:space="preserve"> </w:t>
      </w:r>
      <w:hyperlink r:id="rId81">
        <w:r>
          <w:rPr>
            <w:rStyle w:val="Hyperlink"/>
          </w:rPr>
          <w:t xml:space="preserve">https://doi.org/10.1074/jbc.RA119.009093</w:t>
        </w:r>
      </w:hyperlink>
      <w:r>
        <w:t xml:space="preserve">.</w:t>
      </w:r>
    </w:p>
    <w:bookmarkEnd w:id="82"/>
    <w:bookmarkStart w:id="84" w:name="ref-crown2015"/>
    <w:p>
      <w:pPr>
        <w:pStyle w:val="Bibliography"/>
      </w:pPr>
      <w:r>
        <w:t xml:space="preserve">Crown, S.B., Marze, N., and Antoniewicz, M.R. (2015). Catabolism of Branched Chain Amino Acids Contributes Significantly to Synthesis of Odd-Chain and Even-Chain Fatty Acids in 3T3-L1 Adipocytes. PLoS One</w:t>
      </w:r>
      <w:r>
        <w:t xml:space="preserve"> </w:t>
      </w:r>
      <w:r>
        <w:rPr>
          <w:iCs/>
          <w:i/>
        </w:rPr>
        <w:t xml:space="preserve">10</w:t>
      </w:r>
      <w:r>
        <w:t xml:space="preserve">, e0145850.</w:t>
      </w:r>
      <w:r>
        <w:t xml:space="preserve"> </w:t>
      </w:r>
      <w:hyperlink r:id="rId83">
        <w:r>
          <w:rPr>
            <w:rStyle w:val="Hyperlink"/>
          </w:rPr>
          <w:t xml:space="preserve">https://doi.org/10.1371/journal.pone.0145850</w:t>
        </w:r>
      </w:hyperlink>
      <w:r>
        <w:t xml:space="preserve">.</w:t>
      </w:r>
    </w:p>
    <w:bookmarkEnd w:id="84"/>
    <w:bookmarkStart w:id="86" w:name="ref-dang2012a"/>
    <w:p>
      <w:pPr>
        <w:pStyle w:val="Bibliography"/>
      </w:pPr>
      <w:r>
        <w:t xml:space="preserve">Dang, C.V. (2012). MYC on the path to cancer. Cell</w:t>
      </w:r>
      <w:r>
        <w:t xml:space="preserve"> </w:t>
      </w:r>
      <w:r>
        <w:rPr>
          <w:iCs/>
          <w:i/>
        </w:rPr>
        <w:t xml:space="preserve">149</w:t>
      </w:r>
      <w:r>
        <w:t xml:space="preserve">, 22–35.</w:t>
      </w:r>
      <w:r>
        <w:t xml:space="preserve"> </w:t>
      </w:r>
      <w:hyperlink r:id="rId85">
        <w:r>
          <w:rPr>
            <w:rStyle w:val="Hyperlink"/>
          </w:rPr>
          <w:t xml:space="preserve">https://doi.org/10.1016/j.cell.2012.03.003</w:t>
        </w:r>
      </w:hyperlink>
      <w:r>
        <w:t xml:space="preserve">.</w:t>
      </w:r>
    </w:p>
    <w:bookmarkEnd w:id="86"/>
    <w:bookmarkStart w:id="88" w:name="ref-dang2006"/>
    <w:p>
      <w:pPr>
        <w:pStyle w:val="Bibliography"/>
      </w:pPr>
      <w:r>
        <w:t xml:space="preserve">Dang, C.V., O’Donnell, K.A., Zeller, K.I., Nguyen, T., Osthus, R.C., and Li, F. (2006). The c-Myc target gene network. Semin Cancer Biol</w:t>
      </w:r>
      <w:r>
        <w:t xml:space="preserve"> </w:t>
      </w:r>
      <w:r>
        <w:rPr>
          <w:iCs/>
          <w:i/>
        </w:rPr>
        <w:t xml:space="preserve">16</w:t>
      </w:r>
      <w:r>
        <w:t xml:space="preserve">, 253–264.</w:t>
      </w:r>
      <w:r>
        <w:t xml:space="preserve"> </w:t>
      </w:r>
      <w:hyperlink r:id="rId87">
        <w:r>
          <w:rPr>
            <w:rStyle w:val="Hyperlink"/>
          </w:rPr>
          <w:t xml:space="preserve">https://doi.org/10.1016/j.semcancer.2006.07.014</w:t>
        </w:r>
      </w:hyperlink>
      <w:r>
        <w:t xml:space="preserve">.</w:t>
      </w:r>
    </w:p>
    <w:bookmarkEnd w:id="88"/>
    <w:bookmarkStart w:id="90" w:name="ref-dieterle2006"/>
    <w:p>
      <w:pPr>
        <w:pStyle w:val="Bibliography"/>
      </w:pPr>
      <w:r>
        <w:t xml:space="preserve">Dieterle, F., Ross, A., Schlotterbeck, G., and Senn, H. (2006). Probabilistic quotient normalization as robust method to account for dilution of complex biological mixtures. Application in 1H NMR metabonomics. Anal Chem</w:t>
      </w:r>
      <w:r>
        <w:t xml:space="preserve"> </w:t>
      </w:r>
      <w:r>
        <w:rPr>
          <w:iCs/>
          <w:i/>
        </w:rPr>
        <w:t xml:space="preserve">78</w:t>
      </w:r>
      <w:r>
        <w:t xml:space="preserve">, 4281–4290.</w:t>
      </w:r>
      <w:r>
        <w:t xml:space="preserve"> </w:t>
      </w:r>
      <w:hyperlink r:id="rId89">
        <w:r>
          <w:rPr>
            <w:rStyle w:val="Hyperlink"/>
          </w:rPr>
          <w:t xml:space="preserve">https://doi.org/10.1021/ac051632c</w:t>
        </w:r>
      </w:hyperlink>
      <w:r>
        <w:t xml:space="preserve">.</w:t>
      </w:r>
    </w:p>
    <w:bookmarkEnd w:id="90"/>
    <w:bookmarkStart w:id="92" w:name="ref-doe2012"/>
    <w:p>
      <w:pPr>
        <w:pStyle w:val="Bibliography"/>
      </w:pPr>
      <w:r>
        <w:t xml:space="preserve">Doe, M.R., Ascano, J.M., Kaur, M., and Cole, M.D. (2012). Myc posttranscriptionally induces HIF1 protein and target gene expression in normal and cancer cells. Cancer Res</w:t>
      </w:r>
      <w:r>
        <w:t xml:space="preserve"> </w:t>
      </w:r>
      <w:r>
        <w:rPr>
          <w:iCs/>
          <w:i/>
        </w:rPr>
        <w:t xml:space="preserve">72</w:t>
      </w:r>
      <w:r>
        <w:t xml:space="preserve">, 949–957.</w:t>
      </w:r>
      <w:r>
        <w:t xml:space="preserve"> </w:t>
      </w:r>
      <w:hyperlink r:id="rId91">
        <w:r>
          <w:rPr>
            <w:rStyle w:val="Hyperlink"/>
          </w:rPr>
          <w:t xml:space="preserve">https://doi.org/10.1158/0008-5472.CAN-11-2371</w:t>
        </w:r>
      </w:hyperlink>
      <w:r>
        <w:t xml:space="preserve">.</w:t>
      </w:r>
    </w:p>
    <w:bookmarkEnd w:id="92"/>
    <w:bookmarkStart w:id="94" w:name="ref-fan2013"/>
    <w:p>
      <w:pPr>
        <w:pStyle w:val="Bibliography"/>
      </w:pPr>
      <w:r>
        <w:t xml:space="preserve">Fan, J., Kamphorst, J.J., Mathew, R., Chung, M.K., White, E., Shlomi, T., and Rabinowitz, J.D. (2013). Glutamine-driven oxidative phosphorylation is a major ATP source in transformed mammalian cells in both normoxia and hypoxia. Mol Syst Biol</w:t>
      </w:r>
      <w:r>
        <w:t xml:space="preserve"> </w:t>
      </w:r>
      <w:r>
        <w:rPr>
          <w:iCs/>
          <w:i/>
        </w:rPr>
        <w:t xml:space="preserve">9</w:t>
      </w:r>
      <w:r>
        <w:t xml:space="preserve">, 712.</w:t>
      </w:r>
      <w:r>
        <w:t xml:space="preserve"> </w:t>
      </w:r>
      <w:hyperlink r:id="rId93">
        <w:r>
          <w:rPr>
            <w:rStyle w:val="Hyperlink"/>
          </w:rPr>
          <w:t xml:space="preserve">https://doi.org/10.1038/msb.2013.65</w:t>
        </w:r>
      </w:hyperlink>
      <w:r>
        <w:t xml:space="preserve">.</w:t>
      </w:r>
    </w:p>
    <w:bookmarkEnd w:id="94"/>
    <w:bookmarkStart w:id="96" w:name="ref-faubert2013"/>
    <w:p>
      <w:pPr>
        <w:pStyle w:val="Bibliography"/>
      </w:pPr>
      <w:r>
        <w:t xml:space="preserve">Faubert, B., Boily, G., Izreig, S., Griss, T., Samborska, B., Dong, Z., Dupuy, F., Chambers, C., Fuerth, B.J., Viollet, B., et al. (2013). AMPK is a negative regulator of the Warburg effect and suppresses tumor growth in vivo. Cell Metab</w:t>
      </w:r>
      <w:r>
        <w:t xml:space="preserve"> </w:t>
      </w:r>
      <w:r>
        <w:rPr>
          <w:iCs/>
          <w:i/>
        </w:rPr>
        <w:t xml:space="preserve">17</w:t>
      </w:r>
      <w:r>
        <w:t xml:space="preserve">, 113–124.</w:t>
      </w:r>
      <w:r>
        <w:t xml:space="preserve"> </w:t>
      </w:r>
      <w:hyperlink r:id="rId95">
        <w:r>
          <w:rPr>
            <w:rStyle w:val="Hyperlink"/>
          </w:rPr>
          <w:t xml:space="preserve">https://doi.org/10.1016/j.cmet.2012.12.001</w:t>
        </w:r>
      </w:hyperlink>
      <w:r>
        <w:t xml:space="preserve">.</w:t>
      </w:r>
    </w:p>
    <w:bookmarkEnd w:id="96"/>
    <w:bookmarkStart w:id="98" w:name="ref-faubert2017"/>
    <w:p>
      <w:pPr>
        <w:pStyle w:val="Bibliography"/>
      </w:pPr>
      <w:r>
        <w:t xml:space="preserve">Faubert, B., Li, K.Y., Cai, L., Hensley, C.T., Kim, J., Zacharias, L.G., Yang, C., Do, Q.N., Doucette, S., Burguete, D., et al. (2017). Lactate Metabolism in Human Lung Tumors. Cell</w:t>
      </w:r>
      <w:r>
        <w:t xml:space="preserve"> </w:t>
      </w:r>
      <w:r>
        <w:rPr>
          <w:iCs/>
          <w:i/>
        </w:rPr>
        <w:t xml:space="preserve">171</w:t>
      </w:r>
      <w:r>
        <w:t xml:space="preserve">, 358–371 e9.</w:t>
      </w:r>
      <w:r>
        <w:t xml:space="preserve"> </w:t>
      </w:r>
      <w:hyperlink r:id="rId97">
        <w:r>
          <w:rPr>
            <w:rStyle w:val="Hyperlink"/>
          </w:rPr>
          <w:t xml:space="preserve">https://doi.org/10.1016/j.cell.2017.09.019</w:t>
        </w:r>
      </w:hyperlink>
      <w:r>
        <w:t xml:space="preserve">.</w:t>
      </w:r>
    </w:p>
    <w:bookmarkEnd w:id="98"/>
    <w:bookmarkStart w:id="100" w:name="ref-favaro2012"/>
    <w:p>
      <w:pPr>
        <w:pStyle w:val="Bibliography"/>
      </w:pPr>
      <w:r>
        <w:t xml:space="preserve">Favaro, E., Bensaad, K., Chong, M.G., Tennant, D.A., Ferguson, D.J., Snell, C., Steers, G., Turley, H., Li, J.L., Gunther, U.L., et al. (2012). Glucose utilization via glycogen phosphorylase sustains proliferation and prevents premature senescence in cancer cells. Cell Metab</w:t>
      </w:r>
      <w:r>
        <w:t xml:space="preserve"> </w:t>
      </w:r>
      <w:r>
        <w:rPr>
          <w:iCs/>
          <w:i/>
        </w:rPr>
        <w:t xml:space="preserve">16</w:t>
      </w:r>
      <w:r>
        <w:t xml:space="preserve">, 751–764.</w:t>
      </w:r>
      <w:r>
        <w:t xml:space="preserve"> </w:t>
      </w:r>
      <w:hyperlink r:id="rId99">
        <w:r>
          <w:rPr>
            <w:rStyle w:val="Hyperlink"/>
          </w:rPr>
          <w:t xml:space="preserve">https://doi.org/10.1016/j.cmet.2012.10.017</w:t>
        </w:r>
      </w:hyperlink>
      <w:r>
        <w:t xml:space="preserve">.</w:t>
      </w:r>
    </w:p>
    <w:bookmarkEnd w:id="100"/>
    <w:bookmarkStart w:id="102" w:name="ref-fernandez1996"/>
    <w:p>
      <w:pPr>
        <w:pStyle w:val="Bibliography"/>
      </w:pPr>
      <w:r>
        <w:t xml:space="preserve">Fernandez, C.A., Des Rosiers, C., Previs, S.F., David, F., and Brunengraber, H. (1996). Correction of 13C mass isotopomer distributions for natural stable isotope abundance. J Mass Spectrom</w:t>
      </w:r>
      <w:r>
        <w:t xml:space="preserve"> </w:t>
      </w:r>
      <w:r>
        <w:rPr>
          <w:iCs/>
          <w:i/>
        </w:rPr>
        <w:t xml:space="preserve">31</w:t>
      </w:r>
      <w:r>
        <w:t xml:space="preserve">, 255–262.</w:t>
      </w:r>
      <w:r>
        <w:t xml:space="preserve"> </w:t>
      </w:r>
      <w:hyperlink r:id="rId101">
        <w:r>
          <w:rPr>
            <w:rStyle w:val="Hyperlink"/>
          </w:rPr>
          <w:t xml:space="preserve">https://doi.org/10.1002/(SICI)1096-9888(199603)31:3&lt;255::AID-JMS290&gt;3.0.CO;2-3</w:t>
        </w:r>
      </w:hyperlink>
      <w:r>
        <w:t xml:space="preserve">.</w:t>
      </w:r>
    </w:p>
    <w:bookmarkEnd w:id="102"/>
    <w:bookmarkStart w:id="104" w:name="ref-fessel2012"/>
    <w:p>
      <w:pPr>
        <w:pStyle w:val="Bibliography"/>
      </w:pPr>
      <w:r>
        <w:t xml:space="preserve">Fessel, J.P., Hamid, R., Wittmann, B.M., Robinson, L.J., Blackwell, T., Tada, Y., Tanabe, N., Tatsumi, K., Hemnes, A.R., and West, J.D. (2012). Metabolomic analysis of bone morphogenetic protein receptor type 2 mutations in human pulmonary endothelium reveals widespread metabolic reprogramming. Pulm Circ</w:t>
      </w:r>
      <w:r>
        <w:t xml:space="preserve"> </w:t>
      </w:r>
      <w:r>
        <w:rPr>
          <w:iCs/>
          <w:i/>
        </w:rPr>
        <w:t xml:space="preserve">2</w:t>
      </w:r>
      <w:r>
        <w:t xml:space="preserve">, 201–213.</w:t>
      </w:r>
      <w:r>
        <w:t xml:space="preserve"> </w:t>
      </w:r>
      <w:hyperlink r:id="rId103">
        <w:r>
          <w:rPr>
            <w:rStyle w:val="Hyperlink"/>
          </w:rPr>
          <w:t xml:space="preserve">https://doi.org/10.4103/2045-8932.97606</w:t>
        </w:r>
      </w:hyperlink>
      <w:r>
        <w:t xml:space="preserve">.</w:t>
      </w:r>
    </w:p>
    <w:bookmarkEnd w:id="104"/>
    <w:bookmarkStart w:id="106" w:name="ref-flamme2014"/>
    <w:p>
      <w:pPr>
        <w:pStyle w:val="Bibliography"/>
      </w:pPr>
      <w:r>
        <w:t xml:space="preserve">Flamme, I., Oehme, F., Ellinghaus, P., Jeske, M., Keldenich, J., and Thuss, U. (2014). Mimicking hypoxia to treat anemia: HIF-stabilizer BAY 85-3934 (Molidustat) stimulates erythropoietin production without hypertensive effects. PLoS One</w:t>
      </w:r>
      <w:r>
        <w:t xml:space="preserve"> </w:t>
      </w:r>
      <w:r>
        <w:rPr>
          <w:iCs/>
          <w:i/>
        </w:rPr>
        <w:t xml:space="preserve">9</w:t>
      </w:r>
      <w:r>
        <w:t xml:space="preserve">, e111838.</w:t>
      </w:r>
      <w:r>
        <w:t xml:space="preserve"> </w:t>
      </w:r>
      <w:hyperlink r:id="rId105">
        <w:r>
          <w:rPr>
            <w:rStyle w:val="Hyperlink"/>
          </w:rPr>
          <w:t xml:space="preserve">https://doi.org/10.1371/journal.pone.0111838</w:t>
        </w:r>
      </w:hyperlink>
      <w:r>
        <w:t xml:space="preserve">.</w:t>
      </w:r>
    </w:p>
    <w:bookmarkEnd w:id="106"/>
    <w:bookmarkStart w:id="108" w:name="ref-gameiro2013"/>
    <w:p>
      <w:pPr>
        <w:pStyle w:val="Bibliography"/>
      </w:pPr>
      <w:r>
        <w:t xml:space="preserve">Gameiro, P.A., Laviolette, L.A., Kelleher, J.K., Iliopoulos, O., and Stephanopoulos, G. (2013b). Cofactor balance by nicotinamide nucleotide transhydrogenase (NNT) coordinates reductive carboxylation and glucose catabolism in the tricarboxylic acid (TCA) cycle. J Biol Chem</w:t>
      </w:r>
      <w:r>
        <w:t xml:space="preserve"> </w:t>
      </w:r>
      <w:r>
        <w:rPr>
          <w:iCs/>
          <w:i/>
        </w:rPr>
        <w:t xml:space="preserve">288</w:t>
      </w:r>
      <w:r>
        <w:t xml:space="preserve">, 12967–12977.</w:t>
      </w:r>
      <w:r>
        <w:t xml:space="preserve"> </w:t>
      </w:r>
      <w:hyperlink r:id="rId107">
        <w:r>
          <w:rPr>
            <w:rStyle w:val="Hyperlink"/>
          </w:rPr>
          <w:t xml:space="preserve">https://doi.org/10.1074/jbc.M112.396796</w:t>
        </w:r>
      </w:hyperlink>
      <w:r>
        <w:t xml:space="preserve">.</w:t>
      </w:r>
    </w:p>
    <w:bookmarkEnd w:id="108"/>
    <w:bookmarkStart w:id="110" w:name="ref-gameiro2013a"/>
    <w:p>
      <w:pPr>
        <w:pStyle w:val="Bibliography"/>
      </w:pPr>
      <w:r>
        <w:t xml:space="preserve">Gameiro, P.A., Yang, J., Metelo, A.M., Perez-Carro, R., Baker, R., Wang, Z., Arreola, A., Rathmell, W.K., Olumi, A., Lopez-Larrubia, P., et al. (2013a). In vivo HIF-mediated reductive carboxylation is regulated by citrate levels and sensitizes VHL-deficient cells to glutamine deprivation. Cell Metab</w:t>
      </w:r>
      <w:r>
        <w:t xml:space="preserve"> </w:t>
      </w:r>
      <w:r>
        <w:rPr>
          <w:iCs/>
          <w:i/>
        </w:rPr>
        <w:t xml:space="preserve">17</w:t>
      </w:r>
      <w:r>
        <w:t xml:space="preserve">, 372–385.</w:t>
      </w:r>
      <w:r>
        <w:t xml:space="preserve"> </w:t>
      </w:r>
      <w:hyperlink r:id="rId109">
        <w:r>
          <w:rPr>
            <w:rStyle w:val="Hyperlink"/>
          </w:rPr>
          <w:t xml:space="preserve">https://doi.org/10.1016/j.cmet.2013.02.002</w:t>
        </w:r>
      </w:hyperlink>
      <w:r>
        <w:t xml:space="preserve">.</w:t>
      </w:r>
    </w:p>
    <w:bookmarkEnd w:id="110"/>
    <w:bookmarkStart w:id="112" w:name="ref-garcia-alonso2019"/>
    <w:p>
      <w:pPr>
        <w:pStyle w:val="Bibliography"/>
      </w:pPr>
      <w:r>
        <w:t xml:space="preserve">Garcia-Alonso, L., Holland, C.H., Ibrahim, M.M., Turei, D., and Saez-Rodriguez, J. (2019). Benchmark and integration of resources for the estimation of human transcription factor activities. Genome Res</w:t>
      </w:r>
      <w:r>
        <w:t xml:space="preserve"> </w:t>
      </w:r>
      <w:r>
        <w:rPr>
          <w:iCs/>
          <w:i/>
        </w:rPr>
        <w:t xml:space="preserve">29</w:t>
      </w:r>
      <w:r>
        <w:t xml:space="preserve">, 1363–1375.</w:t>
      </w:r>
      <w:r>
        <w:t xml:space="preserve"> </w:t>
      </w:r>
      <w:hyperlink r:id="rId111">
        <w:r>
          <w:rPr>
            <w:rStyle w:val="Hyperlink"/>
          </w:rPr>
          <w:t xml:space="preserve">https://doi.org/10.1101/gr.240663.118</w:t>
        </w:r>
      </w:hyperlink>
      <w:r>
        <w:t xml:space="preserve">.</w:t>
      </w:r>
    </w:p>
    <w:bookmarkEnd w:id="112"/>
    <w:bookmarkStart w:id="114" w:name="ref-garcia-bermudez2018"/>
    <w:p>
      <w:pPr>
        <w:pStyle w:val="Bibliography"/>
      </w:pPr>
      <w:r>
        <w:t xml:space="preserve">Garcia-Bermudez, J., Baudrier, L., La, K., Zhu, X.G., Fidelin, J., Sviderskiy, V.O., Papagiannakopoulos, T., Molina, H., Snuderl, M., Lewis, C.A., et al. (2018). Aspartate is a limiting metabolite for cancer cell proliferation under hypoxia and in tumours. Nat Cell Biol</w:t>
      </w:r>
      <w:r>
        <w:t xml:space="preserve"> </w:t>
      </w:r>
      <w:r>
        <w:rPr>
          <w:iCs/>
          <w:i/>
        </w:rPr>
        <w:t xml:space="preserve">20</w:t>
      </w:r>
      <w:r>
        <w:t xml:space="preserve">, 775–781.</w:t>
      </w:r>
      <w:r>
        <w:t xml:space="preserve"> </w:t>
      </w:r>
      <w:hyperlink r:id="rId113">
        <w:r>
          <w:rPr>
            <w:rStyle w:val="Hyperlink"/>
          </w:rPr>
          <w:t xml:space="preserve">https://doi.org/10.1038/s41556-018-0118-z</w:t>
        </w:r>
      </w:hyperlink>
      <w:r>
        <w:t xml:space="preserve">.</w:t>
      </w:r>
    </w:p>
    <w:bookmarkEnd w:id="114"/>
    <w:bookmarkStart w:id="116" w:name="ref-gardner2001"/>
    <w:p>
      <w:pPr>
        <w:pStyle w:val="Bibliography"/>
      </w:pPr>
      <w:r>
        <w:t xml:space="preserve">Gardner, L.B., Li, Q., Park, M.S., Flanagan, W.M., Semenza, G.L., and Dang, C.V. (2001). Hypoxia inhibits G1/S transition through regulation of p27 expression. J Biol Chem</w:t>
      </w:r>
      <w:r>
        <w:t xml:space="preserve"> </w:t>
      </w:r>
      <w:r>
        <w:rPr>
          <w:iCs/>
          <w:i/>
        </w:rPr>
        <w:t xml:space="preserve">276</w:t>
      </w:r>
      <w:r>
        <w:t xml:space="preserve">, 7919–7926.</w:t>
      </w:r>
      <w:r>
        <w:t xml:space="preserve"> </w:t>
      </w:r>
      <w:hyperlink r:id="rId115">
        <w:r>
          <w:rPr>
            <w:rStyle w:val="Hyperlink"/>
          </w:rPr>
          <w:t xml:space="preserve">https://doi.org/10.1074/jbc.M010189200</w:t>
        </w:r>
      </w:hyperlink>
      <w:r>
        <w:t xml:space="preserve">.</w:t>
      </w:r>
    </w:p>
    <w:bookmarkEnd w:id="116"/>
    <w:bookmarkStart w:id="118" w:name="ref-garofalo1988"/>
    <w:p>
      <w:pPr>
        <w:pStyle w:val="Bibliography"/>
      </w:pPr>
      <w:r>
        <w:t xml:space="preserve">Garofalo, O., Cox, D.W., and Bachelard, H.S. (1988). Brain levels of NADH and NAD+ under hypoxic and hypoglycaemic conditions in vitro. J Neurochem</w:t>
      </w:r>
      <w:r>
        <w:t xml:space="preserve"> </w:t>
      </w:r>
      <w:r>
        <w:rPr>
          <w:iCs/>
          <w:i/>
        </w:rPr>
        <w:t xml:space="preserve">51</w:t>
      </w:r>
      <w:r>
        <w:t xml:space="preserve">, 172–176.</w:t>
      </w:r>
      <w:r>
        <w:t xml:space="preserve"> </w:t>
      </w:r>
      <w:hyperlink r:id="rId117">
        <w:r>
          <w:rPr>
            <w:rStyle w:val="Hyperlink"/>
          </w:rPr>
          <w:t xml:space="preserve">https://doi.org/10.1111/j.1471-4159.1988.tb04851.x</w:t>
        </w:r>
      </w:hyperlink>
      <w:r>
        <w:t xml:space="preserve">.</w:t>
      </w:r>
    </w:p>
    <w:bookmarkEnd w:id="118"/>
    <w:bookmarkStart w:id="120" w:name="ref-gordan2007"/>
    <w:p>
      <w:pPr>
        <w:pStyle w:val="Bibliography"/>
      </w:pPr>
      <w:r>
        <w:t xml:space="preserve">Gordan, J.D., Bertout, J.A., Hu, C.J., Diehl, J.A., and Simon, M.C. (2007). HIF-2alpha promotes hypoxic cell proliferation by enhancing c-myc transcriptional activity. Cancer Cell</w:t>
      </w:r>
      <w:r>
        <w:t xml:space="preserve"> </w:t>
      </w:r>
      <w:r>
        <w:rPr>
          <w:iCs/>
          <w:i/>
        </w:rPr>
        <w:t xml:space="preserve">11</w:t>
      </w:r>
      <w:r>
        <w:t xml:space="preserve">, 335–347.</w:t>
      </w:r>
      <w:r>
        <w:t xml:space="preserve"> </w:t>
      </w:r>
      <w:hyperlink r:id="rId119">
        <w:r>
          <w:rPr>
            <w:rStyle w:val="Hyperlink"/>
          </w:rPr>
          <w:t xml:space="preserve">https://doi.org/10.1016/j.ccr.2007.02.006</w:t>
        </w:r>
      </w:hyperlink>
      <w:r>
        <w:t xml:space="preserve">.</w:t>
      </w:r>
    </w:p>
    <w:bookmarkEnd w:id="120"/>
    <w:bookmarkStart w:id="122" w:name="ref-grassian2014"/>
    <w:p>
      <w:pPr>
        <w:pStyle w:val="Bibliography"/>
      </w:pPr>
      <w:r>
        <w:t xml:space="preserve">Grassian, A.R., Parker, S.J., Davidson, S.M., Divakaruni, A.S., Green, C.R., Zhang, X., Slocum, K.L., Pu, M., Lin, F., Vickers, C., et al. (2014). IDH1 mutations alter citric acid cycle metabolism and increase dependence on oxidative mitochondrial metabolism. Cancer Res</w:t>
      </w:r>
      <w:r>
        <w:t xml:space="preserve"> </w:t>
      </w:r>
      <w:r>
        <w:rPr>
          <w:iCs/>
          <w:i/>
        </w:rPr>
        <w:t xml:space="preserve">74</w:t>
      </w:r>
      <w:r>
        <w:t xml:space="preserve">, 3317–3331.</w:t>
      </w:r>
      <w:r>
        <w:t xml:space="preserve"> </w:t>
      </w:r>
      <w:hyperlink r:id="rId121">
        <w:r>
          <w:rPr>
            <w:rStyle w:val="Hyperlink"/>
          </w:rPr>
          <w:t xml:space="preserve">https://doi.org/10.1158/0008-5472.CAN-14-0772-T</w:t>
        </w:r>
      </w:hyperlink>
      <w:r>
        <w:t xml:space="preserve">.</w:t>
      </w:r>
    </w:p>
    <w:bookmarkEnd w:id="122"/>
    <w:bookmarkStart w:id="124" w:name="ref-guarino2019"/>
    <w:p>
      <w:pPr>
        <w:pStyle w:val="Bibliography"/>
      </w:pPr>
      <w:r>
        <w:t xml:space="preserve">Guarino, V.A., Oldham, W.M., Loscalzo, J., and Zhang, Y.Y. (2019). Reaction rate of pyruvate and hydrogen peroxide: assessing antioxidant capacity of pyruvate under biological conditions. Sci Rep</w:t>
      </w:r>
      <w:r>
        <w:t xml:space="preserve"> </w:t>
      </w:r>
      <w:r>
        <w:rPr>
          <w:iCs/>
          <w:i/>
        </w:rPr>
        <w:t xml:space="preserve">9</w:t>
      </w:r>
      <w:r>
        <w:t xml:space="preserve">, 19568.</w:t>
      </w:r>
      <w:r>
        <w:t xml:space="preserve"> </w:t>
      </w:r>
      <w:hyperlink r:id="rId123">
        <w:r>
          <w:rPr>
            <w:rStyle w:val="Hyperlink"/>
          </w:rPr>
          <w:t xml:space="preserve">https://doi.org/10.1038/s41598-019-55951-9</w:t>
        </w:r>
      </w:hyperlink>
      <w:r>
        <w:t xml:space="preserve">.</w:t>
      </w:r>
    </w:p>
    <w:bookmarkEnd w:id="124"/>
    <w:bookmarkStart w:id="126" w:name="ref-guzy2005"/>
    <w:p>
      <w:pPr>
        <w:pStyle w:val="Bibliography"/>
      </w:pPr>
      <w:r>
        <w:t xml:space="preserve">Guzy, R.D., Hoyos, B., Robin, E., Chen, H., Liu, L., Mansfield, K.D., Simon, M.C., Hammerling, U., and Schumacker, P.T. (2005). Mitochondrial complex III is required for hypoxia-induced ROS production and cellular oxygen sensing. Cell Metab</w:t>
      </w:r>
      <w:r>
        <w:t xml:space="preserve"> </w:t>
      </w:r>
      <w:r>
        <w:rPr>
          <w:iCs/>
          <w:i/>
        </w:rPr>
        <w:t xml:space="preserve">1</w:t>
      </w:r>
      <w:r>
        <w:t xml:space="preserve">, 401–408.</w:t>
      </w:r>
      <w:r>
        <w:t xml:space="preserve"> </w:t>
      </w:r>
      <w:hyperlink r:id="rId125">
        <w:r>
          <w:rPr>
            <w:rStyle w:val="Hyperlink"/>
          </w:rPr>
          <w:t xml:space="preserve">https://doi.org/10.1016/j.cmet.2005.05.001</w:t>
        </w:r>
      </w:hyperlink>
      <w:r>
        <w:t xml:space="preserve">.</w:t>
      </w:r>
    </w:p>
    <w:bookmarkEnd w:id="126"/>
    <w:bookmarkStart w:id="128" w:name="ref-hubbi2015"/>
    <w:p>
      <w:pPr>
        <w:pStyle w:val="Bibliography"/>
      </w:pPr>
      <w:r>
        <w:t xml:space="preserve">Hubbi, M.E., and Semenza, G.L. (2015). Regulation of cell proliferation by hypoxia-inducible factors. Am J Physiol Cell Physiol</w:t>
      </w:r>
      <w:r>
        <w:t xml:space="preserve"> </w:t>
      </w:r>
      <w:r>
        <w:rPr>
          <w:iCs/>
          <w:i/>
        </w:rPr>
        <w:t xml:space="preserve">309</w:t>
      </w:r>
      <w:r>
        <w:t xml:space="preserve">, C775–82.</w:t>
      </w:r>
      <w:r>
        <w:t xml:space="preserve"> </w:t>
      </w:r>
      <w:hyperlink r:id="rId127">
        <w:r>
          <w:rPr>
            <w:rStyle w:val="Hyperlink"/>
          </w:rPr>
          <w:t xml:space="preserve">https://doi.org/10.1152/ajpcell.00279.2015</w:t>
        </w:r>
      </w:hyperlink>
      <w:r>
        <w:t xml:space="preserve">.</w:t>
      </w:r>
    </w:p>
    <w:bookmarkEnd w:id="128"/>
    <w:bookmarkStart w:id="130" w:name="ref-hui2017"/>
    <w:p>
      <w:pPr>
        <w:pStyle w:val="Bibliography"/>
      </w:pPr>
      <w:r>
        <w:t xml:space="preserve">Hui, S., Ghergurovich, J.M., Morscher, R.J., Jang, C., Teng, X., Lu, W., Esparza, L.A., Reya, T., Le, Z., Yanxiang Guo, J., et al. (2017). Glucose feeds the TCA cycle via circulating lactate. Nature</w:t>
      </w:r>
      <w:r>
        <w:t xml:space="preserve"> </w:t>
      </w:r>
      <w:r>
        <w:rPr>
          <w:iCs/>
          <w:i/>
        </w:rPr>
        <w:t xml:space="preserve">551</w:t>
      </w:r>
      <w:r>
        <w:t xml:space="preserve">, 115–118.</w:t>
      </w:r>
      <w:r>
        <w:t xml:space="preserve"> </w:t>
      </w:r>
      <w:hyperlink r:id="rId129">
        <w:r>
          <w:rPr>
            <w:rStyle w:val="Hyperlink"/>
          </w:rPr>
          <w:t xml:space="preserve">https://doi.org/10.1038/nature24057</w:t>
        </w:r>
      </w:hyperlink>
      <w:r>
        <w:t xml:space="preserve">.</w:t>
      </w:r>
    </w:p>
    <w:bookmarkEnd w:id="130"/>
    <w:bookmarkStart w:id="132" w:name="ref-hui2020"/>
    <w:p>
      <w:pPr>
        <w:pStyle w:val="Bibliography"/>
      </w:pPr>
      <w:r>
        <w:t xml:space="preserve">Hui, S., Cowan, A.J., Zeng, X., Yang, L., TeSlaa, T., Li, X., Bartman, C., Zhang, Z., Jang, C., Wang, L., et al. (2020). Quantitative Fluxomics of Circulating Metabolites. Cell Metab</w:t>
      </w:r>
      <w:r>
        <w:t xml:space="preserve"> </w:t>
      </w:r>
      <w:hyperlink r:id="rId131">
        <w:r>
          <w:rPr>
            <w:rStyle w:val="Hyperlink"/>
          </w:rPr>
          <w:t xml:space="preserve">https://doi.org/10.1016/j.cmet.2020.07.013</w:t>
        </w:r>
      </w:hyperlink>
      <w:r>
        <w:t xml:space="preserve">.</w:t>
      </w:r>
    </w:p>
    <w:bookmarkEnd w:id="132"/>
    <w:bookmarkStart w:id="134" w:name="ref-hydbring2017"/>
    <w:p>
      <w:pPr>
        <w:pStyle w:val="Bibliography"/>
      </w:pPr>
      <w:r>
        <w:t xml:space="preserve">Hydbring, P., Castell, A., and Larsson, L.-G. (2017). MYC Modulation around the CDK2/p27/SKP2 Axis. Genes (Basel)</w:t>
      </w:r>
      <w:r>
        <w:t xml:space="preserve"> </w:t>
      </w:r>
      <w:r>
        <w:rPr>
          <w:iCs/>
          <w:i/>
        </w:rPr>
        <w:t xml:space="preserve">8</w:t>
      </w:r>
      <w:r>
        <w:t xml:space="preserve">, 174.</w:t>
      </w:r>
      <w:r>
        <w:t xml:space="preserve"> </w:t>
      </w:r>
      <w:hyperlink r:id="rId133">
        <w:r>
          <w:rPr>
            <w:rStyle w:val="Hyperlink"/>
          </w:rPr>
          <w:t xml:space="preserve">https://doi.org/10.3390/genes8070174</w:t>
        </w:r>
      </w:hyperlink>
      <w:r>
        <w:t xml:space="preserve">.</w:t>
      </w:r>
    </w:p>
    <w:bookmarkEnd w:id="134"/>
    <w:bookmarkStart w:id="136" w:name="ref-islam2018"/>
    <w:p>
      <w:pPr>
        <w:pStyle w:val="Bibliography"/>
      </w:pPr>
      <w:r>
        <w:t xml:space="preserve">Islam, M.S., Leissing, T.M., Chowdhury, R., Hopkinson, R.J., and Schofield, C.J. (2018). 2-Oxoglutarate-Dependent Oxygenases. Annu Rev Biochem</w:t>
      </w:r>
      <w:r>
        <w:t xml:space="preserve"> </w:t>
      </w:r>
      <w:r>
        <w:rPr>
          <w:iCs/>
          <w:i/>
        </w:rPr>
        <w:t xml:space="preserve">87</w:t>
      </w:r>
      <w:r>
        <w:t xml:space="preserve">, 585–620.</w:t>
      </w:r>
      <w:r>
        <w:t xml:space="preserve"> </w:t>
      </w:r>
      <w:hyperlink r:id="rId135">
        <w:r>
          <w:rPr>
            <w:rStyle w:val="Hyperlink"/>
          </w:rPr>
          <w:t xml:space="preserve">https://doi.org/10.1146/annurev-biochem-061516-044724</w:t>
        </w:r>
      </w:hyperlink>
      <w:r>
        <w:t xml:space="preserve">.</w:t>
      </w:r>
    </w:p>
    <w:bookmarkEnd w:id="136"/>
    <w:bookmarkStart w:id="138" w:name="ref-jain2020"/>
    <w:p>
      <w:pPr>
        <w:pStyle w:val="Bibliography"/>
      </w:pPr>
      <w:r>
        <w:t xml:space="preserve">Jain, I.H., Calvo, S.E., Markhard, A.L., Skinner, O.S., To, T.L., Ast, T., and Mootha, V.K. (2020). Genetic Screen for Cell Fitness in High or Low Oxygen Highlights Mitochondrial and Lipid Metabolism. Cell</w:t>
      </w:r>
      <w:r>
        <w:t xml:space="preserve"> </w:t>
      </w:r>
      <w:r>
        <w:rPr>
          <w:iCs/>
          <w:i/>
        </w:rPr>
        <w:t xml:space="preserve">181</w:t>
      </w:r>
      <w:r>
        <w:t xml:space="preserve">, 716–727 e11.</w:t>
      </w:r>
      <w:r>
        <w:t xml:space="preserve"> </w:t>
      </w:r>
      <w:hyperlink r:id="rId137">
        <w:r>
          <w:rPr>
            <w:rStyle w:val="Hyperlink"/>
          </w:rPr>
          <w:t xml:space="preserve">https://doi.org/10.1016/j.cell.2020.03.029</w:t>
        </w:r>
      </w:hyperlink>
      <w:r>
        <w:t xml:space="preserve">.</w:t>
      </w:r>
    </w:p>
    <w:bookmarkEnd w:id="138"/>
    <w:bookmarkStart w:id="140" w:name="ref-jazmin2013"/>
    <w:p>
      <w:pPr>
        <w:pStyle w:val="Bibliography"/>
      </w:pPr>
      <w:r>
        <w:t xml:space="preserve">Jazmin, L.J., and Young, J.D. (2013). Isotopically nonstationary 13C metabolic flux analysis. Methods Mol Biol</w:t>
      </w:r>
      <w:r>
        <w:t xml:space="preserve"> </w:t>
      </w:r>
      <w:r>
        <w:rPr>
          <w:iCs/>
          <w:i/>
        </w:rPr>
        <w:t xml:space="preserve">985</w:t>
      </w:r>
      <w:r>
        <w:t xml:space="preserve">, 367–390.</w:t>
      </w:r>
      <w:r>
        <w:t xml:space="preserve"> </w:t>
      </w:r>
      <w:hyperlink r:id="rId139">
        <w:r>
          <w:rPr>
            <w:rStyle w:val="Hyperlink"/>
          </w:rPr>
          <w:t xml:space="preserve">https://doi.org/10.1007/978-1-62703-299-5_18</w:t>
        </w:r>
      </w:hyperlink>
      <w:r>
        <w:t xml:space="preserve">.</w:t>
      </w:r>
    </w:p>
    <w:bookmarkEnd w:id="140"/>
    <w:bookmarkStart w:id="142" w:name="ref-jiang2016"/>
    <w:p>
      <w:pPr>
        <w:pStyle w:val="Bibliography"/>
      </w:pPr>
      <w:r>
        <w:t xml:space="preserve">Jiang, L., Shestov, A.A., Swain, P., Yang, C., Parker, S.J., Wang, Q.A., Terada, L.S., Adams, N.D., McCabe, M.T., Pietrak, B., et al. (2016). Reductive carboxylation supports redox homeostasis during anchorage-independent growth. Nature</w:t>
      </w:r>
      <w:r>
        <w:t xml:space="preserve"> </w:t>
      </w:r>
      <w:r>
        <w:rPr>
          <w:iCs/>
          <w:i/>
        </w:rPr>
        <w:t xml:space="preserve">532</w:t>
      </w:r>
      <w:r>
        <w:t xml:space="preserve">, 255–258.</w:t>
      </w:r>
      <w:r>
        <w:t xml:space="preserve"> </w:t>
      </w:r>
      <w:hyperlink r:id="rId141">
        <w:r>
          <w:rPr>
            <w:rStyle w:val="Hyperlink"/>
          </w:rPr>
          <w:t xml:space="preserve">https://doi.org/10.1038/nature17393</w:t>
        </w:r>
      </w:hyperlink>
      <w:r>
        <w:t xml:space="preserve">.</w:t>
      </w:r>
    </w:p>
    <w:bookmarkEnd w:id="142"/>
    <w:bookmarkStart w:id="144" w:name="ref-kaelin2008a"/>
    <w:p>
      <w:pPr>
        <w:pStyle w:val="Bibliography"/>
      </w:pPr>
      <w:r>
        <w:t xml:space="preserve">Kaelin, W.G., and Ratcliffe, P.J. (2008). Oxygen sensing by metazoans: the central role of the HIF hydroxylase pathway. Mol Cell</w:t>
      </w:r>
      <w:r>
        <w:t xml:space="preserve"> </w:t>
      </w:r>
      <w:r>
        <w:rPr>
          <w:iCs/>
          <w:i/>
        </w:rPr>
        <w:t xml:space="preserve">30</w:t>
      </w:r>
      <w:r>
        <w:t xml:space="preserve">, 393–402.</w:t>
      </w:r>
      <w:r>
        <w:t xml:space="preserve"> </w:t>
      </w:r>
      <w:hyperlink r:id="rId143">
        <w:r>
          <w:rPr>
            <w:rStyle w:val="Hyperlink"/>
          </w:rPr>
          <w:t xml:space="preserve">https://doi.org/10.1016/j.molcel.2008.04.009</w:t>
        </w:r>
      </w:hyperlink>
      <w:r>
        <w:t xml:space="preserve">.</w:t>
      </w:r>
    </w:p>
    <w:bookmarkEnd w:id="144"/>
    <w:bookmarkStart w:id="146" w:name="ref-kanehisa2000"/>
    <w:p>
      <w:pPr>
        <w:pStyle w:val="Bibliography"/>
      </w:pPr>
      <w:r>
        <w:t xml:space="preserve">Kanehisa, M., and Goto, S. (2000). KEGG: kyoto encyclopedia of genes and genomes. Nucleic Acids Res</w:t>
      </w:r>
      <w:r>
        <w:t xml:space="preserve"> </w:t>
      </w:r>
      <w:r>
        <w:rPr>
          <w:iCs/>
          <w:i/>
        </w:rPr>
        <w:t xml:space="preserve">28</w:t>
      </w:r>
      <w:r>
        <w:t xml:space="preserve">, 27–30.</w:t>
      </w:r>
      <w:r>
        <w:t xml:space="preserve"> </w:t>
      </w:r>
      <w:hyperlink r:id="rId145">
        <w:r>
          <w:rPr>
            <w:rStyle w:val="Hyperlink"/>
          </w:rPr>
          <w:t xml:space="preserve">https://doi.org/10.1093/nar/28.1.27</w:t>
        </w:r>
      </w:hyperlink>
      <w:r>
        <w:t xml:space="preserve">.</w:t>
      </w:r>
    </w:p>
    <w:bookmarkEnd w:id="146"/>
    <w:bookmarkStart w:id="148" w:name="ref-kim2015"/>
    <w:p>
      <w:pPr>
        <w:pStyle w:val="Bibliography"/>
      </w:pPr>
      <w:r>
        <w:t xml:space="preserve">Kim, D., Fiske, B.P., Birsoy, K., Freinkman, E., Kami, K., Possemato, R.L., Chudnovsky, Y., Pacold, M.E., Chen, W.W., Cantor, J.R., et al. (2015). SHMT2 drives glioma cell survival in ischaemia but imposes a dependence on glycine clearance. Nature</w:t>
      </w:r>
      <w:r>
        <w:t xml:space="preserve"> </w:t>
      </w:r>
      <w:r>
        <w:rPr>
          <w:iCs/>
          <w:i/>
        </w:rPr>
        <w:t xml:space="preserve">520</w:t>
      </w:r>
      <w:r>
        <w:t xml:space="preserve">, 363–367.</w:t>
      </w:r>
      <w:r>
        <w:t xml:space="preserve"> </w:t>
      </w:r>
      <w:hyperlink r:id="rId147">
        <w:r>
          <w:rPr>
            <w:rStyle w:val="Hyperlink"/>
          </w:rPr>
          <w:t xml:space="preserve">https://doi.org/10.1038/nature14363</w:t>
        </w:r>
      </w:hyperlink>
      <w:r>
        <w:t xml:space="preserve">.</w:t>
      </w:r>
    </w:p>
    <w:bookmarkEnd w:id="148"/>
    <w:bookmarkStart w:id="150" w:name="ref-korotkevich2021a"/>
    <w:p>
      <w:pPr>
        <w:pStyle w:val="Bibliography"/>
      </w:pPr>
      <w:r>
        <w:t xml:space="preserve">Korotkevich, G., Sukhov, V., Budin, N., Shpak, B., Artyomov, M.N., and Sergushichev, A. (2021). Fast gene set enrichment analysis. 060012.</w:t>
      </w:r>
      <w:r>
        <w:t xml:space="preserve"> </w:t>
      </w:r>
      <w:hyperlink r:id="rId149">
        <w:r>
          <w:rPr>
            <w:rStyle w:val="Hyperlink"/>
          </w:rPr>
          <w:t xml:space="preserve">https://doi.org/10.1101/060012</w:t>
        </w:r>
      </w:hyperlink>
      <w:r>
        <w:t xml:space="preserve">.</w:t>
      </w:r>
    </w:p>
    <w:bookmarkEnd w:id="150"/>
    <w:bookmarkStart w:id="152" w:name="ref-koshiji2004"/>
    <w:p>
      <w:pPr>
        <w:pStyle w:val="Bibliography"/>
      </w:pPr>
      <w:r>
        <w:t xml:space="preserve">Koshiji, M., Kageyama, Y., Pete, E.A., Horikawa, I., Barrett, J.C., and Huang, L.E. (2004). HIF-1alpha induces cell cycle arrest by functionally counteracting Myc. EMBO J</w:t>
      </w:r>
      <w:r>
        <w:t xml:space="preserve"> </w:t>
      </w:r>
      <w:r>
        <w:rPr>
          <w:iCs/>
          <w:i/>
        </w:rPr>
        <w:t xml:space="preserve">23</w:t>
      </w:r>
      <w:r>
        <w:t xml:space="preserve">, 1949–1956.</w:t>
      </w:r>
      <w:r>
        <w:t xml:space="preserve"> </w:t>
      </w:r>
      <w:hyperlink r:id="rId151">
        <w:r>
          <w:rPr>
            <w:rStyle w:val="Hyperlink"/>
          </w:rPr>
          <w:t xml:space="preserve">https://doi.org/10.1038/sj.emboj.7600196</w:t>
        </w:r>
      </w:hyperlink>
      <w:r>
        <w:t xml:space="preserve">.</w:t>
      </w:r>
    </w:p>
    <w:bookmarkEnd w:id="152"/>
    <w:bookmarkStart w:id="154" w:name="ref-koshiji2005"/>
    <w:p>
      <w:pPr>
        <w:pStyle w:val="Bibliography"/>
      </w:pPr>
      <w:r>
        <w:t xml:space="preserve">Koshiji, M., To, K.K.-W., Hammer, S., Kumamoto, K., Harris, A.L., Modrich, P., and Huang, L.E. (2005). HIF-1alpha induces genetic instability by transcriptionally downregulating MutSalpha expression. Mol Cell</w:t>
      </w:r>
      <w:r>
        <w:t xml:space="preserve"> </w:t>
      </w:r>
      <w:r>
        <w:rPr>
          <w:iCs/>
          <w:i/>
        </w:rPr>
        <w:t xml:space="preserve">17</w:t>
      </w:r>
      <w:r>
        <w:t xml:space="preserve">, 793–803.</w:t>
      </w:r>
      <w:r>
        <w:t xml:space="preserve"> </w:t>
      </w:r>
      <w:hyperlink r:id="rId153">
        <w:r>
          <w:rPr>
            <w:rStyle w:val="Hyperlink"/>
          </w:rPr>
          <w:t xml:space="preserve">https://doi.org/10.1016/j.molcel.2005.02.015</w:t>
        </w:r>
      </w:hyperlink>
      <w:r>
        <w:t xml:space="preserve">.</w:t>
      </w:r>
    </w:p>
    <w:bookmarkEnd w:id="154"/>
    <w:bookmarkStart w:id="156" w:name="ref-le2012"/>
    <w:p>
      <w:pPr>
        <w:pStyle w:val="Bibliography"/>
      </w:pPr>
      <w:r>
        <w:t xml:space="preserve">Le, A., Lane, A.N., Hamaker, M., Bose, S., Gouw, A., Barbi, J., Tsukamoto, T., Rojas, C.J., Slusher, B.S., Zhang, H., et al. (2012). Glucose-independent glutamine metabolism via TCA cycling for proliferation and survival in B cells. Cell Metab</w:t>
      </w:r>
      <w:r>
        <w:t xml:space="preserve"> </w:t>
      </w:r>
      <w:r>
        <w:rPr>
          <w:iCs/>
          <w:i/>
        </w:rPr>
        <w:t xml:space="preserve">15</w:t>
      </w:r>
      <w:r>
        <w:t xml:space="preserve">, 110–121.</w:t>
      </w:r>
      <w:r>
        <w:t xml:space="preserve"> </w:t>
      </w:r>
      <w:hyperlink r:id="rId155">
        <w:r>
          <w:rPr>
            <w:rStyle w:val="Hyperlink"/>
          </w:rPr>
          <w:t xml:space="preserve">https://doi.org/10.1016/j.cmet.2011.12.009</w:t>
        </w:r>
      </w:hyperlink>
      <w:r>
        <w:t xml:space="preserve">.</w:t>
      </w:r>
    </w:p>
    <w:bookmarkEnd w:id="156"/>
    <w:bookmarkStart w:id="158" w:name="ref-lee2019"/>
    <w:p>
      <w:pPr>
        <w:pStyle w:val="Bibliography"/>
      </w:pPr>
      <w:r>
        <w:t xml:space="preserve">Lee, J.W., Ko, J., Ju, C., and Eltzschig, H.K. (2019a). Hypoxia signaling in human diseases and therapeutic targets. Exp Mol Med</w:t>
      </w:r>
      <w:r>
        <w:t xml:space="preserve"> </w:t>
      </w:r>
      <w:r>
        <w:rPr>
          <w:iCs/>
          <w:i/>
        </w:rPr>
        <w:t xml:space="preserve">51</w:t>
      </w:r>
      <w:r>
        <w:t xml:space="preserve">, 1–13.</w:t>
      </w:r>
      <w:r>
        <w:t xml:space="preserve"> </w:t>
      </w:r>
      <w:hyperlink r:id="rId157">
        <w:r>
          <w:rPr>
            <w:rStyle w:val="Hyperlink"/>
          </w:rPr>
          <w:t xml:space="preserve">https://doi.org/10.1038/s12276-019-0235-1</w:t>
        </w:r>
      </w:hyperlink>
      <w:r>
        <w:t xml:space="preserve">.</w:t>
      </w:r>
    </w:p>
    <w:bookmarkEnd w:id="158"/>
    <w:bookmarkStart w:id="160" w:name="ref-lee2020b"/>
    <w:p>
      <w:pPr>
        <w:pStyle w:val="Bibliography"/>
      </w:pPr>
      <w:r>
        <w:t xml:space="preserve">Lee, P., Chandel, N.S., and Simon, M.C. (2020). Cellular adaptation to hypoxia through hypoxia inducible factors and beyond. Nat Rev Mol Cell Biol</w:t>
      </w:r>
      <w:r>
        <w:t xml:space="preserve"> </w:t>
      </w:r>
      <w:r>
        <w:rPr>
          <w:iCs/>
          <w:i/>
        </w:rPr>
        <w:t xml:space="preserve">21</w:t>
      </w:r>
      <w:r>
        <w:t xml:space="preserve">, 268–283.</w:t>
      </w:r>
      <w:r>
        <w:t xml:space="preserve"> </w:t>
      </w:r>
      <w:hyperlink r:id="rId159">
        <w:r>
          <w:rPr>
            <w:rStyle w:val="Hyperlink"/>
          </w:rPr>
          <w:t xml:space="preserve">https://doi.org/10.1038/s41580-020-0227-y</w:t>
        </w:r>
      </w:hyperlink>
      <w:r>
        <w:t xml:space="preserve">.</w:t>
      </w:r>
    </w:p>
    <w:bookmarkEnd w:id="160"/>
    <w:bookmarkStart w:id="162" w:name="ref-lee2019a"/>
    <w:p>
      <w:pPr>
        <w:pStyle w:val="Bibliography"/>
      </w:pPr>
      <w:r>
        <w:t xml:space="preserve">Lee, W.D., Mukha, D., Aizenshtein, E., and Shlomi, T. (2019b). Spatial-fluxomics provides a subcellular-compartmentalized view of reductive glutamine metabolism in cancer cells. Nat Commun</w:t>
      </w:r>
      <w:r>
        <w:t xml:space="preserve"> </w:t>
      </w:r>
      <w:r>
        <w:rPr>
          <w:iCs/>
          <w:i/>
        </w:rPr>
        <w:t xml:space="preserve">10</w:t>
      </w:r>
      <w:r>
        <w:t xml:space="preserve">, 1351.</w:t>
      </w:r>
      <w:r>
        <w:t xml:space="preserve"> </w:t>
      </w:r>
      <w:hyperlink r:id="rId161">
        <w:r>
          <w:rPr>
            <w:rStyle w:val="Hyperlink"/>
          </w:rPr>
          <w:t xml:space="preserve">https://doi.org/10.1038/s41467-019-09352-1</w:t>
        </w:r>
      </w:hyperlink>
      <w:r>
        <w:t xml:space="preserve">.</w:t>
      </w:r>
    </w:p>
    <w:bookmarkEnd w:id="162"/>
    <w:bookmarkStart w:id="164" w:name="ref-li2005a"/>
    <w:p>
      <w:pPr>
        <w:pStyle w:val="Bibliography"/>
      </w:pPr>
      <w:r>
        <w:t xml:space="preserve">Li, F., Wang, Y., Zeller, K.I., Potter, J.J., Wonsey, D.R., O’Donnell, K.A., Kim, J.-W., Yustein, J.T., Lee, L.A., and Dang, C.V. (2005). Myc stimulates nuclearly encoded mitochondrial genes and mitochondrial biogenesis. Mol Cell Biol</w:t>
      </w:r>
      <w:r>
        <w:t xml:space="preserve"> </w:t>
      </w:r>
      <w:r>
        <w:rPr>
          <w:iCs/>
          <w:i/>
        </w:rPr>
        <w:t xml:space="preserve">25</w:t>
      </w:r>
      <w:r>
        <w:t xml:space="preserve">, 6225–6234.</w:t>
      </w:r>
      <w:r>
        <w:t xml:space="preserve"> </w:t>
      </w:r>
      <w:hyperlink r:id="rId163">
        <w:r>
          <w:rPr>
            <w:rStyle w:val="Hyperlink"/>
          </w:rPr>
          <w:t xml:space="preserve">https://doi.org/10.1128/MCB.25.14.6225-6234.2005</w:t>
        </w:r>
      </w:hyperlink>
      <w:r>
        <w:t xml:space="preserve">.</w:t>
      </w:r>
    </w:p>
    <w:bookmarkEnd w:id="164"/>
    <w:bookmarkStart w:id="166" w:name="ref-li2001"/>
    <w:p>
      <w:pPr>
        <w:pStyle w:val="Bibliography"/>
      </w:pPr>
      <w:r>
        <w:t xml:space="preserve">Li, H., Meininger, C.J., Hawker, J.R., Haynes, T.E., Kepka-Lenhart, D., Mistry, S.K., Morris, S.M., and Wu, G. (2001). Regulatory role of arginase I and II in nitric oxide, polyamine, and proline syntheses in endothelial cells. American Journal of Physiology-Endocrinology and Metabolism</w:t>
      </w:r>
      <w:r>
        <w:t xml:space="preserve"> </w:t>
      </w:r>
      <w:r>
        <w:rPr>
          <w:iCs/>
          <w:i/>
        </w:rPr>
        <w:t xml:space="preserve">280</w:t>
      </w:r>
      <w:r>
        <w:t xml:space="preserve">, E75–E82.</w:t>
      </w:r>
      <w:r>
        <w:t xml:space="preserve"> </w:t>
      </w:r>
      <w:hyperlink r:id="rId165">
        <w:r>
          <w:rPr>
            <w:rStyle w:val="Hyperlink"/>
          </w:rPr>
          <w:t xml:space="preserve">https://doi.org/10.1152/ajpendo.2001.280.1.E75</w:t>
        </w:r>
      </w:hyperlink>
      <w:r>
        <w:t xml:space="preserve">.</w:t>
      </w:r>
    </w:p>
    <w:bookmarkEnd w:id="166"/>
    <w:bookmarkStart w:id="168" w:name="ref-li2020d"/>
    <w:p>
      <w:pPr>
        <w:pStyle w:val="Bibliography"/>
      </w:pPr>
      <w:r>
        <w:t xml:space="preserve">Li, Y., Sun, X.-X., Qian, D.Z., and Dai, M.-S. (2020). Molecular Crosstalk Between MYC and HIF in Cancer. Front Cell Dev Biol</w:t>
      </w:r>
      <w:r>
        <w:t xml:space="preserve"> </w:t>
      </w:r>
      <w:r>
        <w:rPr>
          <w:iCs/>
          <w:i/>
        </w:rPr>
        <w:t xml:space="preserve">8</w:t>
      </w:r>
      <w:r>
        <w:t xml:space="preserve">, 590576.</w:t>
      </w:r>
      <w:r>
        <w:t xml:space="preserve"> </w:t>
      </w:r>
      <w:hyperlink r:id="rId167">
        <w:r>
          <w:rPr>
            <w:rStyle w:val="Hyperlink"/>
          </w:rPr>
          <w:t xml:space="preserve">https://doi.org/10.3389/fcell.2020.590576</w:t>
        </w:r>
      </w:hyperlink>
      <w:r>
        <w:t xml:space="preserve">.</w:t>
      </w:r>
    </w:p>
    <w:bookmarkEnd w:id="168"/>
    <w:bookmarkStart w:id="170" w:name="ref-liao2019"/>
    <w:p>
      <w:pPr>
        <w:pStyle w:val="Bibliography"/>
      </w:pPr>
      <w:r>
        <w:t xml:space="preserve">Liao, Y., Smyth, G.K., and Shi, W. (2019). The R package Rsubread is easier, faster, cheaper and better for alignment and quantification of RNA sequencing reads. Nucleic Acids Res</w:t>
      </w:r>
      <w:r>
        <w:t xml:space="preserve"> </w:t>
      </w:r>
      <w:r>
        <w:rPr>
          <w:iCs/>
          <w:i/>
        </w:rPr>
        <w:t xml:space="preserve">47</w:t>
      </w:r>
      <w:r>
        <w:t xml:space="preserve">, e47.</w:t>
      </w:r>
      <w:r>
        <w:t xml:space="preserve"> </w:t>
      </w:r>
      <w:hyperlink r:id="rId169">
        <w:r>
          <w:rPr>
            <w:rStyle w:val="Hyperlink"/>
          </w:rPr>
          <w:t xml:space="preserve">https://doi.org/10.1093/nar/gkz114</w:t>
        </w:r>
      </w:hyperlink>
      <w:r>
        <w:t xml:space="preserve">.</w:t>
      </w:r>
    </w:p>
    <w:bookmarkEnd w:id="170"/>
    <w:bookmarkStart w:id="172" w:name="ref-liberzon2015"/>
    <w:p>
      <w:pPr>
        <w:pStyle w:val="Bibliography"/>
      </w:pPr>
      <w:r>
        <w:t xml:space="preserve">Liberzon, A., Birger, C., Thorvaldsdottir, H., Ghandi, M., Mesirov, J.P., and Tamayo, P. (2015). The Molecular Signatures Database (MSigDB) hallmark gene set collection. Cell Syst</w:t>
      </w:r>
      <w:r>
        <w:t xml:space="preserve"> </w:t>
      </w:r>
      <w:r>
        <w:rPr>
          <w:iCs/>
          <w:i/>
        </w:rPr>
        <w:t xml:space="preserve">1</w:t>
      </w:r>
      <w:r>
        <w:t xml:space="preserve">, 417–425.</w:t>
      </w:r>
      <w:r>
        <w:t xml:space="preserve"> </w:t>
      </w:r>
      <w:hyperlink r:id="rId171">
        <w:r>
          <w:rPr>
            <w:rStyle w:val="Hyperlink"/>
          </w:rPr>
          <w:t xml:space="preserve">https://doi.org/10.1016/j.cels.2015.12.004</w:t>
        </w:r>
      </w:hyperlink>
      <w:r>
        <w:t xml:space="preserve">.</w:t>
      </w:r>
    </w:p>
    <w:bookmarkEnd w:id="172"/>
    <w:bookmarkStart w:id="174" w:name="ref-liu2013a"/>
    <w:p>
      <w:pPr>
        <w:pStyle w:val="Bibliography"/>
      </w:pPr>
      <w:r>
        <w:t xml:space="preserve">Liu, S.-S., Wang, H.-Y., Tang, J.-M., and Zhou, X.-M. (2013). Hypoxia-induced collagen synthesis of human lung fibroblasts by activating the angiotensin system. Int J Mol Sci</w:t>
      </w:r>
      <w:r>
        <w:t xml:space="preserve"> </w:t>
      </w:r>
      <w:r>
        <w:rPr>
          <w:iCs/>
          <w:i/>
        </w:rPr>
        <w:t xml:space="preserve">14</w:t>
      </w:r>
      <w:r>
        <w:t xml:space="preserve">, 24029–24045.</w:t>
      </w:r>
      <w:r>
        <w:t xml:space="preserve"> </w:t>
      </w:r>
      <w:hyperlink r:id="rId173">
        <w:r>
          <w:rPr>
            <w:rStyle w:val="Hyperlink"/>
          </w:rPr>
          <w:t xml:space="preserve">https://doi.org/10.3390/ijms141224029</w:t>
        </w:r>
      </w:hyperlink>
      <w:r>
        <w:t xml:space="preserve">.</w:t>
      </w:r>
    </w:p>
    <w:bookmarkEnd w:id="174"/>
    <w:bookmarkStart w:id="175" w:name="ref-long2017"/>
    <w:p>
      <w:pPr>
        <w:pStyle w:val="Bibliography"/>
      </w:pPr>
      <w:r>
        <w:t xml:space="preserve">Long, W. (2017). Automated amino acid analysis using an Agilent Poroshell HPH-C18 column. Application Note, Agilent Technologies, Inc.</w:t>
      </w:r>
      <w:r>
        <w:t xml:space="preserve"> </w:t>
      </w:r>
      <w:r>
        <w:rPr>
          <w:iCs/>
          <w:i/>
        </w:rPr>
        <w:t xml:space="preserve">Publication Number 5991-5571EN</w:t>
      </w:r>
      <w:r>
        <w:t xml:space="preserve">, 1–10.</w:t>
      </w:r>
    </w:p>
    <w:bookmarkEnd w:id="175"/>
    <w:bookmarkStart w:id="177" w:name="ref-love2014"/>
    <w:p>
      <w:pPr>
        <w:pStyle w:val="Bibliography"/>
      </w:pPr>
      <w:r>
        <w:t xml:space="preserve">Love, M.I., Huber, W., and Anders, S. (2014). Moderated estimation of fold change and dispersion for RNA-seq data with DESeq2. Genome Biol</w:t>
      </w:r>
      <w:r>
        <w:t xml:space="preserve"> </w:t>
      </w:r>
      <w:r>
        <w:rPr>
          <w:iCs/>
          <w:i/>
        </w:rPr>
        <w:t xml:space="preserve">15</w:t>
      </w:r>
      <w:r>
        <w:t xml:space="preserve">, 550.</w:t>
      </w:r>
      <w:r>
        <w:t xml:space="preserve"> </w:t>
      </w:r>
      <w:hyperlink r:id="rId176">
        <w:r>
          <w:rPr>
            <w:rStyle w:val="Hyperlink"/>
          </w:rPr>
          <w:t xml:space="preserve">https://doi.org/10.1186/s13059-014-0550-8</w:t>
        </w:r>
      </w:hyperlink>
      <w:r>
        <w:t xml:space="preserve">.</w:t>
      </w:r>
    </w:p>
    <w:bookmarkEnd w:id="177"/>
    <w:bookmarkStart w:id="179" w:name="ref-madden2021"/>
    <w:p>
      <w:pPr>
        <w:pStyle w:val="Bibliography"/>
      </w:pPr>
      <w:r>
        <w:t xml:space="preserve">Madden, S.K., de Araujo, A.D., Gerhardt, M., Fairlie, D.P., and Mason, J.M. (2021). Taking the Myc out of cancer: toward therapeutic strategies to directly inhibit c-Myc. Molecular Cancer</w:t>
      </w:r>
      <w:r>
        <w:t xml:space="preserve"> </w:t>
      </w:r>
      <w:r>
        <w:rPr>
          <w:iCs/>
          <w:i/>
        </w:rPr>
        <w:t xml:space="preserve">20</w:t>
      </w:r>
      <w:r>
        <w:t xml:space="preserve">, 3.</w:t>
      </w:r>
      <w:r>
        <w:t xml:space="preserve"> </w:t>
      </w:r>
      <w:hyperlink r:id="rId178">
        <w:r>
          <w:rPr>
            <w:rStyle w:val="Hyperlink"/>
          </w:rPr>
          <w:t xml:space="preserve">https://doi.org/10.1186/s12943-020-01291-6</w:t>
        </w:r>
      </w:hyperlink>
      <w:r>
        <w:t xml:space="preserve">.</w:t>
      </w:r>
    </w:p>
    <w:bookmarkEnd w:id="179"/>
    <w:bookmarkStart w:id="181" w:name="ref-mann2021"/>
    <w:p>
      <w:pPr>
        <w:pStyle w:val="Bibliography"/>
      </w:pPr>
      <w:r>
        <w:t xml:space="preserve">Mann, G., Mora, S., Madu, G., and Adegoke, O.A.J. (2021). Branched-chain Amino Acids: Catabolism in Skeletal Muscle and Implications for Muscle and Whole-body Metabolism. Front Physiol</w:t>
      </w:r>
      <w:r>
        <w:t xml:space="preserve"> </w:t>
      </w:r>
      <w:r>
        <w:rPr>
          <w:iCs/>
          <w:i/>
        </w:rPr>
        <w:t xml:space="preserve">12</w:t>
      </w:r>
      <w:r>
        <w:t xml:space="preserve">, 702826.</w:t>
      </w:r>
      <w:r>
        <w:t xml:space="preserve"> </w:t>
      </w:r>
      <w:hyperlink r:id="rId180">
        <w:r>
          <w:rPr>
            <w:rStyle w:val="Hyperlink"/>
          </w:rPr>
          <w:t xml:space="preserve">https://doi.org/10.3389/fphys.2021.702826</w:t>
        </w:r>
      </w:hyperlink>
      <w:r>
        <w:t xml:space="preserve">.</w:t>
      </w:r>
    </w:p>
    <w:bookmarkEnd w:id="181"/>
    <w:bookmarkStart w:id="183" w:name="ref-masson2019"/>
    <w:p>
      <w:pPr>
        <w:pStyle w:val="Bibliography"/>
      </w:pPr>
      <w:r>
        <w:t xml:space="preserve">Masson, N., Keeley, T.P., Giuntoli, B., White, M.D., Puerta, M.L., Perata, P., Hopkinson, R.J., Flashman, E., Licausi, F., and Ratcliffe, P.J. (2019). Conserved N-terminal cysteine dioxygenases transduce responses to hypoxia in animals and plants. Science</w:t>
      </w:r>
      <w:r>
        <w:t xml:space="preserve"> </w:t>
      </w:r>
      <w:r>
        <w:rPr>
          <w:iCs/>
          <w:i/>
        </w:rPr>
        <w:t xml:space="preserve">365</w:t>
      </w:r>
      <w:r>
        <w:t xml:space="preserve">, 65–69.</w:t>
      </w:r>
      <w:r>
        <w:t xml:space="preserve"> </w:t>
      </w:r>
      <w:hyperlink r:id="rId182">
        <w:r>
          <w:rPr>
            <w:rStyle w:val="Hyperlink"/>
          </w:rPr>
          <w:t xml:space="preserve">https://doi.org/10.1126/science.aaw0112</w:t>
        </w:r>
      </w:hyperlink>
      <w:r>
        <w:t xml:space="preserve">.</w:t>
      </w:r>
    </w:p>
    <w:bookmarkEnd w:id="183"/>
    <w:bookmarkStart w:id="185" w:name="ref-melendez-rodriguez2019"/>
    <w:p>
      <w:pPr>
        <w:pStyle w:val="Bibliography"/>
      </w:pPr>
      <w:r>
        <w:t xml:space="preserve">Melendez-Rodriguez, F., Urrutia, A.A., Lorendeau, D., Rinaldi, G., Roche, O., Bogurcu-Seidel, N., Ortega Muelas, M., Mesa-Ciller, C., Turiel, G., Bouthelier, A., et al. (2019). HIF1alpha Suppresses Tumor Cell Proliferation through Inhibition of Aspartate Biosynthesis. Cell Rep</w:t>
      </w:r>
      <w:r>
        <w:t xml:space="preserve"> </w:t>
      </w:r>
      <w:r>
        <w:rPr>
          <w:iCs/>
          <w:i/>
        </w:rPr>
        <w:t xml:space="preserve">26</w:t>
      </w:r>
      <w:r>
        <w:t xml:space="preserve">, 2257–2265 e4.</w:t>
      </w:r>
      <w:r>
        <w:t xml:space="preserve"> </w:t>
      </w:r>
      <w:hyperlink r:id="rId184">
        <w:r>
          <w:rPr>
            <w:rStyle w:val="Hyperlink"/>
          </w:rPr>
          <w:t xml:space="preserve">https://doi.org/10.1016/j.celrep.2019.01.106</w:t>
        </w:r>
      </w:hyperlink>
      <w:r>
        <w:t xml:space="preserve">.</w:t>
      </w:r>
    </w:p>
    <w:bookmarkEnd w:id="185"/>
    <w:bookmarkStart w:id="187" w:name="ref-metallo2011"/>
    <w:p>
      <w:pPr>
        <w:pStyle w:val="Bibliography"/>
      </w:pPr>
      <w:r>
        <w:t xml:space="preserve">Metallo, C.M., Gameiro, P.A., Bell, E.L., Mattaini, K.R., Yang, J., Hiller, K., Jewell, C.M., Johnson, Z.R., Irvine, D.J., Guarente, L., et al. (2011). Reductive glutamine metabolism by IDH1 mediates lipogenesis under hypoxia. Nature</w:t>
      </w:r>
      <w:r>
        <w:t xml:space="preserve"> </w:t>
      </w:r>
      <w:r>
        <w:rPr>
          <w:iCs/>
          <w:i/>
        </w:rPr>
        <w:t xml:space="preserve">481</w:t>
      </w:r>
      <w:r>
        <w:t xml:space="preserve">, 380–384.</w:t>
      </w:r>
      <w:r>
        <w:t xml:space="preserve"> </w:t>
      </w:r>
      <w:hyperlink r:id="rId186">
        <w:r>
          <w:rPr>
            <w:rStyle w:val="Hyperlink"/>
          </w:rPr>
          <w:t xml:space="preserve">https://doi.org/10.1038/nature10602</w:t>
        </w:r>
      </w:hyperlink>
      <w:r>
        <w:t xml:space="preserve">.</w:t>
      </w:r>
    </w:p>
    <w:bookmarkEnd w:id="187"/>
    <w:bookmarkStart w:id="189" w:name="ref-mizuno2009"/>
    <w:p>
      <w:pPr>
        <w:pStyle w:val="Bibliography"/>
      </w:pPr>
      <w:r>
        <w:t xml:space="preserve">Mizuno, S., Bogaard, H.J., Voelkel, N.F., Umeda, Y., Kadowaki, M., Ameshima, S., Miyamori, I., and Ishizaki, T. (2009). Hypoxia regulates human lung fibroblast proliferation via p53-dependent and -independent pathways. Respir Res</w:t>
      </w:r>
      <w:r>
        <w:t xml:space="preserve"> </w:t>
      </w:r>
      <w:r>
        <w:rPr>
          <w:iCs/>
          <w:i/>
        </w:rPr>
        <w:t xml:space="preserve">10</w:t>
      </w:r>
      <w:r>
        <w:t xml:space="preserve">, 17.</w:t>
      </w:r>
      <w:r>
        <w:t xml:space="preserve"> </w:t>
      </w:r>
      <w:hyperlink r:id="rId188">
        <w:r>
          <w:rPr>
            <w:rStyle w:val="Hyperlink"/>
          </w:rPr>
          <w:t xml:space="preserve">https://doi.org/10.1186/1465-9921-10-17</w:t>
        </w:r>
      </w:hyperlink>
      <w:r>
        <w:t xml:space="preserve">.</w:t>
      </w:r>
    </w:p>
    <w:bookmarkEnd w:id="189"/>
    <w:bookmarkStart w:id="191" w:name="ref-murphy2013a"/>
    <w:p>
      <w:pPr>
        <w:pStyle w:val="Bibliography"/>
      </w:pPr>
      <w:r>
        <w:t xml:space="preserve">Murphy, T.A., and Young, J.D. (2013). ETA: robust software for determination of cell specific rates from extracellular time courses. Biotechnol Bioeng</w:t>
      </w:r>
      <w:r>
        <w:t xml:space="preserve"> </w:t>
      </w:r>
      <w:r>
        <w:rPr>
          <w:iCs/>
          <w:i/>
        </w:rPr>
        <w:t xml:space="preserve">110</w:t>
      </w:r>
      <w:r>
        <w:t xml:space="preserve">, 1748–1758.</w:t>
      </w:r>
      <w:r>
        <w:t xml:space="preserve"> </w:t>
      </w:r>
      <w:hyperlink r:id="rId190">
        <w:r>
          <w:rPr>
            <w:rStyle w:val="Hyperlink"/>
          </w:rPr>
          <w:t xml:space="preserve">https://doi.org/10.1002/bit.24836</w:t>
        </w:r>
      </w:hyperlink>
      <w:r>
        <w:t xml:space="preserve">.</w:t>
      </w:r>
    </w:p>
    <w:bookmarkEnd w:id="191"/>
    <w:bookmarkStart w:id="193" w:name="ref-murphy2013"/>
    <w:p>
      <w:pPr>
        <w:pStyle w:val="Bibliography"/>
      </w:pPr>
      <w:r>
        <w:t xml:space="preserve">Murphy, T.A., Dang, C.V., and Young, J.D. (2013). Isotopically nonstationary 13C flux analysis of Myc-induced metabolic reprogramming in B-cells. Metab Eng</w:t>
      </w:r>
      <w:r>
        <w:t xml:space="preserve"> </w:t>
      </w:r>
      <w:r>
        <w:rPr>
          <w:iCs/>
          <w:i/>
        </w:rPr>
        <w:t xml:space="preserve">15</w:t>
      </w:r>
      <w:r>
        <w:t xml:space="preserve">, 206–217.</w:t>
      </w:r>
      <w:r>
        <w:t xml:space="preserve"> </w:t>
      </w:r>
      <w:hyperlink r:id="rId192">
        <w:r>
          <w:rPr>
            <w:rStyle w:val="Hyperlink"/>
          </w:rPr>
          <w:t xml:space="preserve">https://doi.org/10.1016/j.ymben.2012.07.008</w:t>
        </w:r>
      </w:hyperlink>
      <w:r>
        <w:t xml:space="preserve">.</w:t>
      </w:r>
    </w:p>
    <w:bookmarkEnd w:id="193"/>
    <w:bookmarkStart w:id="195" w:name="ref-oldham2015"/>
    <w:p>
      <w:pPr>
        <w:pStyle w:val="Bibliography"/>
      </w:pPr>
      <w:r>
        <w:t xml:space="preserve">Oldham, W.M., Clish, C.B., Yang, Y., and Loscalzo, J. (2015). Hypoxia-Mediated Increases in L-2-hydroxyglutarate Coordinate the Metabolic Response to Reductive Stress. Cell Metab</w:t>
      </w:r>
      <w:r>
        <w:t xml:space="preserve"> </w:t>
      </w:r>
      <w:r>
        <w:rPr>
          <w:iCs/>
          <w:i/>
        </w:rPr>
        <w:t xml:space="preserve">22</w:t>
      </w:r>
      <w:r>
        <w:t xml:space="preserve">, 291–303.</w:t>
      </w:r>
      <w:r>
        <w:t xml:space="preserve"> </w:t>
      </w:r>
      <w:hyperlink r:id="rId194">
        <w:r>
          <w:rPr>
            <w:rStyle w:val="Hyperlink"/>
          </w:rPr>
          <w:t xml:space="preserve">https://doi.org/10.1016/j.cmet.2015.06.021</w:t>
        </w:r>
      </w:hyperlink>
      <w:r>
        <w:t xml:space="preserve">.</w:t>
      </w:r>
    </w:p>
    <w:bookmarkEnd w:id="195"/>
    <w:bookmarkStart w:id="197" w:name="ref-owczarek2020"/>
    <w:p>
      <w:pPr>
        <w:pStyle w:val="Bibliography"/>
      </w:pPr>
      <w:r>
        <w:t xml:space="preserve">Owczarek, A., Gieczewska, K., Jarzyna, R., Jagielski, A.K., Kiersztan, A., Gruza, A., and Winiarska, K. (2020). Hypoxia increases the rate of renal gluconeogenesis via hypoxia-inducible factor-1-dependent activation of phosphoenolpyruvate carboxykinase expression. Biochimie</w:t>
      </w:r>
      <w:r>
        <w:t xml:space="preserve"> </w:t>
      </w:r>
      <w:r>
        <w:rPr>
          <w:iCs/>
          <w:i/>
        </w:rPr>
        <w:t xml:space="preserve">171-172</w:t>
      </w:r>
      <w:r>
        <w:t xml:space="preserve">, 31–37.</w:t>
      </w:r>
      <w:r>
        <w:t xml:space="preserve"> </w:t>
      </w:r>
      <w:hyperlink r:id="rId196">
        <w:r>
          <w:rPr>
            <w:rStyle w:val="Hyperlink"/>
          </w:rPr>
          <w:t xml:space="preserve">https://doi.org/10.1016/j.biochi.2020.02.002</w:t>
        </w:r>
      </w:hyperlink>
      <w:r>
        <w:t xml:space="preserve">.</w:t>
      </w:r>
    </w:p>
    <w:bookmarkEnd w:id="197"/>
    <w:bookmarkStart w:id="199" w:name="ref-pelletier2012"/>
    <w:p>
      <w:pPr>
        <w:pStyle w:val="Bibliography"/>
      </w:pPr>
      <w:r>
        <w:t xml:space="preserve">Pelletier, J., Bellot, G., Gounon, P., Lacas-Gervais, S., Pouyssegur, J., and Mazure, N.M. (2012). Glycogen Synthesis is Induced in Hypoxia by the Hypoxia-Inducible Factor and Promotes Cancer Cell Survival. Front Oncol</w:t>
      </w:r>
      <w:r>
        <w:t xml:space="preserve"> </w:t>
      </w:r>
      <w:r>
        <w:rPr>
          <w:iCs/>
          <w:i/>
        </w:rPr>
        <w:t xml:space="preserve">2</w:t>
      </w:r>
      <w:r>
        <w:t xml:space="preserve">, 18.</w:t>
      </w:r>
      <w:r>
        <w:t xml:space="preserve"> </w:t>
      </w:r>
      <w:hyperlink r:id="rId198">
        <w:r>
          <w:rPr>
            <w:rStyle w:val="Hyperlink"/>
          </w:rPr>
          <w:t xml:space="preserve">https://doi.org/10.3389/fonc.2012.00018</w:t>
        </w:r>
      </w:hyperlink>
      <w:r>
        <w:t xml:space="preserve">.</w:t>
      </w:r>
    </w:p>
    <w:bookmarkEnd w:id="199"/>
    <w:bookmarkStart w:id="201" w:name="ref-quek2010"/>
    <w:p>
      <w:pPr>
        <w:pStyle w:val="Bibliography"/>
      </w:pPr>
      <w:r>
        <w:t xml:space="preserve">Quek, L.E., Dietmair, S., Kromer, J.O., and Nielsen, L.K. (2010). Metabolic flux analysis in mammalian cell culture. Metab Eng</w:t>
      </w:r>
      <w:r>
        <w:t xml:space="preserve"> </w:t>
      </w:r>
      <w:r>
        <w:rPr>
          <w:iCs/>
          <w:i/>
        </w:rPr>
        <w:t xml:space="preserve">12</w:t>
      </w:r>
      <w:r>
        <w:t xml:space="preserve">, 161–171.</w:t>
      </w:r>
      <w:r>
        <w:t xml:space="preserve"> </w:t>
      </w:r>
      <w:hyperlink r:id="rId200">
        <w:r>
          <w:rPr>
            <w:rStyle w:val="Hyperlink"/>
          </w:rPr>
          <w:t xml:space="preserve">https://doi.org/10.1016/j.ymben.2009.09.002</w:t>
        </w:r>
      </w:hyperlink>
      <w:r>
        <w:t xml:space="preserve">.</w:t>
      </w:r>
    </w:p>
    <w:bookmarkEnd w:id="201"/>
    <w:bookmarkStart w:id="203" w:name="ref-R-base"/>
    <w:p>
      <w:pPr>
        <w:pStyle w:val="Bibliography"/>
      </w:pPr>
      <w:r>
        <w:t xml:space="preserve">R Core Team (2022).</w:t>
      </w:r>
      <w:r>
        <w:t xml:space="preserve"> </w:t>
      </w:r>
      <w:hyperlink r:id="rId202">
        <w:r>
          <w:rPr>
            <w:rStyle w:val="Hyperlink"/>
          </w:rPr>
          <w:t xml:space="preserve">R: A language and environment for statistical computing</w:t>
        </w:r>
      </w:hyperlink>
      <w:r>
        <w:t xml:space="preserve"> </w:t>
      </w:r>
      <w:r>
        <w:t xml:space="preserve">(Vienna, Austria: R Foundation for Statistical Computing).</w:t>
      </w:r>
    </w:p>
    <w:bookmarkEnd w:id="203"/>
    <w:bookmarkStart w:id="205" w:name="ref-rabinowitz2020"/>
    <w:p>
      <w:pPr>
        <w:pStyle w:val="Bibliography"/>
      </w:pPr>
      <w:r>
        <w:t xml:space="preserve">Rabinowitz, J.D., and Enerback, S. (2020). Lactate: the ugly duckling of energy metabolism. Nat Metab</w:t>
      </w:r>
      <w:r>
        <w:t xml:space="preserve"> </w:t>
      </w:r>
      <w:r>
        <w:rPr>
          <w:iCs/>
          <w:i/>
        </w:rPr>
        <w:t xml:space="preserve">2</w:t>
      </w:r>
      <w:r>
        <w:t xml:space="preserve">, 566–571.</w:t>
      </w:r>
      <w:r>
        <w:t xml:space="preserve"> </w:t>
      </w:r>
      <w:hyperlink r:id="rId204">
        <w:r>
          <w:rPr>
            <w:rStyle w:val="Hyperlink"/>
          </w:rPr>
          <w:t xml:space="preserve">https://doi.org/10.1038/s42255-020-0243-4</w:t>
        </w:r>
      </w:hyperlink>
      <w:r>
        <w:t xml:space="preserve">.</w:t>
      </w:r>
    </w:p>
    <w:bookmarkEnd w:id="205"/>
    <w:bookmarkStart w:id="207" w:name="ref-ritchie2015a"/>
    <w:p>
      <w:pPr>
        <w:pStyle w:val="Bibliography"/>
      </w:pPr>
      <w:r>
        <w:t xml:space="preserve">Ritchie, M.E., Phipson, B., Wu, D., Hu, Y., Law, C.W., Shi, W., and Smyth, G.K. (2015). limma powers differential expression analyses for RNA-sequencing and microarray studies. Nucleic Acids Res</w:t>
      </w:r>
      <w:r>
        <w:t xml:space="preserve"> </w:t>
      </w:r>
      <w:r>
        <w:rPr>
          <w:iCs/>
          <w:i/>
        </w:rPr>
        <w:t xml:space="preserve">43</w:t>
      </w:r>
      <w:r>
        <w:t xml:space="preserve">, e47.</w:t>
      </w:r>
      <w:r>
        <w:t xml:space="preserve"> </w:t>
      </w:r>
      <w:hyperlink r:id="rId206">
        <w:r>
          <w:rPr>
            <w:rStyle w:val="Hyperlink"/>
          </w:rPr>
          <w:t xml:space="preserve">https://doi.org/10.1093/nar/gkv007</w:t>
        </w:r>
      </w:hyperlink>
      <w:r>
        <w:t xml:space="preserve">.</w:t>
      </w:r>
    </w:p>
    <w:bookmarkEnd w:id="207"/>
    <w:bookmarkStart w:id="209" w:name="ref-scott2011"/>
    <w:p>
      <w:pPr>
        <w:pStyle w:val="Bibliography"/>
      </w:pPr>
      <w:r>
        <w:t xml:space="preserve">Scott, D.A., Richardson, A.D., Filipp, F.V., Knutzen, C.A., Chiang, G.G., Ronai, Z.A., Osterman, A.L., and Smith, J.W. (2011). Comparative metabolic flux profiling of melanoma cell lines: beyond the Warburg effect. J Biol Chem</w:t>
      </w:r>
      <w:r>
        <w:t xml:space="preserve"> </w:t>
      </w:r>
      <w:r>
        <w:rPr>
          <w:iCs/>
          <w:i/>
        </w:rPr>
        <w:t xml:space="preserve">286</w:t>
      </w:r>
      <w:r>
        <w:t xml:space="preserve">, 42626–42634.</w:t>
      </w:r>
      <w:r>
        <w:t xml:space="preserve"> </w:t>
      </w:r>
      <w:hyperlink r:id="rId208">
        <w:r>
          <w:rPr>
            <w:rStyle w:val="Hyperlink"/>
          </w:rPr>
          <w:t xml:space="preserve">https://doi.org/10.1074/jbc.M111.282046</w:t>
        </w:r>
      </w:hyperlink>
      <w:r>
        <w:t xml:space="preserve">.</w:t>
      </w:r>
    </w:p>
    <w:bookmarkEnd w:id="209"/>
    <w:bookmarkStart w:id="211" w:name="ref-semenza2012b"/>
    <w:p>
      <w:pPr>
        <w:pStyle w:val="Bibliography"/>
      </w:pPr>
      <w:r>
        <w:t xml:space="preserve">Semenza, G.L. (2012). Hypoxia-inducible factors in physiology and medicine. Cell</w:t>
      </w:r>
      <w:r>
        <w:t xml:space="preserve"> </w:t>
      </w:r>
      <w:r>
        <w:rPr>
          <w:iCs/>
          <w:i/>
        </w:rPr>
        <w:t xml:space="preserve">148</w:t>
      </w:r>
      <w:r>
        <w:t xml:space="preserve">, 399–408.</w:t>
      </w:r>
      <w:r>
        <w:t xml:space="preserve"> </w:t>
      </w:r>
      <w:hyperlink r:id="rId210">
        <w:r>
          <w:rPr>
            <w:rStyle w:val="Hyperlink"/>
          </w:rPr>
          <w:t xml:space="preserve">https://doi.org/10.1016/j.cell.2012.01.021</w:t>
        </w:r>
      </w:hyperlink>
      <w:r>
        <w:t xml:space="preserve">.</w:t>
      </w:r>
    </w:p>
    <w:bookmarkEnd w:id="211"/>
    <w:bookmarkStart w:id="213" w:name="ref-sheikh2005"/>
    <w:p>
      <w:pPr>
        <w:pStyle w:val="Bibliography"/>
      </w:pPr>
      <w:r>
        <w:t xml:space="preserve">Sheikh, K., Forster, J., and Nielsen, L.K. (2005). Modeling hybridoma cell metabolism using a generic genome-scale metabolic model of Mus musculus. Biotechnol Prog</w:t>
      </w:r>
      <w:r>
        <w:t xml:space="preserve"> </w:t>
      </w:r>
      <w:r>
        <w:rPr>
          <w:iCs/>
          <w:i/>
        </w:rPr>
        <w:t xml:space="preserve">21</w:t>
      </w:r>
      <w:r>
        <w:t xml:space="preserve">, 112–121.</w:t>
      </w:r>
      <w:r>
        <w:t xml:space="preserve"> </w:t>
      </w:r>
      <w:hyperlink r:id="rId212">
        <w:r>
          <w:rPr>
            <w:rStyle w:val="Hyperlink"/>
          </w:rPr>
          <w:t xml:space="preserve">https://doi.org/10.1021/bp0498138</w:t>
        </w:r>
      </w:hyperlink>
      <w:r>
        <w:t xml:space="preserve">.</w:t>
      </w:r>
    </w:p>
    <w:bookmarkEnd w:id="213"/>
    <w:bookmarkStart w:id="215" w:name="ref-stine2015"/>
    <w:p>
      <w:pPr>
        <w:pStyle w:val="Bibliography"/>
      </w:pPr>
      <w:r>
        <w:t xml:space="preserve">Stine, Z.E., Walton, Z.E., Altman, B.J., Hsieh, A.L., and Dang, C.V. (2015). MYC, Metabolism, and Cancer. Cancer Discov</w:t>
      </w:r>
      <w:r>
        <w:t xml:space="preserve"> </w:t>
      </w:r>
      <w:r>
        <w:rPr>
          <w:iCs/>
          <w:i/>
        </w:rPr>
        <w:t xml:space="preserve">5</w:t>
      </w:r>
      <w:r>
        <w:t xml:space="preserve">, 1024–1039.</w:t>
      </w:r>
      <w:r>
        <w:t xml:space="preserve"> </w:t>
      </w:r>
      <w:hyperlink r:id="rId214">
        <w:r>
          <w:rPr>
            <w:rStyle w:val="Hyperlink"/>
          </w:rPr>
          <w:t xml:space="preserve">https://doi.org/10.1158/2159-8290.CD-15-0507</w:t>
        </w:r>
      </w:hyperlink>
      <w:r>
        <w:t xml:space="preserve">.</w:t>
      </w:r>
    </w:p>
    <w:bookmarkEnd w:id="215"/>
    <w:bookmarkStart w:id="217" w:name="ref-szoka2017"/>
    <w:p>
      <w:pPr>
        <w:pStyle w:val="Bibliography"/>
      </w:pPr>
      <w:r>
        <w:t xml:space="preserve">Szoka, L., Karna, E., Hlebowicz-Sarat, K., Karaszewski, J., and Palka, J.A. (2017). Exogenous proline stimulates type I collagen and HIF-1α expression and the process is attenuated by glutamine in human skin fibroblasts. Mol Cell Biochem</w:t>
      </w:r>
      <w:r>
        <w:t xml:space="preserve"> </w:t>
      </w:r>
      <w:r>
        <w:rPr>
          <w:iCs/>
          <w:i/>
        </w:rPr>
        <w:t xml:space="preserve">435</w:t>
      </w:r>
      <w:r>
        <w:t xml:space="preserve">, 197–206.</w:t>
      </w:r>
      <w:r>
        <w:t xml:space="preserve"> </w:t>
      </w:r>
      <w:hyperlink r:id="rId216">
        <w:r>
          <w:rPr>
            <w:rStyle w:val="Hyperlink"/>
          </w:rPr>
          <w:t xml:space="preserve">https://doi.org/10.1007/s11010-017-3069-y</w:t>
        </w:r>
      </w:hyperlink>
      <w:r>
        <w:t xml:space="preserve">.</w:t>
      </w:r>
    </w:p>
    <w:bookmarkEnd w:id="217"/>
    <w:bookmarkStart w:id="218" w:name="ref-tilton1991"/>
    <w:p>
      <w:pPr>
        <w:pStyle w:val="Bibliography"/>
      </w:pPr>
      <w:r>
        <w:t xml:space="preserve">Tilton, W.M., Seaman, C., Carriero, D., and Piomelli, S. (1991). Regulation of glycolysis in the erythrocyte: role of the lactate/pyruvate and NAD/NADH ratios. J Lab Clin Med</w:t>
      </w:r>
      <w:r>
        <w:t xml:space="preserve"> </w:t>
      </w:r>
      <w:r>
        <w:rPr>
          <w:iCs/>
          <w:i/>
        </w:rPr>
        <w:t xml:space="preserve">118</w:t>
      </w:r>
      <w:r>
        <w:t xml:space="preserve">, 146–152.</w:t>
      </w:r>
    </w:p>
    <w:bookmarkEnd w:id="218"/>
    <w:bookmarkStart w:id="220" w:name="ref-vacanti2014"/>
    <w:p>
      <w:pPr>
        <w:pStyle w:val="Bibliography"/>
      </w:pPr>
      <w:r>
        <w:t xml:space="preserve">Vacanti, N.M., Divakaruni, A.S., Green, C.R., Parker, S.J., Henry, R.R., Ciaraldi, T.P., Murphy, A.N., and Metallo, C.M. (2014). Regulation of substrate utilization by the mitochondrial pyruvate carrier. Mol Cell</w:t>
      </w:r>
      <w:r>
        <w:t xml:space="preserve"> </w:t>
      </w:r>
      <w:r>
        <w:rPr>
          <w:iCs/>
          <w:i/>
        </w:rPr>
        <w:t xml:space="preserve">56</w:t>
      </w:r>
      <w:r>
        <w:t xml:space="preserve">, 425–435.</w:t>
      </w:r>
      <w:r>
        <w:t xml:space="preserve"> </w:t>
      </w:r>
      <w:hyperlink r:id="rId219">
        <w:r>
          <w:rPr>
            <w:rStyle w:val="Hyperlink"/>
          </w:rPr>
          <w:t xml:space="preserve">https://doi.org/10.1016/j.molcel.2014.09.024</w:t>
        </w:r>
      </w:hyperlink>
      <w:r>
        <w:t xml:space="preserve">.</w:t>
      </w:r>
    </w:p>
    <w:bookmarkEnd w:id="220"/>
    <w:bookmarkStart w:id="222" w:name="ref-vita2006"/>
    <w:p>
      <w:pPr>
        <w:pStyle w:val="Bibliography"/>
      </w:pPr>
      <w:r>
        <w:t xml:space="preserve">Vita, M., and Henriksson, M. (2006). The Myc oncoprotein as a therapeutic target for human cancer. Semin Cancer Biol</w:t>
      </w:r>
      <w:r>
        <w:t xml:space="preserve"> </w:t>
      </w:r>
      <w:r>
        <w:rPr>
          <w:iCs/>
          <w:i/>
        </w:rPr>
        <w:t xml:space="preserve">16</w:t>
      </w:r>
      <w:r>
        <w:t xml:space="preserve">, 318–330.</w:t>
      </w:r>
      <w:r>
        <w:t xml:space="preserve"> </w:t>
      </w:r>
      <w:hyperlink r:id="rId221">
        <w:r>
          <w:rPr>
            <w:rStyle w:val="Hyperlink"/>
          </w:rPr>
          <w:t xml:space="preserve">https://doi.org/10.1016/j.semcancer.2006.07.015</w:t>
        </w:r>
      </w:hyperlink>
      <w:r>
        <w:t xml:space="preserve">.</w:t>
      </w:r>
    </w:p>
    <w:bookmarkEnd w:id="222"/>
    <w:bookmarkStart w:id="224" w:name="ref-wenger2015"/>
    <w:p>
      <w:pPr>
        <w:pStyle w:val="Bibliography"/>
      </w:pPr>
      <w:r>
        <w:t xml:space="preserve">Wenger, R.H., Kurtcuoglu, V., Scholz, C.C., Marti, H.H., and Hoogewijs, D. (2015). Frequently asked questions in hypoxia research. Hypoxia (Auckl)</w:t>
      </w:r>
      <w:r>
        <w:t xml:space="preserve"> </w:t>
      </w:r>
      <w:r>
        <w:rPr>
          <w:iCs/>
          <w:i/>
        </w:rPr>
        <w:t xml:space="preserve">3</w:t>
      </w:r>
      <w:r>
        <w:t xml:space="preserve">, 35–43.</w:t>
      </w:r>
      <w:r>
        <w:t xml:space="preserve"> </w:t>
      </w:r>
      <w:hyperlink r:id="rId223">
        <w:r>
          <w:rPr>
            <w:rStyle w:val="Hyperlink"/>
          </w:rPr>
          <w:t xml:space="preserve">https://doi.org/10.2147/HP.S92198</w:t>
        </w:r>
      </w:hyperlink>
      <w:r>
        <w:t xml:space="preserve">.</w:t>
      </w:r>
    </w:p>
    <w:bookmarkEnd w:id="224"/>
    <w:bookmarkStart w:id="226" w:name="ref-wheaton2011"/>
    <w:p>
      <w:pPr>
        <w:pStyle w:val="Bibliography"/>
      </w:pPr>
      <w:r>
        <w:t xml:space="preserve">Wheaton, W.W., and Chandel, N.S. (2011). Hypoxia. 2. Hypoxia regulates cellular metabolism. Am J Physiol Cell Physiol</w:t>
      </w:r>
      <w:r>
        <w:t xml:space="preserve"> </w:t>
      </w:r>
      <w:r>
        <w:rPr>
          <w:iCs/>
          <w:i/>
        </w:rPr>
        <w:t xml:space="preserve">300</w:t>
      </w:r>
      <w:r>
        <w:t xml:space="preserve">, C385–93.</w:t>
      </w:r>
      <w:r>
        <w:t xml:space="preserve"> </w:t>
      </w:r>
      <w:hyperlink r:id="rId225">
        <w:r>
          <w:rPr>
            <w:rStyle w:val="Hyperlink"/>
          </w:rPr>
          <w:t xml:space="preserve">https://doi.org/10.1152/ajpcell.00485.2010</w:t>
        </w:r>
      </w:hyperlink>
      <w:r>
        <w:t xml:space="preserve">.</w:t>
      </w:r>
    </w:p>
    <w:bookmarkEnd w:id="226"/>
    <w:bookmarkStart w:id="228" w:name="ref-wierenga2019"/>
    <w:p>
      <w:pPr>
        <w:pStyle w:val="Bibliography"/>
      </w:pPr>
      <w:r>
        <w:t xml:space="preserve">Wierenga, A.T.J., Cunningham, A., Erdem, A., Lopera, N.V., Brouwers-Vos, A.Z., Pruis, M., Mulder, A.B., Gunther, U.L., Martens, J.H.A., Vellenga, E., et al. (2019). HIF1/2-exerted control over glycolytic gene expression is not functionally relevant for glycolysis in human leukemic stem/progenitor cells. Cancer Metab</w:t>
      </w:r>
      <w:r>
        <w:t xml:space="preserve"> </w:t>
      </w:r>
      <w:r>
        <w:rPr>
          <w:iCs/>
          <w:i/>
        </w:rPr>
        <w:t xml:space="preserve">7</w:t>
      </w:r>
      <w:r>
        <w:t xml:space="preserve">, 11.</w:t>
      </w:r>
      <w:r>
        <w:t xml:space="preserve"> </w:t>
      </w:r>
      <w:hyperlink r:id="rId227">
        <w:r>
          <w:rPr>
            <w:rStyle w:val="Hyperlink"/>
          </w:rPr>
          <w:t xml:space="preserve">https://doi.org/10.1186/s40170-019-0206-y</w:t>
        </w:r>
      </w:hyperlink>
      <w:r>
        <w:t xml:space="preserve">.</w:t>
      </w:r>
    </w:p>
    <w:bookmarkEnd w:id="228"/>
    <w:bookmarkStart w:id="230" w:name="ref-wise2011"/>
    <w:p>
      <w:pPr>
        <w:pStyle w:val="Bibliography"/>
      </w:pPr>
      <w:r>
        <w:t xml:space="preserve">Wise, D.R., Ward, P.S., Shay, J.E., Cross, J.R., Gruber, J.J., Sachdeva, U.M., Platt, J.M., DeMatteo, R.G., Simon, M.C., and Thompson, C.B. (2011). Hypoxia promotes isocitrate dehydrogenase-dependent carboxylation of alpha-ketoglutarate to citrate to support cell growth and viability. Proc Natl Acad Sci U S A</w:t>
      </w:r>
      <w:r>
        <w:t xml:space="preserve"> </w:t>
      </w:r>
      <w:r>
        <w:rPr>
          <w:iCs/>
          <w:i/>
        </w:rPr>
        <w:t xml:space="preserve">108</w:t>
      </w:r>
      <w:r>
        <w:t xml:space="preserve">, 19611–19616.</w:t>
      </w:r>
      <w:r>
        <w:t xml:space="preserve"> </w:t>
      </w:r>
      <w:hyperlink r:id="rId229">
        <w:r>
          <w:rPr>
            <w:rStyle w:val="Hyperlink"/>
          </w:rPr>
          <w:t xml:space="preserve">https://doi.org/10.1073/pnas.1117773108</w:t>
        </w:r>
      </w:hyperlink>
      <w:r>
        <w:t xml:space="preserve">.</w:t>
      </w:r>
    </w:p>
    <w:bookmarkEnd w:id="230"/>
    <w:bookmarkStart w:id="232" w:name="ref-xiao2020"/>
    <w:p>
      <w:pPr>
        <w:pStyle w:val="Bibliography"/>
      </w:pPr>
      <w:r>
        <w:t xml:space="preserve">Xiao, W., and Loscalzo, J. (2020). Metabolic Responses to Reductive Stress. Antioxid Redox Signal</w:t>
      </w:r>
      <w:r>
        <w:t xml:space="preserve"> </w:t>
      </w:r>
      <w:r>
        <w:rPr>
          <w:iCs/>
          <w:i/>
        </w:rPr>
        <w:t xml:space="preserve">32</w:t>
      </w:r>
      <w:r>
        <w:t xml:space="preserve">, 1330–1347.</w:t>
      </w:r>
      <w:r>
        <w:t xml:space="preserve"> </w:t>
      </w:r>
      <w:hyperlink r:id="rId231">
        <w:r>
          <w:rPr>
            <w:rStyle w:val="Hyperlink"/>
          </w:rPr>
          <w:t xml:space="preserve">https://doi.org/10.1089/ars.2019.7803</w:t>
        </w:r>
      </w:hyperlink>
      <w:r>
        <w:t xml:space="preserve">.</w:t>
      </w:r>
    </w:p>
    <w:bookmarkEnd w:id="232"/>
    <w:bookmarkStart w:id="234" w:name="ref-xue2017"/>
    <w:p>
      <w:pPr>
        <w:pStyle w:val="Bibliography"/>
      </w:pPr>
      <w:r>
        <w:t xml:space="preserve">Xue, J., Nelin, L.D., and Chen, B. (2017). Hypoxia induces arginase II expression and increases viable human pulmonary artery smooth muscle cell numbers via AMPKα1 signaling. American Journal of Physiology-Lung Cellular and Molecular Physiology</w:t>
      </w:r>
      <w:r>
        <w:t xml:space="preserve"> </w:t>
      </w:r>
      <w:r>
        <w:rPr>
          <w:iCs/>
          <w:i/>
        </w:rPr>
        <w:t xml:space="preserve">312</w:t>
      </w:r>
      <w:r>
        <w:t xml:space="preserve">, L568–L578.</w:t>
      </w:r>
      <w:r>
        <w:t xml:space="preserve"> </w:t>
      </w:r>
      <w:hyperlink r:id="rId233">
        <w:r>
          <w:rPr>
            <w:rStyle w:val="Hyperlink"/>
          </w:rPr>
          <w:t xml:space="preserve">https://doi.org/10.1152/ajplung.00117.2016</w:t>
        </w:r>
      </w:hyperlink>
      <w:r>
        <w:t xml:space="preserve">.</w:t>
      </w:r>
    </w:p>
    <w:bookmarkEnd w:id="234"/>
    <w:bookmarkStart w:id="236" w:name="ref-young2014"/>
    <w:p>
      <w:pPr>
        <w:pStyle w:val="Bibliography"/>
      </w:pPr>
      <w:r>
        <w:t xml:space="preserve">Young, J.D. (2014). INCA: a computational platform for isotopically non-stationary metabolic flux analysis. Bioinformatics</w:t>
      </w:r>
      <w:r>
        <w:t xml:space="preserve"> </w:t>
      </w:r>
      <w:r>
        <w:rPr>
          <w:iCs/>
          <w:i/>
        </w:rPr>
        <w:t xml:space="preserve">30</w:t>
      </w:r>
      <w:r>
        <w:t xml:space="preserve">, 1333–1335.</w:t>
      </w:r>
      <w:r>
        <w:t xml:space="preserve"> </w:t>
      </w:r>
      <w:hyperlink r:id="rId235">
        <w:r>
          <w:rPr>
            <w:rStyle w:val="Hyperlink"/>
          </w:rPr>
          <w:t xml:space="preserve">https://doi.org/10.1093/bioinformatics/btu015</w:t>
        </w:r>
      </w:hyperlink>
      <w:r>
        <w:t xml:space="preserve">.</w:t>
      </w:r>
    </w:p>
    <w:bookmarkEnd w:id="236"/>
    <w:bookmarkStart w:id="238" w:name="ref-young2014a"/>
    <w:p>
      <w:pPr>
        <w:pStyle w:val="Bibliography"/>
      </w:pPr>
      <w:r>
        <w:t xml:space="preserve">Young, J.D., Allen, D.K., and Morgan, J.A. (2014). Isotopomer measurement techniques in metabolic flux analysis II: mass spectrometry. Methods Mol Biol</w:t>
      </w:r>
      <w:r>
        <w:t xml:space="preserve"> </w:t>
      </w:r>
      <w:r>
        <w:rPr>
          <w:iCs/>
          <w:i/>
        </w:rPr>
        <w:t xml:space="preserve">1083</w:t>
      </w:r>
      <w:r>
        <w:t xml:space="preserve">, 85–108.</w:t>
      </w:r>
      <w:r>
        <w:t xml:space="preserve"> </w:t>
      </w:r>
      <w:hyperlink r:id="rId237">
        <w:r>
          <w:rPr>
            <w:rStyle w:val="Hyperlink"/>
          </w:rPr>
          <w:t xml:space="preserve">https://doi.org/10.1007/978-1-62703-661-0_7</w:t>
        </w:r>
      </w:hyperlink>
      <w:r>
        <w:t xml:space="preserve">.</w:t>
      </w:r>
    </w:p>
    <w:bookmarkEnd w:id="238"/>
    <w:bookmarkStart w:id="240" w:name="ref-zamorano2010"/>
    <w:p>
      <w:pPr>
        <w:pStyle w:val="Bibliography"/>
      </w:pPr>
      <w:r>
        <w:t xml:space="preserve">Zamorano, F., Wouwer, A.V., and Bastin, G. (2010). A detailed metabolic flux analysis of an underdetermined network of CHO cells. J Biotechnol</w:t>
      </w:r>
      <w:r>
        <w:t xml:space="preserve"> </w:t>
      </w:r>
      <w:r>
        <w:rPr>
          <w:iCs/>
          <w:i/>
        </w:rPr>
        <w:t xml:space="preserve">150</w:t>
      </w:r>
      <w:r>
        <w:t xml:space="preserve">, 497–508.</w:t>
      </w:r>
      <w:r>
        <w:t xml:space="preserve"> </w:t>
      </w:r>
      <w:hyperlink r:id="rId239">
        <w:r>
          <w:rPr>
            <w:rStyle w:val="Hyperlink"/>
          </w:rPr>
          <w:t xml:space="preserve">https://doi.org/10.1016/j.jbiotec.2010.09.944</w:t>
        </w:r>
      </w:hyperlink>
      <w:r>
        <w:t xml:space="preserve">.</w:t>
      </w:r>
    </w:p>
    <w:bookmarkEnd w:id="240"/>
    <w:bookmarkStart w:id="242" w:name="ref-zhang2007"/>
    <w:p>
      <w:pPr>
        <w:pStyle w:val="Bibliography"/>
      </w:pPr>
      <w:r>
        <w:t xml:space="preserve">Zhang, H., Gao, P., Fukuda, R., Kumar, G., Krishnamachary, B., Zeller, K.I., Dang, C.V., and Semenza, G.L. (2007). HIF-1 Inhibits Mitochondrial Biogenesis and Cellular Respiration in VHL-Deficient Renal Cell Carcinoma by Repression of C-MYC Activity. Cancer Cell</w:t>
      </w:r>
      <w:r>
        <w:t xml:space="preserve"> </w:t>
      </w:r>
      <w:r>
        <w:rPr>
          <w:iCs/>
          <w:i/>
        </w:rPr>
        <w:t xml:space="preserve">11</w:t>
      </w:r>
      <w:r>
        <w:t xml:space="preserve">, 407–420.</w:t>
      </w:r>
      <w:r>
        <w:t xml:space="preserve"> </w:t>
      </w:r>
      <w:hyperlink r:id="rId241">
        <w:r>
          <w:rPr>
            <w:rStyle w:val="Hyperlink"/>
          </w:rPr>
          <w:t xml:space="preserve">https://doi.org/10.1016/j.ccr.2007.04.001</w:t>
        </w:r>
      </w:hyperlink>
      <w:r>
        <w:t xml:space="preserve">.</w:t>
      </w:r>
    </w:p>
    <w:bookmarkEnd w:id="242"/>
    <w:bookmarkStart w:id="244" w:name="ref-zhang2008a"/>
    <w:p>
      <w:pPr>
        <w:pStyle w:val="Bibliography"/>
      </w:pPr>
      <w:r>
        <w:t xml:space="preserve">Zhang, H., Bosch-Marce, M., Shimoda, L.A., Tan, Y.S., Baek, J.H., Wesley, J.B., Gonzalez, F.J., and Semenza, G.L. (2008). Mitochondrial autophagy is an HIF-1-dependent adaptive metabolic response to hypoxia. J Biol Chem</w:t>
      </w:r>
      <w:r>
        <w:t xml:space="preserve"> </w:t>
      </w:r>
      <w:r>
        <w:rPr>
          <w:iCs/>
          <w:i/>
        </w:rPr>
        <w:t xml:space="preserve">283</w:t>
      </w:r>
      <w:r>
        <w:t xml:space="preserve">, 10892–10903.</w:t>
      </w:r>
      <w:r>
        <w:t xml:space="preserve"> </w:t>
      </w:r>
      <w:hyperlink r:id="rId243">
        <w:r>
          <w:rPr>
            <w:rStyle w:val="Hyperlink"/>
          </w:rPr>
          <w:t xml:space="preserve">https://doi.org/10.1074/jbc.M800102200</w:t>
        </w:r>
      </w:hyperlink>
      <w:r>
        <w:t xml:space="preserve">.</w:t>
      </w:r>
    </w:p>
    <w:bookmarkEnd w:id="244"/>
    <w:bookmarkStart w:id="246" w:name="ref-zhang2009a"/>
    <w:p>
      <w:pPr>
        <w:pStyle w:val="Bibliography"/>
      </w:pPr>
      <w:r>
        <w:t xml:space="preserve">Zhang, J., Sattler, M., Tonon, G., Grabher, C., Lababidi, S., Zimmerhackl, A., Raab, M.S., Vallet, S., Zhou, Y., Cartron, M.-A., et al. (2009). Targeting angiogenesis via a c-Myc/hypoxia-inducible factor-1alpha-dependent pathway in multiple myeloma. Cancer Res</w:t>
      </w:r>
      <w:r>
        <w:t xml:space="preserve"> </w:t>
      </w:r>
      <w:r>
        <w:rPr>
          <w:iCs/>
          <w:i/>
        </w:rPr>
        <w:t xml:space="preserve">69</w:t>
      </w:r>
      <w:r>
        <w:t xml:space="preserve">, 5082–5090.</w:t>
      </w:r>
      <w:r>
        <w:t xml:space="preserve"> </w:t>
      </w:r>
      <w:hyperlink r:id="rId245">
        <w:r>
          <w:rPr>
            <w:rStyle w:val="Hyperlink"/>
          </w:rPr>
          <w:t xml:space="preserve">https://doi.org/10.1158/0008-5472.CAN-08-4603</w:t>
        </w:r>
      </w:hyperlink>
      <w:r>
        <w:t xml:space="preserve">.</w:t>
      </w:r>
    </w:p>
    <w:bookmarkEnd w:id="246"/>
    <w:bookmarkEnd w:id="247"/>
    <w:p>
      <w:r>
        <w:br w:type="page"/>
      </w:r>
    </w:p>
    <w:bookmarkEnd w:id="248"/>
    <w:bookmarkStart w:id="249"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49"/>
    <w:bookmarkStart w:id="271"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red) or 0.5% (blue)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251" name="Picture"/>
            <a:graphic>
              <a:graphicData uri="http://schemas.openxmlformats.org/drawingml/2006/picture">
                <pic:pic>
                  <pic:nvPicPr>
                    <pic:cNvPr descr="/Users/will/Dropbox%20(Partners%20HealthCare)/_data/Copeland.2022.hypoxia.flux/manuscript/figures/m1.png" id="252" name="Picture"/>
                    <pic:cNvPicPr>
                      <a:picLocks noChangeArrowheads="1" noChangeAspect="1"/>
                    </pic:cNvPicPr>
                  </pic:nvPicPr>
                  <pic:blipFill>
                    <a:blip r:embed="rId250"/>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PHD inhibition molidustat (BAY, 10 μM) (purple) or DMSO (green)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treatment as the fixed effect and biological replicate as a random effect with p-values adjusted using the multivariate t distribution (* p &lt; 0.05)." title="" id="254" name="Picture"/>
            <a:graphic>
              <a:graphicData uri="http://schemas.openxmlformats.org/drawingml/2006/picture">
                <pic:pic>
                  <pic:nvPicPr>
                    <pic:cNvPr descr="/Users/will/Dropbox%20(Partners%20HealthCare)/_data/Copeland.2022.hypoxia.flux/manuscript/figures/m2.png" id="255" name="Picture"/>
                    <pic:cNvPicPr>
                      <a:picLocks noChangeArrowheads="1" noChangeAspect="1"/>
                    </pic:cNvPicPr>
                  </pic:nvPicPr>
                  <pic:blipFill>
                    <a:blip r:embed="rId253"/>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6400800" cy="4630624"/>
            <wp:effectExtent b="0" l="0" r="0" t="0"/>
            <wp:docPr descr="Figure 3: Metabolic flux analysis of lung fibroblasts following hypoxic and pharmacologic PHD inhibition. (A) Mass isotopomer distribution (MID) of pyruvate (PYR) following 72 h labeling of LFs with [U-13C6]-glucose (GLC). (B) MID of citrate after 72 h labeling of LFs with [U-13C6]-GLC (C) MID of citrate after 72 h labeling of LFs with [U-13C5]-glutamine (GLN).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D) Fraction of M5 citrate indicating reductive carboxylation after labeling with [U-13C5]-GLN in LFs and PASMCs (n = 3-4, * p &lt; 0.05 0.5% v. 21% oxygen). (E) Ratio of metabolic fluxes in 0.5% oxygen compared to 21% oxygen. Fluxes with non-overlapping confidence intervals are highlighted with arrows colored according to the magnitude of the change. Arrow thickness corresponds to the absolute flux measured in hypoxia. (F) Ratio of metabolic fluxes in BAY-treated cells compared to DMSO-treated control. Arrows are colored as in (E) and arrow weights correspond to the absolute flux as measured in BAY-treated cells." title="" id="257" name="Picture"/>
            <a:graphic>
              <a:graphicData uri="http://schemas.openxmlformats.org/drawingml/2006/picture">
                <pic:pic>
                  <pic:nvPicPr>
                    <pic:cNvPr descr="/Users/will/Dropbox%20(Partners%20HealthCare)/_data/Copeland.2022.hypoxia.flux/manuscript/figures/m3.png" id="258" name="Picture"/>
                    <pic:cNvPicPr>
                      <a:picLocks noChangeArrowheads="1" noChangeAspect="1"/>
                    </pic:cNvPicPr>
                  </pic:nvPicPr>
                  <pic:blipFill>
                    <a:blip r:embed="rId256"/>
                    <a:stretch>
                      <a:fillRect/>
                    </a:stretch>
                  </pic:blipFill>
                  <pic:spPr bwMode="auto">
                    <a:xfrm>
                      <a:off x="0" y="0"/>
                      <a:ext cx="6400800" cy="4630624"/>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192754"/>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title="" id="260" name="Picture"/>
            <a:graphic>
              <a:graphicData uri="http://schemas.openxmlformats.org/drawingml/2006/picture">
                <pic:pic>
                  <pic:nvPicPr>
                    <pic:cNvPr descr="/Users/will/Dropbox%20(Partners%20HealthCare)/_data/Copeland.2022.hypoxia.flux/manuscript/figures/m4.png" id="261" name="Picture"/>
                    <pic:cNvPicPr>
                      <a:picLocks noChangeArrowheads="1" noChangeAspect="1"/>
                    </pic:cNvPicPr>
                  </pic:nvPicPr>
                  <pic:blipFill>
                    <a:blip r:embed="rId259"/>
                    <a:stretch>
                      <a:fillRect/>
                    </a:stretch>
                  </pic:blipFill>
                  <pic:spPr bwMode="auto">
                    <a:xfrm>
                      <a:off x="0" y="0"/>
                      <a:ext cx="3541388" cy="3192754"/>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Comparisons were made using linear mixed effects models with oxygen × treatment as the fixed effects and biological replicate as a random effect with p-values adjusted using the multivariate t distribution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s in 21% or 0.5% oxygen. Blue circles indicate increased levels in hypoxia while red circles indicate decreases with hypoxia. (F) Metabolite set enrichment analysis of metabolites from (E). KEGG pathways with p-values &lt; 0.05 are shown. (G)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Comparisons were made using linear mixed effects models with treatment as the fixed effect and biological replicate as a random effect with p-values adjusted using the multivariate t distribution (p &lt; 0.05 with black * indicating a significant effect of treatment within a given oxygen tension and colored * indicating a significant effect of treatment within a given oxygen tension denoted by the color)." title="" id="263" name="Picture"/>
            <a:graphic>
              <a:graphicData uri="http://schemas.openxmlformats.org/drawingml/2006/picture">
                <pic:pic>
                  <pic:nvPicPr>
                    <pic:cNvPr descr="/Users/will/Dropbox%20(Partners%20HealthCare)/_data/Copeland.2022.hypoxia.flux/manuscript/figures/m5.png" id="264" name="Picture"/>
                    <pic:cNvPicPr>
                      <a:picLocks noChangeArrowheads="1" noChangeAspect="1"/>
                    </pic:cNvPicPr>
                  </pic:nvPicPr>
                  <pic:blipFill>
                    <a:blip r:embed="rId262"/>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66" name="Picture"/>
            <a:graphic>
              <a:graphicData uri="http://schemas.openxmlformats.org/drawingml/2006/picture">
                <pic:pic>
                  <pic:nvPicPr>
                    <pic:cNvPr descr="/Users/will/Dropbox%20(Partners%20HealthCare)/_data/Copeland.2022.hypoxia.flux/manuscript/figures/m6.png" id="267" name="Picture"/>
                    <pic:cNvPicPr>
                      <a:picLocks noChangeArrowheads="1" noChangeAspect="1"/>
                    </pic:cNvPicPr>
                  </pic:nvPicPr>
                  <pic:blipFill>
                    <a:blip r:embed="rId265"/>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05016" cy="4400741"/>
            <wp:effectExtent b="0" l="0" r="0" t="0"/>
            <wp:docPr descr="Figure 7: MYC regulates HIF-dependent glycolytic flux. (A) Representative immunoblot of MYC protein expression in lung fibroblasts following 72 h of treatment with 0.5% oxygen or molidustat (BAY, B). (B) Quantification of band densities from (A). (C) Working model illustrating that hypoxia-induced MYC antagonizes HIF-dependent metabolic and transcriptional events. (D) Representative immunoblot of lung fibroblasts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of n = 3-7 biological replicates. Comparisons were made using linear mixed effects models with oxygen × treatment as the fixed effects and biological replicate as a random effect. The multivariate t distribution was used to determine significant differences (p &lt; 0.05) as indicated by black * for differences within groups and colored * for differences between groups defined by the x-axis." title="" id="269" name="Picture"/>
            <a:graphic>
              <a:graphicData uri="http://schemas.openxmlformats.org/drawingml/2006/picture">
                <pic:pic>
                  <pic:nvPicPr>
                    <pic:cNvPr descr="/Users/will/Dropbox%20(Partners%20HealthCare)/_data/Copeland.2022.hypoxia.flux/manuscript/figures/m7.png" id="270" name="Picture"/>
                    <pic:cNvPicPr>
                      <a:picLocks noChangeArrowheads="1" noChangeAspect="1"/>
                    </pic:cNvPicPr>
                  </pic:nvPicPr>
                  <pic:blipFill>
                    <a:blip r:embed="rId268"/>
                    <a:stretch>
                      <a:fillRect/>
                    </a:stretch>
                  </pic:blipFill>
                  <pic:spPr bwMode="auto">
                    <a:xfrm>
                      <a:off x="0" y="0"/>
                      <a:ext cx="4205016"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bookmarkEnd w:id="271"/>
    <w:sectPr w:rsidR="00DE058C" w:rsidSect="000650CF">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2"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210" Target="https://doi.org/10.1016/j.cell.2012.01.02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9"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143" Target="https://doi.org/10.1016/j.molcel.2008.04.009"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93" Target="https://doi.org/10.1038/msb.2013.65"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64" Target="https://doi.org/10.1038/s12276-018-0060-y" TargetMode="External" /><Relationship Type="http://schemas.openxmlformats.org/officeDocument/2006/relationships/hyperlink" Id="rId157"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9" Target="https://doi.org/10.1038/s41580-020-0227-y"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7" Target="https://doi.org/10.1074/jbc.M112.396796"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206" Target="https://doi.org/10.1093/nar/gkv00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210" Target="https://doi.org/10.1016/j.cell.2012.01.02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9"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143" Target="https://doi.org/10.1016/j.molcel.2008.04.009"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93" Target="https://doi.org/10.1038/msb.2013.65"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64" Target="https://doi.org/10.1038/s12276-018-0060-y" TargetMode="External" /><Relationship Type="http://schemas.openxmlformats.org/officeDocument/2006/relationships/hyperlink" Id="rId157"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9" Target="https://doi.org/10.1038/s41580-020-0227-y"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7" Target="https://doi.org/10.1074/jbc.M112.396796"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206" Target="https://doi.org/10.1093/nar/gkv00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2022-07-30T14:56:15Z</dcterms:created>
  <dcterms:modified xsi:type="dcterms:W3CDTF">2022-07-30T14:56:15Z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