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bookmarkStart w:id="21" w:name="abstract"/>
    <w:p>
      <w:pPr>
        <w:pStyle w:val="Heading1"/>
      </w:pPr>
      <w:r>
        <w:t xml:space="preserve">Abstract</w:t>
      </w:r>
    </w:p>
    <w:bookmarkEnd w:id="21"/>
    <w:bookmarkStart w:id="22" w:name="keywords"/>
    <w:p>
      <w:pPr>
        <w:pStyle w:val="Heading1"/>
      </w:pPr>
      <w:r>
        <w:t xml:space="preserve">Keywords</w:t>
      </w:r>
    </w:p>
    <w:p>
      <w:pPr>
        <w:pStyle w:val="FirstParagraph"/>
      </w:pPr>
      <w:r>
        <w:t xml:space="preserve">/ /</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activities from wound healing and angiogenesis to vascular remodeling and fibrosis</w:t>
      </w:r>
      <w:r>
        <w:t xml:space="preserve"> </w:t>
      </w:r>
      <w:r>
        <w:t xml:space="preserve">(</w:t>
      </w:r>
      <w:hyperlink w:anchor="ref-lee2019">
        <w:r>
          <w:rPr>
            <w:rStyle w:val="Hyperlink"/>
          </w:rPr>
          <w:t xml:space="preserve">Lee et al., 2019a</w:t>
        </w:r>
      </w:hyperlink>
      <w:r>
        <w:t xml:space="preserve">;</w:t>
      </w:r>
      <w:r>
        <w:t xml:space="preserve"> </w:t>
      </w:r>
      <w:hyperlink w:anchor="ref-semenza2012b">
        <w:r>
          <w:rPr>
            <w:rStyle w:val="Hyperlink"/>
          </w:rPr>
          <w:t xml:space="preserve">Semenza, 2012</w:t>
        </w:r>
      </w:hyperlink>
      <w:r>
        <w:t xml:space="preserve">)</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energetic needs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w:t>
      </w:r>
      <w:hyperlink w:anchor="ref-lee2020b">
        <w:r>
          <w:rPr>
            <w:rStyle w:val="Hyperlink"/>
          </w:rPr>
          <w:t xml:space="preserve">Lee et al., 2020</w:t>
        </w:r>
      </w:hyperlink>
      <w:r>
        <w:t xml:space="preserve">;</w:t>
      </w:r>
      <w:r>
        <w:t xml:space="preserve"> </w:t>
      </w:r>
      <w:hyperlink w:anchor="ref-semenza2012b">
        <w:r>
          <w:rPr>
            <w:rStyle w:val="Hyperlink"/>
          </w:rPr>
          <w:t xml:space="preserve">Semenza, 2012</w:t>
        </w:r>
      </w:hyperlink>
      <w:r>
        <w:t xml:space="preserve">)</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w:t>
      </w:r>
      <w:hyperlink w:anchor="ref-kaelin2008a">
        <w:r>
          <w:rPr>
            <w:rStyle w:val="Hyperlink"/>
          </w:rPr>
          <w:t xml:space="preserve">Kaelin and Ratcliffe, 2008</w:t>
        </w:r>
      </w:hyperlink>
      <w:r>
        <w:t xml:space="preserve">)</w:t>
      </w:r>
      <w:r>
        <w:t xml:space="preserve">. PHDs are α-ketoglutarate-dependent dioxygenase enzymes that require molecular oxygen for their enzymatic activity. When oxygen tension falls, PHD activity decreases, leading to HIF-1α stabilization and activation of its associated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demands through down-regulation of Na</w:t>
      </w:r>
      <w:r>
        <w:rPr>
          <w:vertAlign w:val="superscript"/>
        </w:rPr>
        <w:t xml:space="preserve">+</w:t>
      </w:r>
      <w:r>
        <w:t xml:space="preserve">/K</w:t>
      </w:r>
      <w:r>
        <w:rPr>
          <w:vertAlign w:val="superscript"/>
        </w:rPr>
        <w:t xml:space="preserve">+</w:t>
      </w:r>
      <w:r>
        <w:t xml:space="preserve">-ATPase, slowing protein translation, and attenuating cell proliferation</w:t>
      </w:r>
      <w:r>
        <w:t xml:space="preserve"> </w:t>
      </w:r>
      <w:r>
        <w:t xml:space="preserve">(</w:t>
      </w:r>
      <w:hyperlink w:anchor="ref-hubbi2015">
        <w:r>
          <w:rPr>
            <w:rStyle w:val="Hyperlink"/>
          </w:rPr>
          <w:t xml:space="preserve">Hubbi and Semenza, 2015</w:t>
        </w:r>
      </w:hyperlink>
      <w:r>
        <w:t xml:space="preserve">;</w:t>
      </w:r>
      <w:r>
        <w:t xml:space="preserve"> </w:t>
      </w:r>
      <w:hyperlink w:anchor="ref-wheaton2011">
        <w:r>
          <w:rPr>
            <w:rStyle w:val="Hyperlink"/>
          </w:rPr>
          <w:t xml:space="preserve">Wheaton and Chandel, 2011</w:t>
        </w:r>
      </w:hyperlink>
      <w:r>
        <w:t xml:space="preserve">)</w:t>
      </w:r>
      <w:r>
        <w:t xml:space="preserve">. In particular, HIF-1α decreases cell proliferation by activating cyclin-dependent kinase inhibitor expression, inhibiting cell cycle checkpoint progression</w:t>
      </w:r>
      <w:r>
        <w:t xml:space="preserve"> </w:t>
      </w:r>
      <w:r>
        <w:t xml:space="preserve">(</w:t>
      </w:r>
      <w:hyperlink w:anchor="ref-gardner2001">
        <w:r>
          <w:rPr>
            <w:rStyle w:val="Hyperlink"/>
          </w:rPr>
          <w:t xml:space="preserve">Gardner et al., 2001</w:t>
        </w:r>
      </w:hyperlink>
      <w:r>
        <w:t xml:space="preserve">)</w:t>
      </w:r>
      <w:r>
        <w:t xml:space="preserve">, and antagonizing pro-proliferative MYC signaling</w:t>
      </w:r>
      <w:r>
        <w:t xml:space="preserve"> </w:t>
      </w:r>
      <w:r>
        <w:t xml:space="preserve">(</w:t>
      </w:r>
      <w:hyperlink w:anchor="ref-koshiji2004">
        <w:r>
          <w:rPr>
            <w:rStyle w:val="Hyperlink"/>
          </w:rPr>
          <w:t xml:space="preserve">Koshiji et al., 2004</w:t>
        </w:r>
      </w:hyperlink>
      <w:r>
        <w:t xml:space="preserve">)</w:t>
      </w:r>
      <w:r>
        <w:t xml:space="preserve">. Despite these canonical effects of HIF-1α activation, there are many examples where cells continue to proliferate despite hypoxic stress, including cancer cells, stem cells, and lung vascular cells</w:t>
      </w:r>
      <w:r>
        <w:t xml:space="preserve"> </w:t>
      </w:r>
      <w:r>
        <w:t xml:space="preserve">(</w:t>
      </w:r>
      <w:hyperlink w:anchor="ref-hubbi2015">
        <w:r>
          <w:rPr>
            <w:rStyle w:val="Hyperlink"/>
          </w:rPr>
          <w:t xml:space="preserve">Hubbi and Semenza, 2015</w:t>
        </w:r>
      </w:hyperlink>
      <w:r>
        <w:t xml:space="preserve">)</w:t>
      </w:r>
      <w:r>
        <w:t xml:space="preserve">. How these cells meet the metabolic needs of sustained proliferation in hypoxia and how these adaptations are regulated are an active area of investigation</w:t>
      </w:r>
      <w:r>
        <w:t xml:space="preserve"> </w:t>
      </w:r>
      <w:r>
        <w:t xml:space="preserve">(</w:t>
      </w:r>
      <w:hyperlink w:anchor="ref-jain2020">
        <w:r>
          <w:rPr>
            <w:rStyle w:val="Hyperlink"/>
          </w:rPr>
          <w:t xml:space="preserve">Jain et al., 2020</w:t>
        </w:r>
      </w:hyperlink>
      <w:r>
        <w:t xml:space="preserve">;</w:t>
      </w:r>
      <w:r>
        <w:t xml:space="preserve"> </w:t>
      </w:r>
      <w:hyperlink w:anchor="ref-lee2020b">
        <w:r>
          <w:rPr>
            <w:rStyle w:val="Hyperlink"/>
          </w:rPr>
          <w:t xml:space="preserve">Lee et al., 2020</w:t>
        </w:r>
      </w:hyperlink>
      <w:r>
        <w:t xml:space="preserve">;</w:t>
      </w:r>
      <w:r>
        <w:t xml:space="preserve"> </w:t>
      </w:r>
      <w:hyperlink w:anchor="ref-oldham2015">
        <w:r>
          <w:rPr>
            <w:rStyle w:val="Hyperlink"/>
          </w:rPr>
          <w:t xml:space="preserve">Oldham et al., 2015</w:t>
        </w:r>
      </w:hyperlink>
      <w:r>
        <w:t xml:space="preserve">)</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w:t>
      </w:r>
      <w:hyperlink w:anchor="ref-garcia-bermudez2018">
        <w:r>
          <w:rPr>
            <w:rStyle w:val="Hyperlink"/>
          </w:rPr>
          <w:t xml:space="preserve">Garcia-Bermudez et al., 2018</w:t>
        </w:r>
      </w:hyperlink>
      <w:r>
        <w:t xml:space="preserve">;</w:t>
      </w:r>
      <w:r>
        <w:t xml:space="preserve"> </w:t>
      </w:r>
      <w:hyperlink w:anchor="ref-jiang2016">
        <w:r>
          <w:rPr>
            <w:rStyle w:val="Hyperlink"/>
          </w:rPr>
          <w:t xml:space="preserve">Jiang et al., 2016</w:t>
        </w:r>
      </w:hyperlink>
      <w:r>
        <w:t xml:space="preserve">;</w:t>
      </w:r>
      <w:r>
        <w:t xml:space="preserve"> </w:t>
      </w:r>
      <w:hyperlink w:anchor="ref-lee2019a">
        <w:r>
          <w:rPr>
            <w:rStyle w:val="Hyperlink"/>
          </w:rPr>
          <w:t xml:space="preserve">Lee et al., 2019b</w:t>
        </w:r>
      </w:hyperlink>
      <w:r>
        <w:t xml:space="preserve">;</w:t>
      </w:r>
      <w:r>
        <w:t xml:space="preserve"> </w:t>
      </w:r>
      <w:hyperlink w:anchor="ref-melendez-rodriguez2019">
        <w:r>
          <w:rPr>
            <w:rStyle w:val="Hyperlink"/>
          </w:rPr>
          <w:t xml:space="preserve">Melendez-Rodriguez et al., 2019</w:t>
        </w:r>
      </w:hyperlink>
      <w:r>
        <w:t xml:space="preserve">;</w:t>
      </w:r>
      <w:r>
        <w:t xml:space="preserve"> </w:t>
      </w:r>
      <w:hyperlink w:anchor="ref-metallo2011">
        <w:r>
          <w:rPr>
            <w:rStyle w:val="Hyperlink"/>
          </w:rPr>
          <w:t xml:space="preserve">Metallo et al., 2011</w:t>
        </w:r>
      </w:hyperlink>
      <w:r>
        <w:t xml:space="preserve">;</w:t>
      </w:r>
      <w:r>
        <w:t xml:space="preserve"> </w:t>
      </w:r>
      <w:hyperlink w:anchor="ref-wise2011">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supporting tumor growth</w:t>
      </w:r>
      <w:r>
        <w:t xml:space="preserve"> </w:t>
      </w:r>
      <w:r>
        <w:t xml:space="preserve">(</w:t>
      </w:r>
      <w:hyperlink w:anchor="ref-gameiro2013a">
        <w:r>
          <w:rPr>
            <w:rStyle w:val="Hyperlink"/>
          </w:rPr>
          <w:t xml:space="preserve">Gameiro et al., 2013</w:t>
        </w:r>
      </w:hyperlink>
      <w:r>
        <w:t xml:space="preserve">;</w:t>
      </w:r>
      <w:r>
        <w:t xml:space="preserve"> </w:t>
      </w:r>
      <w:hyperlink w:anchor="ref-metallo2011">
        <w:r>
          <w:rPr>
            <w:rStyle w:val="Hyperlink"/>
          </w:rPr>
          <w:t xml:space="preserve">Metallo et al., 2011</w:t>
        </w:r>
      </w:hyperlink>
      <w:r>
        <w:t xml:space="preserve">;</w:t>
      </w:r>
      <w:r>
        <w:t xml:space="preserve"> </w:t>
      </w:r>
      <w:hyperlink w:anchor="ref-scott2011">
        <w:r>
          <w:rPr>
            <w:rStyle w:val="Hyperlink"/>
          </w:rPr>
          <w:t xml:space="preserve">Scott et al., 2011</w:t>
        </w:r>
      </w:hyperlink>
      <w:r>
        <w:t xml:space="preserve">;</w:t>
      </w:r>
      <w:r>
        <w:t xml:space="preserve"> </w:t>
      </w:r>
      <w:hyperlink w:anchor="ref-wise2011">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garcia-bermudez2018">
        <w:r>
          <w:rPr>
            <w:rStyle w:val="Hyperlink"/>
          </w:rPr>
          <w:t xml:space="preserve">Garcia-Bermudez et al., 2018</w:t>
        </w:r>
      </w:hyperlink>
      <w:r>
        <w:t xml:space="preserve">)</w:t>
      </w:r>
      <w:r>
        <w:t xml:space="preserve">. By contrast, comparatively little is known about metabolic adaptations of primary cells to hypoxia. Indeed, the importance of reductive carboxylation or aspartate biosynthesis remains to be elucidated in these cells. A more complete understanding of primary cell metabolic adaptation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flamme2014">
        <w:r>
          <w:rPr>
            <w:rStyle w:val="Hyperlink"/>
          </w:rPr>
          <w:t xml:space="preserve">Flamme et al., 2014</w:t>
        </w:r>
      </w:hyperlink>
      <w:r>
        <w:t xml:space="preserve">)</w:t>
      </w:r>
      <w:r>
        <w:t xml:space="preserve"> </w:t>
      </w:r>
      <w:r>
        <w:t xml:space="preserve">did increase glycolysis and lactate efflux; however, hypoxia blocked this response. These findings suggested the existence of important hypoxia-dependent regulatory mechanisms that override the metabolic consequences of HIF-1α-dependent up-regulation of glycolytic gene expression in human primary cells. Transcriptomic profiling suggested a critical role for the transcription factor MYC in the adaptive response to hypoxia. Using knockdown and overexpression approaches, we demonstrate that MYC attenuates HIF-driven glycolysis in hypoxia and following BAY treatment.</w:t>
      </w:r>
    </w:p>
    <w:p>
      <w:r>
        <w:br w:type="page"/>
      </w:r>
    </w:p>
    <w:bookmarkEnd w:id="23"/>
    <w:bookmarkStart w:id="25" w:name="results"/>
    <w:p>
      <w:pPr>
        <w:pStyle w:val="Heading1"/>
      </w:pPr>
      <w:r>
        <w:t xml:space="preserve">Results</w:t>
      </w:r>
    </w:p>
    <w:bookmarkStart w:id="24" w:name="Xf0b5b0f8d7883fdd60be6d75ed1d8a506f0bf63"/>
    <w:p>
      <w:pPr>
        <w:pStyle w:val="Heading2"/>
      </w:pPr>
      <w:r>
        <w:t xml:space="preserve">Hypoxia uncouples HIF target gene expression and glycolytic flux</w:t>
      </w:r>
    </w:p>
    <w:p>
      <w:pPr>
        <w:pStyle w:val="FirstParagraph"/>
      </w:pPr>
      <w:r>
        <w:t xml:space="preserve">The goal of this study was to characterize hypoxia-induced metabolic changes in proliferating primary LFs and PASMCs. To accomplish this goal, we adopted a metabolic flux analysis (MFA) technique that enabled us to link intracellular metabolic fluxes to cell proliferation rates. MFA fits cell proliferation rate, extracellular flux measurements, and</w:t>
      </w:r>
      <w:r>
        <w:t xml:space="preserve"> </w:t>
      </w:r>
      <w:r>
        <w:rPr>
          <w:vertAlign w:val="superscript"/>
        </w:rPr>
        <w:t xml:space="preserve">13</w:t>
      </w:r>
      <w:r>
        <w:t xml:space="preserve">C intracellular isotope labeling patterns to a model of cell metabolism</w:t>
      </w:r>
      <w:r>
        <w:t xml:space="preserve"> </w:t>
      </w:r>
      <w:r>
        <w:t xml:space="preserve">(</w:t>
      </w:r>
      <w:hyperlink w:anchor="ref-antoniewicz2018">
        <w:r>
          <w:rPr>
            <w:rStyle w:val="Hyperlink"/>
          </w:rPr>
          <w:t xml:space="preserve">Antoniewicz, 2018</w:t>
        </w:r>
      </w:hyperlink>
      <w:r>
        <w:t xml:space="preserve">)</w:t>
      </w:r>
      <w:r>
        <w:t xml:space="preserve">. This analysis reconstructs comprehensive flux maps that depict the flow of carbon from extracellular substrates, throughout intracellular metabolism, and into cell biomass and metabolic by-products</w:t>
      </w:r>
      <w:r>
        <w:t xml:space="preserve"> </w:t>
      </w:r>
      <w:r>
        <w:t xml:space="preserve">(</w:t>
      </w:r>
      <w:hyperlink w:anchor="ref-young2014">
        <w:r>
          <w:rPr>
            <w:rStyle w:val="Hyperlink"/>
          </w:rPr>
          <w:t xml:space="preserve">Young, 2014</w:t>
        </w:r>
      </w:hyperlink>
      <w:r>
        <w:t xml:space="preserve">)</w:t>
      </w:r>
      <w:r>
        <w:t xml:space="preserve">. These models assume that cells are at a metabolic pseudo-steady state over the experimental time course</w:t>
      </w:r>
      <w:r>
        <w:t xml:space="preserve"> </w:t>
      </w:r>
      <w:r>
        <w:t xml:space="preserve">(</w:t>
      </w:r>
      <w:hyperlink w:anchor="ref-buescher2015">
        <w:r>
          <w:rPr>
            <w:rStyle w:val="Hyperlink"/>
          </w:rPr>
          <w:t xml:space="preserve">Buescher et al., 2015</w:t>
        </w:r>
      </w:hyperlink>
      <w:r>
        <w:t xml:space="preserve">)</w:t>
      </w:r>
      <w:r>
        <w:t xml:space="preserve">. Exponential growth phase is throught to reflect metabolic pseudo-steady state, because cells in the culture steadily divide at their maximal condition-specific rate, as long as nutrient supply does not become limiting</w:t>
      </w:r>
      <w:r>
        <w:t xml:space="preserve"> </w:t>
      </w:r>
      <w:r>
        <w:t xml:space="preserve">(</w:t>
      </w:r>
      <w:hyperlink w:anchor="ref-ahn2011">
        <w:r>
          <w:rPr>
            <w:rStyle w:val="Hyperlink"/>
          </w:rPr>
          <w:t xml:space="preserve">Ahn and Antoniewicz, 2011</w:t>
        </w:r>
      </w:hyperlink>
      <w:r>
        <w:t xml:space="preserve">;</w:t>
      </w:r>
      <w:r>
        <w:t xml:space="preserve"> </w:t>
      </w:r>
      <w:hyperlink w:anchor="ref-buescher2015">
        <w:r>
          <w:rPr>
            <w:rStyle w:val="Hyperlink"/>
          </w:rPr>
          <w:t xml:space="preserve">Buescher et al., 2015</w:t>
        </w:r>
      </w:hyperlink>
      <w:r>
        <w:t xml:space="preserve">)</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w:t>
      </w:r>
      <w:r>
        <w:rPr>
          <w:bCs/>
          <w:b/>
        </w:rPr>
        <w:t xml:space="preserve"> </w:t>
      </w:r>
      <w:r>
        <w:rPr>
          <w:bCs/>
          <w:b/>
        </w:rPr>
        <w:t xml:space="preserve">??</w:t>
      </w:r>
      <w:r>
        <w:rPr>
          <w:bCs/>
          <w:b/>
        </w:rPr>
        <w:t xml:space="preserve">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w:t>
      </w:r>
      <w:hyperlink w:anchor="ref-lee2020b">
        <w:r>
          <w:rPr>
            <w:rStyle w:val="Hyperlink"/>
          </w:rPr>
          <w:t xml:space="preserve">Lee et al., 2020</w:t>
        </w:r>
      </w:hyperlink>
      <w:r>
        <w:t xml:space="preserve">;</w:t>
      </w:r>
      <w:r>
        <w:t xml:space="preserve"> </w:t>
      </w:r>
      <w:hyperlink w:anchor="ref-wenger2015">
        <w:r>
          <w:rPr>
            <w:rStyle w:val="Hyperlink"/>
          </w:rPr>
          <w:t xml:space="preserve">Wenger et al., 2015</w:t>
        </w:r>
      </w:hyperlink>
      <w:r>
        <w:t xml:space="preserve">)</w:t>
      </w:r>
      <w:r>
        <w:t xml:space="preserve">. From this starting point, we identified the optimal cell seeding density and time course to capture exponential cell growth (</w:t>
      </w:r>
      <w:r>
        <w:rPr>
          <w:bCs/>
          <w:b/>
        </w:rPr>
        <w:t xml:space="preserve">Fig</w:t>
      </w:r>
      <w:r>
        <w:rPr>
          <w:bCs/>
          <w:b/>
        </w:rPr>
        <w:t xml:space="preserve"> </w:t>
      </w:r>
      <w:r>
        <w:rPr>
          <w:bCs/>
          <w:b/>
        </w:rPr>
        <w:t xml:space="preserve">??</w:t>
      </w:r>
      <w:r>
        <w:rPr>
          <w:bCs/>
          <w:b/>
        </w:rPr>
        <w:t xml:space="preserve">B</w:t>
      </w:r>
      <w:r>
        <w:t xml:space="preserve">). LFs cultured in 0.5% oxygen grew more slowly than LFs cultured in 21% oxygen (</w:t>
      </w:r>
      <w:r>
        <w:rPr>
          <w:bCs/>
          <w:b/>
        </w:rPr>
        <w:t xml:space="preserve">Fig</w:t>
      </w:r>
      <w:r>
        <w:rPr>
          <w:bCs/>
          <w:b/>
        </w:rPr>
        <w:t xml:space="preserve"> </w:t>
      </w:r>
      <w:r>
        <w:rPr>
          <w:bCs/>
          <w:b/>
        </w:rPr>
        <w:t xml:space="preserve">??</w:t>
      </w:r>
      <w:r>
        <w:rPr>
          <w:bCs/>
          <w:b/>
        </w:rPr>
        <w:t xml:space="preserve">C</w:t>
      </w:r>
      <w:r>
        <w:t xml:space="preserve">), but slower growth was not associated with decreased cell viability (</w:t>
      </w:r>
      <w:r>
        <w:rPr>
          <w:bCs/>
          <w:b/>
        </w:rPr>
        <w:t xml:space="preserve">Fig S1A</w:t>
      </w:r>
      <w:r>
        <w:t xml:space="preserve">). As anticipated, hypoxic cells demonstrated robust stabilization of HIF-1α protein associated with up-regulation of downstream targets, such as glucose transporter 1 (GLUT1) and lactate dehydrogenase A (LDHA) (</w:t>
      </w:r>
      <w:r>
        <w:rPr>
          <w:bCs/>
          <w:b/>
        </w:rPr>
        <w:t xml:space="preserve">Figs</w:t>
      </w:r>
      <w:r>
        <w:rPr>
          <w:bCs/>
          <w:b/>
        </w:rPr>
        <w:t xml:space="preserve"> </w:t>
      </w:r>
      <w:r>
        <w:rPr>
          <w:bCs/>
          <w:b/>
        </w:rPr>
        <w:t xml:space="preserve">??</w:t>
      </w:r>
      <w:r>
        <w:rPr>
          <w:bCs/>
          <w:b/>
        </w:rPr>
        <w:t xml:space="preserve">D-H</w:t>
      </w:r>
      <w:r>
        <w:t xml:space="preserve">). These changes persisted for the duration of the experimental time course.</w:t>
      </w:r>
    </w:p>
    <w:p>
      <w:pPr>
        <w:pStyle w:val="BodyText"/>
      </w:pPr>
      <w:r>
        <w:t xml:space="preserve">Having identified experimental conditions for exponential growth, we next determined extracellular fluxes of glucose (GLC), lactate (LAC), pyruvate (PYR), and amino acids (</w:t>
      </w:r>
      <w:r>
        <w:rPr>
          <w:bCs/>
          <w:b/>
        </w:rPr>
        <w:t xml:space="preserve">Figs</w:t>
      </w:r>
      <w:r>
        <w:rPr>
          <w:bCs/>
          <w:b/>
        </w:rPr>
        <w:t xml:space="preserve"> </w:t>
      </w:r>
      <w:r>
        <w:rPr>
          <w:bCs/>
          <w:b/>
        </w:rPr>
        <w:t xml:space="preserve">??</w:t>
      </w:r>
      <w:r>
        <w:rPr>
          <w:bCs/>
          <w:b/>
        </w:rPr>
        <w:t xml:space="preserve">I-J</w:t>
      </w:r>
      <w:r>
        <w:t xml:space="preserve">). Flux calculations incorporated changes in cell number, extracellular metabolite concentrations, and medium evaporation over time</w:t>
      </w:r>
      <w:r>
        <w:t xml:space="preserve"> </w:t>
      </w:r>
      <w:r>
        <w:t xml:space="preserve">(</w:t>
      </w:r>
      <w:hyperlink w:anchor="ref-murphy2013a">
        <w:r>
          <w:rPr>
            <w:rStyle w:val="Hyperlink"/>
          </w:rPr>
          <w:t xml:space="preserve">Murphy and Young, 2013</w:t>
        </w:r>
      </w:hyperlink>
      <w:r>
        <w:t xml:space="preserve">)</w:t>
      </w:r>
      <w:r>
        <w:t xml:space="preserve"> </w:t>
      </w:r>
      <w:r>
        <w:t xml:space="preserve">(</w:t>
      </w:r>
      <w:r>
        <w:rPr>
          <w:bCs/>
          <w:b/>
        </w:rPr>
        <w:t xml:space="preserve">Figure S1</w:t>
      </w:r>
      <w:r>
        <w:t xml:space="preserve">).</w:t>
      </w:r>
    </w:p>
    <w:p>
      <w:pPr>
        <w:pStyle w:val="BodyText"/>
      </w:pPr>
      <w:r>
        <w:t xml:space="preserve">Surprisingly, we observed no significant differences in glucose uptake or lactate efflux rates in 0.5% oxygen cultures (</w:t>
      </w:r>
      <w:r>
        <w:rPr>
          <w:bCs/>
          <w:b/>
        </w:rPr>
        <w:t xml:space="preserve">Figure</w:t>
      </w:r>
      <w:r>
        <w:rPr>
          <w:bCs/>
          <w:b/>
        </w:rPr>
        <w:t xml:space="preserve"> </w:t>
      </w:r>
      <w:r>
        <w:rPr>
          <w:bCs/>
          <w:b/>
        </w:rPr>
        <w:t xml:space="preserve">??</w:t>
      </w:r>
      <w:r>
        <w:rPr>
          <w:bCs/>
          <w:b/>
        </w:rPr>
        <w:t xml:space="preserve">I</w:t>
      </w:r>
      <w:r>
        <w:t xml:space="preserve">) despite activation of the HIF-1 transcriptional program as reflected by increased expression of GLUT1 and LDHA. No change in glucose or lactate fluxes were observed when the ambient oxygen level was decreased further to 0.2% (</w:t>
      </w:r>
      <w:r>
        <w:rPr>
          <w:bCs/>
          <w:b/>
        </w:rPr>
        <w:t xml:space="preserve">Figure S2</w:t>
      </w:r>
      <w:r>
        <w:t xml:space="preserve">). Similar results were also observed in PASMCs where lactate efflux was significantly</w:t>
      </w:r>
      <w:r>
        <w:t xml:space="preserve"> </w:t>
      </w:r>
      <w:r>
        <w:rPr>
          <w:iCs/>
          <w:i/>
        </w:rPr>
        <w:t xml:space="preserve">decreased</w:t>
      </w:r>
      <w:r>
        <w:t xml:space="preserve"> </w:t>
      </w:r>
      <w:r>
        <w:t xml:space="preserve">by 0.5% ambient oxygen (</w:t>
      </w:r>
      <w:r>
        <w:rPr>
          <w:bCs/>
          <w:b/>
        </w:rPr>
        <w:t xml:space="preserve">Figure S3</w:t>
      </w:r>
      <w:r>
        <w:t xml:space="preserve">).</w:t>
      </w:r>
    </w:p>
    <w:p>
      <w:r>
        <w:br w:type="page"/>
      </w:r>
    </w:p>
    <w:bookmarkEnd w:id="24"/>
    <w:bookmarkEnd w:id="25"/>
    <w:bookmarkStart w:id="26" w:name="discussion"/>
    <w:p>
      <w:pPr>
        <w:pStyle w:val="Heading1"/>
      </w:pPr>
      <w:r>
        <w:t xml:space="preserve">Discussion</w:t>
      </w:r>
    </w:p>
    <w:p>
      <w:r>
        <w:br w:type="page"/>
      </w:r>
    </w:p>
    <w:bookmarkEnd w:id="26"/>
    <w:bookmarkStart w:id="28" w:name="materials-and-methods"/>
    <w:p>
      <w:pPr>
        <w:pStyle w:val="Heading1"/>
      </w:pPr>
      <w:r>
        <w:t xml:space="preserve">Materials and Methods</w:t>
      </w:r>
    </w:p>
    <w:bookmarkStart w:id="27" w:name="data-availability"/>
    <w:p>
      <w:pPr>
        <w:pStyle w:val="Heading2"/>
      </w:pPr>
      <w:r>
        <w:t xml:space="preserve">Data Availability</w:t>
      </w:r>
    </w:p>
    <w:p>
      <w:r>
        <w:br w:type="page"/>
      </w:r>
    </w:p>
    <w:bookmarkEnd w:id="27"/>
    <w:bookmarkEnd w:id="28"/>
    <w:bookmarkStart w:id="29" w:name="acknowledgements"/>
    <w:p>
      <w:pPr>
        <w:pStyle w:val="Heading1"/>
      </w:pPr>
      <w:r>
        <w:t xml:space="preserve">Acknowledgements</w:t>
      </w:r>
    </w:p>
    <w:bookmarkEnd w:id="29"/>
    <w:bookmarkStart w:id="30" w:name="author-contributions"/>
    <w:p>
      <w:pPr>
        <w:pStyle w:val="Heading1"/>
      </w:pPr>
      <w:r>
        <w:t xml:space="preserve">Author Contributions</w:t>
      </w:r>
    </w:p>
    <w:bookmarkEnd w:id="30"/>
    <w:bookmarkStart w:id="31" w:name="disclosures-and-competing-interests"/>
    <w:p>
      <w:pPr>
        <w:pStyle w:val="Heading1"/>
      </w:pPr>
      <w:r>
        <w:t xml:space="preserve">Disclosures and competing interests</w:t>
      </w:r>
    </w:p>
    <w:p>
      <w:r>
        <w:br w:type="page"/>
      </w:r>
    </w:p>
    <w:bookmarkEnd w:id="31"/>
    <w:bookmarkStart w:id="83" w:name="references"/>
    <w:p>
      <w:pPr>
        <w:pStyle w:val="Heading1"/>
      </w:pPr>
      <w:r>
        <w:t xml:space="preserve">References</w:t>
      </w:r>
    </w:p>
    <w:bookmarkStart w:id="82" w:name="refs"/>
    <w:bookmarkStart w:id="33" w:name="ref-ahn2011"/>
    <w:p>
      <w:pPr>
        <w:pStyle w:val="Bibliography"/>
      </w:pPr>
      <w:r>
        <w:t xml:space="preserve">Ahn, W.S., and Antoniewicz, M.R. (2011). Metabolic flux analysis of CHO cells at growth and non-growth phases using isotopic tracers and mass spectrometry. Metab Eng</w:t>
      </w:r>
      <w:r>
        <w:t xml:space="preserve"> </w:t>
      </w:r>
      <w:r>
        <w:rPr>
          <w:iCs/>
          <w:i/>
        </w:rPr>
        <w:t xml:space="preserve">13</w:t>
      </w:r>
      <w:r>
        <w:t xml:space="preserve">, 598–609.</w:t>
      </w:r>
      <w:r>
        <w:t xml:space="preserve"> </w:t>
      </w:r>
      <w:hyperlink r:id="rId32">
        <w:r>
          <w:rPr>
            <w:rStyle w:val="Hyperlink"/>
          </w:rPr>
          <w:t xml:space="preserve">https://doi.org/10.1016/j.ymben.2011.07.002</w:t>
        </w:r>
      </w:hyperlink>
      <w:r>
        <w:t xml:space="preserve">.</w:t>
      </w:r>
    </w:p>
    <w:bookmarkEnd w:id="33"/>
    <w:bookmarkStart w:id="35" w:name="ref-antoniewicz2018"/>
    <w:p>
      <w:pPr>
        <w:pStyle w:val="Bibliography"/>
      </w:pPr>
      <w:r>
        <w:t xml:space="preserve">Antoniewicz, M.R. (2018). A guide to 13C metabolic flux analysis for the cancer biologist. Exp Mol Med</w:t>
      </w:r>
      <w:r>
        <w:t xml:space="preserve"> </w:t>
      </w:r>
      <w:r>
        <w:rPr>
          <w:iCs/>
          <w:i/>
        </w:rPr>
        <w:t xml:space="preserve">50</w:t>
      </w:r>
      <w:r>
        <w:t xml:space="preserve">, 1–13.</w:t>
      </w:r>
      <w:r>
        <w:t xml:space="preserve"> </w:t>
      </w:r>
      <w:hyperlink r:id="rId34">
        <w:r>
          <w:rPr>
            <w:rStyle w:val="Hyperlink"/>
          </w:rPr>
          <w:t xml:space="preserve">https://doi.org/10.1038/s12276-018-0060-y</w:t>
        </w:r>
      </w:hyperlink>
      <w:r>
        <w:t xml:space="preserve">.</w:t>
      </w:r>
    </w:p>
    <w:bookmarkEnd w:id="35"/>
    <w:bookmarkStart w:id="37" w:name="ref-buescher2015"/>
    <w:p>
      <w:pPr>
        <w:pStyle w:val="Bibliography"/>
      </w:pPr>
      <w:r>
        <w:t xml:space="preserve">Buescher, J.M., Antoniewicz, M.R., Boros, L.G., Burgess, S.C., Brunengraber, H., Clish, C.B., DeBerardinis, R.J., Feron, O., Frezza, C., Ghesquiere, B., et al. (2015). A roadmap for interpreting (13)C metabolite labeling patterns from cells. Curr Opin Biotechnol</w:t>
      </w:r>
      <w:r>
        <w:t xml:space="preserve"> </w:t>
      </w:r>
      <w:r>
        <w:rPr>
          <w:iCs/>
          <w:i/>
        </w:rPr>
        <w:t xml:space="preserve">34</w:t>
      </w:r>
      <w:r>
        <w:t xml:space="preserve">, 189–201.</w:t>
      </w:r>
      <w:r>
        <w:t xml:space="preserve"> </w:t>
      </w:r>
      <w:hyperlink r:id="rId36">
        <w:r>
          <w:rPr>
            <w:rStyle w:val="Hyperlink"/>
          </w:rPr>
          <w:t xml:space="preserve">https://doi.org/10.1016/j.copbio.2015.02.003</w:t>
        </w:r>
      </w:hyperlink>
      <w:r>
        <w:t xml:space="preserve">.</w:t>
      </w:r>
    </w:p>
    <w:bookmarkEnd w:id="37"/>
    <w:bookmarkStart w:id="39" w:name="ref-flamme2014"/>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r>
        <w:t xml:space="preserve"> </w:t>
      </w:r>
      <w:hyperlink r:id="rId38">
        <w:r>
          <w:rPr>
            <w:rStyle w:val="Hyperlink"/>
          </w:rPr>
          <w:t xml:space="preserve">https://doi.org/10.1371/journal.pone.0111838</w:t>
        </w:r>
      </w:hyperlink>
      <w:r>
        <w:t xml:space="preserve">.</w:t>
      </w:r>
    </w:p>
    <w:bookmarkEnd w:id="39"/>
    <w:bookmarkStart w:id="41" w:name="ref-gameiro2013a"/>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r>
        <w:t xml:space="preserve"> </w:t>
      </w:r>
      <w:hyperlink r:id="rId40">
        <w:r>
          <w:rPr>
            <w:rStyle w:val="Hyperlink"/>
          </w:rPr>
          <w:t xml:space="preserve">https://doi.org/10.1016/j.cmet.2013.02.002</w:t>
        </w:r>
      </w:hyperlink>
      <w:r>
        <w:t xml:space="preserve">.</w:t>
      </w:r>
    </w:p>
    <w:bookmarkEnd w:id="41"/>
    <w:bookmarkStart w:id="43" w:name="ref-garcia-bermudez2018"/>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r>
        <w:t xml:space="preserve"> </w:t>
      </w:r>
      <w:hyperlink r:id="rId42">
        <w:r>
          <w:rPr>
            <w:rStyle w:val="Hyperlink"/>
          </w:rPr>
          <w:t xml:space="preserve">https://doi.org/10.1038/s41556-018-0118-z</w:t>
        </w:r>
      </w:hyperlink>
      <w:r>
        <w:t xml:space="preserve">.</w:t>
      </w:r>
    </w:p>
    <w:bookmarkEnd w:id="43"/>
    <w:bookmarkStart w:id="45" w:name="ref-gardner2001"/>
    <w:p>
      <w:pPr>
        <w:pStyle w:val="Bibliography"/>
      </w:pPr>
      <w:r>
        <w:t xml:space="preserve">Gardner, L.B., Li, Q., Park, M.S., Flanagan, W.M., Semenza, G.L., and Dang, C.V. (2001). Hypoxia inhibits G1/S transition through regulation of p27 expression. J Biol Chem</w:t>
      </w:r>
      <w:r>
        <w:t xml:space="preserve"> </w:t>
      </w:r>
      <w:r>
        <w:rPr>
          <w:iCs/>
          <w:i/>
        </w:rPr>
        <w:t xml:space="preserve">276</w:t>
      </w:r>
      <w:r>
        <w:t xml:space="preserve">, 7919–7926.</w:t>
      </w:r>
      <w:r>
        <w:t xml:space="preserve"> </w:t>
      </w:r>
      <w:hyperlink r:id="rId44">
        <w:r>
          <w:rPr>
            <w:rStyle w:val="Hyperlink"/>
          </w:rPr>
          <w:t xml:space="preserve">https://doi.org/10.1074/jbc.M010189200</w:t>
        </w:r>
      </w:hyperlink>
      <w:r>
        <w:t xml:space="preserve">.</w:t>
      </w:r>
    </w:p>
    <w:bookmarkEnd w:id="45"/>
    <w:bookmarkStart w:id="47" w:name="ref-hubbi2015"/>
    <w:p>
      <w:pPr>
        <w:pStyle w:val="Bibliography"/>
      </w:pPr>
      <w:r>
        <w:t xml:space="preserve">Hubbi, M.E., and Semenza, G.L. (2015). Regulation of cell proliferation by hypoxia-inducible factors. Am J Physiol Cell Physiol</w:t>
      </w:r>
      <w:r>
        <w:t xml:space="preserve"> </w:t>
      </w:r>
      <w:r>
        <w:rPr>
          <w:iCs/>
          <w:i/>
        </w:rPr>
        <w:t xml:space="preserve">309</w:t>
      </w:r>
      <w:r>
        <w:t xml:space="preserve">, C775–82.</w:t>
      </w:r>
      <w:r>
        <w:t xml:space="preserve"> </w:t>
      </w:r>
      <w:hyperlink r:id="rId46">
        <w:r>
          <w:rPr>
            <w:rStyle w:val="Hyperlink"/>
          </w:rPr>
          <w:t xml:space="preserve">https://doi.org/10.1152/ajpcell.00279.2015</w:t>
        </w:r>
      </w:hyperlink>
      <w:r>
        <w:t xml:space="preserve">.</w:t>
      </w:r>
    </w:p>
    <w:bookmarkEnd w:id="47"/>
    <w:bookmarkStart w:id="49" w:name="ref-jain2020"/>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r>
        <w:t xml:space="preserve"> </w:t>
      </w:r>
      <w:hyperlink r:id="rId48">
        <w:r>
          <w:rPr>
            <w:rStyle w:val="Hyperlink"/>
          </w:rPr>
          <w:t xml:space="preserve">https://doi.org/10.1016/j.cell.2020.03.029</w:t>
        </w:r>
      </w:hyperlink>
      <w:r>
        <w:t xml:space="preserve">.</w:t>
      </w:r>
    </w:p>
    <w:bookmarkEnd w:id="49"/>
    <w:bookmarkStart w:id="51" w:name="ref-jiang2016"/>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r>
        <w:t xml:space="preserve"> </w:t>
      </w:r>
      <w:hyperlink r:id="rId50">
        <w:r>
          <w:rPr>
            <w:rStyle w:val="Hyperlink"/>
          </w:rPr>
          <w:t xml:space="preserve">https://doi.org/10.1038/nature17393</w:t>
        </w:r>
      </w:hyperlink>
      <w:r>
        <w:t xml:space="preserve">.</w:t>
      </w:r>
    </w:p>
    <w:bookmarkEnd w:id="51"/>
    <w:bookmarkStart w:id="53" w:name="ref-kaelin2008a"/>
    <w:p>
      <w:pPr>
        <w:pStyle w:val="Bibliography"/>
      </w:pPr>
      <w:r>
        <w:t xml:space="preserve">Kaelin, W.G., and Ratcliffe, P.J. (2008). Oxygen sensing by metazoans: the central role of the HIF hydroxylase pathway. Mol Cell</w:t>
      </w:r>
      <w:r>
        <w:t xml:space="preserve"> </w:t>
      </w:r>
      <w:r>
        <w:rPr>
          <w:iCs/>
          <w:i/>
        </w:rPr>
        <w:t xml:space="preserve">30</w:t>
      </w:r>
      <w:r>
        <w:t xml:space="preserve">, 393–402.</w:t>
      </w:r>
      <w:r>
        <w:t xml:space="preserve"> </w:t>
      </w:r>
      <w:hyperlink r:id="rId52">
        <w:r>
          <w:rPr>
            <w:rStyle w:val="Hyperlink"/>
          </w:rPr>
          <w:t xml:space="preserve">https://doi.org/10.1016/j.molcel.2008.04.009</w:t>
        </w:r>
      </w:hyperlink>
      <w:r>
        <w:t xml:space="preserve">.</w:t>
      </w:r>
    </w:p>
    <w:bookmarkEnd w:id="53"/>
    <w:bookmarkStart w:id="55" w:name="ref-koshiji2004"/>
    <w:p>
      <w:pPr>
        <w:pStyle w:val="Bibliography"/>
      </w:pPr>
      <w:r>
        <w:t xml:space="preserve">Koshiji, M., Kageyama, Y., Pete, E.A., Horikawa, I., Barrett, J.C., and Huang, L.E. (2004). HIF-1alpha induces cell cycle arrest by functionally counteracting Myc. EMBO J</w:t>
      </w:r>
      <w:r>
        <w:t xml:space="preserve"> </w:t>
      </w:r>
      <w:r>
        <w:rPr>
          <w:iCs/>
          <w:i/>
        </w:rPr>
        <w:t xml:space="preserve">23</w:t>
      </w:r>
      <w:r>
        <w:t xml:space="preserve">, 1949–1956.</w:t>
      </w:r>
      <w:r>
        <w:t xml:space="preserve"> </w:t>
      </w:r>
      <w:hyperlink r:id="rId54">
        <w:r>
          <w:rPr>
            <w:rStyle w:val="Hyperlink"/>
          </w:rPr>
          <w:t xml:space="preserve">https://doi.org/10.1038/sj.emboj.7600196</w:t>
        </w:r>
      </w:hyperlink>
      <w:r>
        <w:t xml:space="preserve">.</w:t>
      </w:r>
    </w:p>
    <w:bookmarkEnd w:id="55"/>
    <w:bookmarkStart w:id="57" w:name="ref-lee2019"/>
    <w:p>
      <w:pPr>
        <w:pStyle w:val="Bibliography"/>
      </w:pPr>
      <w:r>
        <w:t xml:space="preserve">Lee, J.W., Ko, J., Ju, C., and Eltzschig, H.K. (2019a). Hypoxia signaling in human diseases and therapeutic targets. Exp Mol Med</w:t>
      </w:r>
      <w:r>
        <w:t xml:space="preserve"> </w:t>
      </w:r>
      <w:r>
        <w:rPr>
          <w:iCs/>
          <w:i/>
        </w:rPr>
        <w:t xml:space="preserve">51</w:t>
      </w:r>
      <w:r>
        <w:t xml:space="preserve">, 1–13.</w:t>
      </w:r>
      <w:r>
        <w:t xml:space="preserve"> </w:t>
      </w:r>
      <w:hyperlink r:id="rId56">
        <w:r>
          <w:rPr>
            <w:rStyle w:val="Hyperlink"/>
          </w:rPr>
          <w:t xml:space="preserve">https://doi.org/10.1038/s12276-019-0235-1</w:t>
        </w:r>
      </w:hyperlink>
      <w:r>
        <w:t xml:space="preserve">.</w:t>
      </w:r>
    </w:p>
    <w:bookmarkEnd w:id="57"/>
    <w:bookmarkStart w:id="59" w:name="ref-lee2020b"/>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r>
        <w:t xml:space="preserve"> </w:t>
      </w:r>
      <w:hyperlink r:id="rId58">
        <w:r>
          <w:rPr>
            <w:rStyle w:val="Hyperlink"/>
          </w:rPr>
          <w:t xml:space="preserve">https://doi.org/10.1038/s41580-020-0227-y</w:t>
        </w:r>
      </w:hyperlink>
      <w:r>
        <w:t xml:space="preserve">.</w:t>
      </w:r>
    </w:p>
    <w:bookmarkEnd w:id="59"/>
    <w:bookmarkStart w:id="61" w:name="ref-lee2019a"/>
    <w:p>
      <w:pPr>
        <w:pStyle w:val="Bibliography"/>
      </w:pPr>
      <w:r>
        <w:t xml:space="preserve">Lee, W.D., Mukha, D., Aizenshtein, E., and Shlomi, T. (2019b). Spatial-fluxomics provides a subcellular-compartmentalized view of reductive glutamine metabolism in cancer cells. Nat Commun</w:t>
      </w:r>
      <w:r>
        <w:t xml:space="preserve"> </w:t>
      </w:r>
      <w:r>
        <w:rPr>
          <w:iCs/>
          <w:i/>
        </w:rPr>
        <w:t xml:space="preserve">10</w:t>
      </w:r>
      <w:r>
        <w:t xml:space="preserve">, 1351.</w:t>
      </w:r>
      <w:r>
        <w:t xml:space="preserve"> </w:t>
      </w:r>
      <w:hyperlink r:id="rId60">
        <w:r>
          <w:rPr>
            <w:rStyle w:val="Hyperlink"/>
          </w:rPr>
          <w:t xml:space="preserve">https://doi.org/10.1038/s41467-019-09352-1</w:t>
        </w:r>
      </w:hyperlink>
      <w:r>
        <w:t xml:space="preserve">.</w:t>
      </w:r>
    </w:p>
    <w:bookmarkEnd w:id="61"/>
    <w:bookmarkStart w:id="63" w:name="ref-melendez-rodriguez2019"/>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r>
        <w:t xml:space="preserve"> </w:t>
      </w:r>
      <w:hyperlink r:id="rId62">
        <w:r>
          <w:rPr>
            <w:rStyle w:val="Hyperlink"/>
          </w:rPr>
          <w:t xml:space="preserve">https://doi.org/10.1016/j.celrep.2019.01.106</w:t>
        </w:r>
      </w:hyperlink>
      <w:r>
        <w:t xml:space="preserve">.</w:t>
      </w:r>
    </w:p>
    <w:bookmarkEnd w:id="63"/>
    <w:bookmarkStart w:id="65" w:name="ref-metallo2011"/>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r>
        <w:t xml:space="preserve"> </w:t>
      </w:r>
      <w:hyperlink r:id="rId64">
        <w:r>
          <w:rPr>
            <w:rStyle w:val="Hyperlink"/>
          </w:rPr>
          <w:t xml:space="preserve">https://doi.org/10.1038/nature10602</w:t>
        </w:r>
      </w:hyperlink>
      <w:r>
        <w:t xml:space="preserve">.</w:t>
      </w:r>
    </w:p>
    <w:bookmarkEnd w:id="65"/>
    <w:bookmarkStart w:id="67" w:name="ref-murphy2013a"/>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r>
        <w:t xml:space="preserve"> </w:t>
      </w:r>
      <w:hyperlink r:id="rId66">
        <w:r>
          <w:rPr>
            <w:rStyle w:val="Hyperlink"/>
          </w:rPr>
          <w:t xml:space="preserve">https://doi.org/10.1002/bit.24836</w:t>
        </w:r>
      </w:hyperlink>
      <w:r>
        <w:t xml:space="preserve">.</w:t>
      </w:r>
    </w:p>
    <w:bookmarkEnd w:id="67"/>
    <w:bookmarkStart w:id="69" w:name="ref-oldham2015"/>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r>
        <w:t xml:space="preserve"> </w:t>
      </w:r>
      <w:hyperlink r:id="rId68">
        <w:r>
          <w:rPr>
            <w:rStyle w:val="Hyperlink"/>
          </w:rPr>
          <w:t xml:space="preserve">https://doi.org/10.1016/j.cmet.2015.06.021</w:t>
        </w:r>
      </w:hyperlink>
      <w:r>
        <w:t xml:space="preserve">.</w:t>
      </w:r>
    </w:p>
    <w:bookmarkEnd w:id="69"/>
    <w:bookmarkStart w:id="71" w:name="ref-scott2011"/>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r>
        <w:t xml:space="preserve"> </w:t>
      </w:r>
      <w:hyperlink r:id="rId70">
        <w:r>
          <w:rPr>
            <w:rStyle w:val="Hyperlink"/>
          </w:rPr>
          <w:t xml:space="preserve">https://doi.org/10.1074/jbc.M111.282046</w:t>
        </w:r>
      </w:hyperlink>
      <w:r>
        <w:t xml:space="preserve">.</w:t>
      </w:r>
    </w:p>
    <w:bookmarkEnd w:id="71"/>
    <w:bookmarkStart w:id="73" w:name="ref-semenza2012b"/>
    <w:p>
      <w:pPr>
        <w:pStyle w:val="Bibliography"/>
      </w:pPr>
      <w:r>
        <w:t xml:space="preserve">Semenza, G.L. (2012). Hypoxia-inducible factors in physiology and medicine. Cell</w:t>
      </w:r>
      <w:r>
        <w:t xml:space="preserve"> </w:t>
      </w:r>
      <w:r>
        <w:rPr>
          <w:iCs/>
          <w:i/>
        </w:rPr>
        <w:t xml:space="preserve">148</w:t>
      </w:r>
      <w:r>
        <w:t xml:space="preserve">, 399–408.</w:t>
      </w:r>
      <w:r>
        <w:t xml:space="preserve"> </w:t>
      </w:r>
      <w:hyperlink r:id="rId72">
        <w:r>
          <w:rPr>
            <w:rStyle w:val="Hyperlink"/>
          </w:rPr>
          <w:t xml:space="preserve">https://doi.org/10.1016/j.cell.2012.01.021</w:t>
        </w:r>
      </w:hyperlink>
      <w:r>
        <w:t xml:space="preserve">.</w:t>
      </w:r>
    </w:p>
    <w:bookmarkEnd w:id="73"/>
    <w:bookmarkStart w:id="75" w:name="ref-wenger2015"/>
    <w:p>
      <w:pPr>
        <w:pStyle w:val="Bibliography"/>
      </w:pPr>
      <w:r>
        <w:t xml:space="preserve">Wenger, R.H., Kurtcuoglu, V., Scholz, C.C., Marti, H.H., and Hoogewijs, D. (2015). Frequently asked questions in hypoxia research. Hypoxia (Auckl)</w:t>
      </w:r>
      <w:r>
        <w:t xml:space="preserve"> </w:t>
      </w:r>
      <w:r>
        <w:rPr>
          <w:iCs/>
          <w:i/>
        </w:rPr>
        <w:t xml:space="preserve">3</w:t>
      </w:r>
      <w:r>
        <w:t xml:space="preserve">, 35–43.</w:t>
      </w:r>
      <w:r>
        <w:t xml:space="preserve"> </w:t>
      </w:r>
      <w:hyperlink r:id="rId74">
        <w:r>
          <w:rPr>
            <w:rStyle w:val="Hyperlink"/>
          </w:rPr>
          <w:t xml:space="preserve">https://doi.org/10.2147/HP.S92198</w:t>
        </w:r>
      </w:hyperlink>
      <w:r>
        <w:t xml:space="preserve">.</w:t>
      </w:r>
    </w:p>
    <w:bookmarkEnd w:id="75"/>
    <w:bookmarkStart w:id="77" w:name="ref-wheaton2011"/>
    <w:p>
      <w:pPr>
        <w:pStyle w:val="Bibliography"/>
      </w:pPr>
      <w:r>
        <w:t xml:space="preserve">Wheaton, W.W., and Chandel, N.S. (2011). Hypoxia. 2. Hypoxia regulates cellular metabolism. Am J Physiol Cell Physiol</w:t>
      </w:r>
      <w:r>
        <w:t xml:space="preserve"> </w:t>
      </w:r>
      <w:r>
        <w:rPr>
          <w:iCs/>
          <w:i/>
        </w:rPr>
        <w:t xml:space="preserve">300</w:t>
      </w:r>
      <w:r>
        <w:t xml:space="preserve">, C385–93.</w:t>
      </w:r>
      <w:r>
        <w:t xml:space="preserve"> </w:t>
      </w:r>
      <w:hyperlink r:id="rId76">
        <w:r>
          <w:rPr>
            <w:rStyle w:val="Hyperlink"/>
          </w:rPr>
          <w:t xml:space="preserve">https://doi.org/10.1152/ajpcell.00485.2010</w:t>
        </w:r>
      </w:hyperlink>
      <w:r>
        <w:t xml:space="preserve">.</w:t>
      </w:r>
    </w:p>
    <w:bookmarkEnd w:id="77"/>
    <w:bookmarkStart w:id="79" w:name="ref-wise2011"/>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r>
        <w:t xml:space="preserve"> </w:t>
      </w:r>
      <w:hyperlink r:id="rId78">
        <w:r>
          <w:rPr>
            <w:rStyle w:val="Hyperlink"/>
          </w:rPr>
          <w:t xml:space="preserve">https://doi.org/10.1073/pnas.1117773108</w:t>
        </w:r>
      </w:hyperlink>
      <w:r>
        <w:t xml:space="preserve">.</w:t>
      </w:r>
    </w:p>
    <w:bookmarkEnd w:id="79"/>
    <w:bookmarkStart w:id="81" w:name="ref-young2014"/>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r>
        <w:t xml:space="preserve"> </w:t>
      </w:r>
      <w:hyperlink r:id="rId80">
        <w:r>
          <w:rPr>
            <w:rStyle w:val="Hyperlink"/>
          </w:rPr>
          <w:t xml:space="preserve">https://doi.org/10.1093/bioinformatics/btu015</w:t>
        </w:r>
      </w:hyperlink>
      <w:r>
        <w:t xml:space="preserve">.</w:t>
      </w:r>
    </w:p>
    <w:bookmarkEnd w:id="81"/>
    <w:bookmarkEnd w:id="82"/>
    <w:p>
      <w:r>
        <w:br w:type="page"/>
      </w:r>
    </w:p>
    <w:bookmarkEnd w:id="83"/>
    <w:bookmarkStart w:id="84" w:name="tables"/>
    <w:p>
      <w:pPr>
        <w:pStyle w:val="Heading1"/>
      </w:pPr>
      <w:r>
        <w:t xml:space="preserve">Tables</w:t>
      </w:r>
    </w:p>
    <w:p>
      <w:r>
        <w:br w:type="page"/>
      </w:r>
    </w:p>
    <w:bookmarkEnd w:id="84"/>
    <w:bookmarkStart w:id="85" w:name="figure-legends"/>
    <w:p>
      <w:pPr>
        <w:pStyle w:val="Heading1"/>
      </w:pPr>
      <w:r>
        <w:t xml:space="preserve">Figure Legends</w:t>
      </w:r>
    </w:p>
    <w:p>
      <w:r>
        <w:br w:type="page"/>
      </w:r>
    </w:p>
    <w:bookmarkEnd w:id="85"/>
    <w:bookmarkStart w:id="86" w:name="figures"/>
    <w:p>
      <w:pPr>
        <w:pStyle w:val="Heading1"/>
      </w:pPr>
      <w:r>
        <w:t xml:space="preserve">Figures</w:t>
      </w:r>
    </w:p>
    <w:p>
      <w:r>
        <w:br w:type="page"/>
      </w:r>
    </w:p>
    <w:bookmarkEnd w:id="86"/>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2"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2/bit.24836" TargetMode="External" /><Relationship Type="http://schemas.openxmlformats.org/officeDocument/2006/relationships/hyperlink" Id="rId72" Target="https://doi.org/10.1016/j.cell.2012.01.021" TargetMode="External" /><Relationship Type="http://schemas.openxmlformats.org/officeDocument/2006/relationships/hyperlink" Id="rId48" Target="https://doi.org/10.1016/j.cell.2020.03.029" TargetMode="External" /><Relationship Type="http://schemas.openxmlformats.org/officeDocument/2006/relationships/hyperlink" Id="rId62" Target="https://doi.org/10.1016/j.celrep.2019.01.106" TargetMode="External" /><Relationship Type="http://schemas.openxmlformats.org/officeDocument/2006/relationships/hyperlink" Id="rId40" Target="https://doi.org/10.1016/j.cmet.2013.02.002" TargetMode="External" /><Relationship Type="http://schemas.openxmlformats.org/officeDocument/2006/relationships/hyperlink" Id="rId68" Target="https://doi.org/10.1016/j.cmet.2015.06.021" TargetMode="External" /><Relationship Type="http://schemas.openxmlformats.org/officeDocument/2006/relationships/hyperlink" Id="rId36" Target="https://doi.org/10.1016/j.copbio.2015.02.003" TargetMode="External" /><Relationship Type="http://schemas.openxmlformats.org/officeDocument/2006/relationships/hyperlink" Id="rId52" Target="https://doi.org/10.1016/j.molcel.2008.04.009" TargetMode="External" /><Relationship Type="http://schemas.openxmlformats.org/officeDocument/2006/relationships/hyperlink" Id="rId32" Target="https://doi.org/10.1016/j.ymben.2011.07.002" TargetMode="External" /><Relationship Type="http://schemas.openxmlformats.org/officeDocument/2006/relationships/hyperlink" Id="rId64" Target="https://doi.org/10.1038/nature10602" TargetMode="External" /><Relationship Type="http://schemas.openxmlformats.org/officeDocument/2006/relationships/hyperlink" Id="rId50" Target="https://doi.org/10.1038/nature17393" TargetMode="External" /><Relationship Type="http://schemas.openxmlformats.org/officeDocument/2006/relationships/hyperlink" Id="rId34" Target="https://doi.org/10.1038/s12276-018-0060-y" TargetMode="External" /><Relationship Type="http://schemas.openxmlformats.org/officeDocument/2006/relationships/hyperlink" Id="rId56" Target="https://doi.org/10.1038/s12276-019-0235-1" TargetMode="External" /><Relationship Type="http://schemas.openxmlformats.org/officeDocument/2006/relationships/hyperlink" Id="rId60" Target="https://doi.org/10.1038/s41467-019-09352-1" TargetMode="External" /><Relationship Type="http://schemas.openxmlformats.org/officeDocument/2006/relationships/hyperlink" Id="rId42" Target="https://doi.org/10.1038/s41556-018-0118-z" TargetMode="External" /><Relationship Type="http://schemas.openxmlformats.org/officeDocument/2006/relationships/hyperlink" Id="rId58" Target="https://doi.org/10.1038/s41580-020-0227-y" TargetMode="External" /><Relationship Type="http://schemas.openxmlformats.org/officeDocument/2006/relationships/hyperlink" Id="rId54" Target="https://doi.org/10.1038/sj.emboj.7600196" TargetMode="External" /><Relationship Type="http://schemas.openxmlformats.org/officeDocument/2006/relationships/hyperlink" Id="rId78" Target="https://doi.org/10.1073/pnas.1117773108" TargetMode="External" /><Relationship Type="http://schemas.openxmlformats.org/officeDocument/2006/relationships/hyperlink" Id="rId44" Target="https://doi.org/10.1074/jbc.M010189200" TargetMode="External" /><Relationship Type="http://schemas.openxmlformats.org/officeDocument/2006/relationships/hyperlink" Id="rId70" Target="https://doi.org/10.1074/jbc.M111.282046" TargetMode="External" /><Relationship Type="http://schemas.openxmlformats.org/officeDocument/2006/relationships/hyperlink" Id="rId80" Target="https://doi.org/10.1093/bioinformatics/btu015" TargetMode="External" /><Relationship Type="http://schemas.openxmlformats.org/officeDocument/2006/relationships/hyperlink" Id="rId46" Target="https://doi.org/10.1152/ajpcell.00279.2015" TargetMode="External" /><Relationship Type="http://schemas.openxmlformats.org/officeDocument/2006/relationships/hyperlink" Id="rId76" Target="https://doi.org/10.1152/ajpcell.00485.2010" TargetMode="External" /><Relationship Type="http://schemas.openxmlformats.org/officeDocument/2006/relationships/hyperlink" Id="rId38" Target="https://doi.org/10.1371/journal.pone.0111838" TargetMode="External" /><Relationship Type="http://schemas.openxmlformats.org/officeDocument/2006/relationships/hyperlink" Id="rId74"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2/bit.24836" TargetMode="External" /><Relationship Type="http://schemas.openxmlformats.org/officeDocument/2006/relationships/hyperlink" Id="rId72" Target="https://doi.org/10.1016/j.cell.2012.01.021" TargetMode="External" /><Relationship Type="http://schemas.openxmlformats.org/officeDocument/2006/relationships/hyperlink" Id="rId48" Target="https://doi.org/10.1016/j.cell.2020.03.029" TargetMode="External" /><Relationship Type="http://schemas.openxmlformats.org/officeDocument/2006/relationships/hyperlink" Id="rId62" Target="https://doi.org/10.1016/j.celrep.2019.01.106" TargetMode="External" /><Relationship Type="http://schemas.openxmlformats.org/officeDocument/2006/relationships/hyperlink" Id="rId40" Target="https://doi.org/10.1016/j.cmet.2013.02.002" TargetMode="External" /><Relationship Type="http://schemas.openxmlformats.org/officeDocument/2006/relationships/hyperlink" Id="rId68" Target="https://doi.org/10.1016/j.cmet.2015.06.021" TargetMode="External" /><Relationship Type="http://schemas.openxmlformats.org/officeDocument/2006/relationships/hyperlink" Id="rId36" Target="https://doi.org/10.1016/j.copbio.2015.02.003" TargetMode="External" /><Relationship Type="http://schemas.openxmlformats.org/officeDocument/2006/relationships/hyperlink" Id="rId52" Target="https://doi.org/10.1016/j.molcel.2008.04.009" TargetMode="External" /><Relationship Type="http://schemas.openxmlformats.org/officeDocument/2006/relationships/hyperlink" Id="rId32" Target="https://doi.org/10.1016/j.ymben.2011.07.002" TargetMode="External" /><Relationship Type="http://schemas.openxmlformats.org/officeDocument/2006/relationships/hyperlink" Id="rId64" Target="https://doi.org/10.1038/nature10602" TargetMode="External" /><Relationship Type="http://schemas.openxmlformats.org/officeDocument/2006/relationships/hyperlink" Id="rId50" Target="https://doi.org/10.1038/nature17393" TargetMode="External" /><Relationship Type="http://schemas.openxmlformats.org/officeDocument/2006/relationships/hyperlink" Id="rId34" Target="https://doi.org/10.1038/s12276-018-0060-y" TargetMode="External" /><Relationship Type="http://schemas.openxmlformats.org/officeDocument/2006/relationships/hyperlink" Id="rId56" Target="https://doi.org/10.1038/s12276-019-0235-1" TargetMode="External" /><Relationship Type="http://schemas.openxmlformats.org/officeDocument/2006/relationships/hyperlink" Id="rId60" Target="https://doi.org/10.1038/s41467-019-09352-1" TargetMode="External" /><Relationship Type="http://schemas.openxmlformats.org/officeDocument/2006/relationships/hyperlink" Id="rId42" Target="https://doi.org/10.1038/s41556-018-0118-z" TargetMode="External" /><Relationship Type="http://schemas.openxmlformats.org/officeDocument/2006/relationships/hyperlink" Id="rId58" Target="https://doi.org/10.1038/s41580-020-0227-y" TargetMode="External" /><Relationship Type="http://schemas.openxmlformats.org/officeDocument/2006/relationships/hyperlink" Id="rId54" Target="https://doi.org/10.1038/sj.emboj.7600196" TargetMode="External" /><Relationship Type="http://schemas.openxmlformats.org/officeDocument/2006/relationships/hyperlink" Id="rId78" Target="https://doi.org/10.1073/pnas.1117773108" TargetMode="External" /><Relationship Type="http://schemas.openxmlformats.org/officeDocument/2006/relationships/hyperlink" Id="rId44" Target="https://doi.org/10.1074/jbc.M010189200" TargetMode="External" /><Relationship Type="http://schemas.openxmlformats.org/officeDocument/2006/relationships/hyperlink" Id="rId70" Target="https://doi.org/10.1074/jbc.M111.282046" TargetMode="External" /><Relationship Type="http://schemas.openxmlformats.org/officeDocument/2006/relationships/hyperlink" Id="rId80" Target="https://doi.org/10.1093/bioinformatics/btu015" TargetMode="External" /><Relationship Type="http://schemas.openxmlformats.org/officeDocument/2006/relationships/hyperlink" Id="rId46" Target="https://doi.org/10.1152/ajpcell.00279.2015" TargetMode="External" /><Relationship Type="http://schemas.openxmlformats.org/officeDocument/2006/relationships/hyperlink" Id="rId76" Target="https://doi.org/10.1152/ajpcell.00485.2010" TargetMode="External" /><Relationship Type="http://schemas.openxmlformats.org/officeDocument/2006/relationships/hyperlink" Id="rId38" Target="https://doi.org/10.1371/journal.pone.0111838" TargetMode="External" /><Relationship Type="http://schemas.openxmlformats.org/officeDocument/2006/relationships/hyperlink" Id="rId74"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2022-07-11T20:28:59Z</dcterms:created>
  <dcterms:modified xsi:type="dcterms:W3CDTF">2022-07-11T20:28:59Z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True</vt:lpwstr>
  </property>
  <property fmtid="{D5CDD505-2E9C-101B-9397-08002B2CF9AE}" pid="8" name="link-citations">
    <vt:lpwstr>True</vt:lpwstr>
  </property>
  <property fmtid="{D5CDD505-2E9C-101B-9397-08002B2CF9AE}" pid="9" name="mainfont">
    <vt:lpwstr>Calibri</vt:lpwstr>
  </property>
  <property fmtid="{D5CDD505-2E9C-101B-9397-08002B2CF9AE}" pid="10" name="output">
    <vt:lpwstr/>
  </property>
</Properties>
</file>