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5.pdf" ContentType="application/pdf"/>
  <Override PartName="/word/media/rId298.pdf" ContentType="application/pdf"/>
  <Override PartName="/word/media/rId301.pdf" ContentType="application/pdf"/>
  <Override PartName="/word/media/rId304.pdf" ContentType="application/pdf"/>
  <Override PartName="/word/media/rId292.pdf" ContentType="application/pdf"/>
  <Override PartName="/word/media/rId307.pdf" ContentType="application/pdf"/>
  <Override PartName="/word/media/rId310.pdf" ContentType="application/pdf"/>
  <Override PartName="/word/media/rId316.pdf" ContentType="application/pdf"/>
  <Override PartName="/word/media/rId319.pdf" ContentType="application/pdf"/>
  <Override PartName="/word/media/rId313.pdf" ContentType="application/pdf"/>
  <Override PartName="/word/media/rId325.pdf" ContentType="application/pdf"/>
  <Override PartName="/word/media/rId328.pdf" ContentType="application/pdf"/>
  <Override PartName="/word/media/rId331.pdf" ContentType="application/pdf"/>
  <Override PartName="/word/media/rId334.pdf" ContentType="application/pdf"/>
  <Override PartName="/word/media/rId337.pdf" ContentType="application/pdf"/>
  <Override PartName="/word/media/rId322.pdf" ContentType="application/pdf"/>
  <Override PartName="/word/media/rId340.pdf" ContentType="application/pdf"/>
  <Override PartName="/word/media/rId343.pdf" ContentType="application/pdf"/>
  <Override PartName="/word/media/rId349.pdf" ContentType="application/pdf"/>
  <Override PartName="/word/media/rId346.pdf" ContentType="application/pdf"/>
  <Override PartName="/word/media/rId355.pdf" ContentType="application/pdf"/>
  <Override PartName="/word/media/rId358.pdf" ContentType="application/pdf"/>
  <Override PartName="/word/media/rId352.pdf" ContentType="application/pdf"/>
  <Override PartName="/word/media/rId364.pdf" ContentType="application/pdf"/>
  <Override PartName="/word/media/rId367.pdf" ContentType="application/pdf"/>
  <Override PartName="/word/media/rId361.pdf" ContentType="application/pdf"/>
  <Override PartName="/word/media/rId373.pdf" ContentType="application/pdf"/>
  <Override PartName="/word/media/rId376.pdf" ContentType="application/pdf"/>
  <Override PartName="/word/media/rId370.pdf" ContentType="application/pdf"/>
  <Override PartName="/word/media/rId379.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how primary cell metabolism responds to hypoxia. Thus, we developed metabolic flux models for human lung fibroblast and pulmonary artery smooth muscle cells proliferating in hypoxia. Unexpectedly, we found that hypoxia decreased glycolysis despite activation of hypoxia-inducible factor 1α (HIF-1α) and increased glycolytic enzyme expression. While HIF-1α activation in normoxia by prolyl hydroxylase (PHD) inhibition did increase glycolysis, hypoxia blocked this effect. Multi-omic profiling revealed distinct molecular responses to hypoxia and PHD inhibition, and suggested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and lactate dehydrogenase,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flux and lactate production while decreasing TCA cycle flux and oxidative phosphorylation.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is an active area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features prominently,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increases in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We identified the optimal cell seeding density and time course for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Fluxes calculations incorporated cell growth rate, extracellular metabolite concentrations, metabolite degradation rates, and medium evaporation rate (</w:t>
      </w:r>
      <w:r>
        <w:rPr>
          <w:iCs/>
          <w:i/>
        </w:rPr>
        <w:t xml:space="preserve">see Materials and Methods</w:t>
      </w:r>
      <w:r>
        <w:t xml:space="preserv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both increased HIF-1α, GLUT1, and LDHA to a similar degree, the glycolytic metabolic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changes in extracellular fluxes were modest overall, with hypoxia generally decreasing the fluxes of all measured metabolites. These findings were similar with 0.2% oxygen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lipid biosynthesis. Glutamine has also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an increased contribution from an unlabeled carbon source, such as extracellular pyruvate, lactate, or alanine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Compared to glucose, glutamine labeled a smaller fraction of citrate, and this labeling was decreased substantially by hypoxia or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In normoxia, approximately 10% of cytoplasmic pyruvate enters the TCA cycle with the balance converted to lactate. Consistent with the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as hypoxia on decreasing serine and glutamine uptake.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proteins and the glycolytic potential of these cells demonstrated by BAY treatment in normoxia. BAY treatment decreased cell proliferation rate (</w:t>
      </w:r>
      <w:r>
        <w:rPr>
          <w:bCs/>
          <w:b/>
        </w:rPr>
        <w:t xml:space="preserve">Figure 2B-C</w:t>
      </w:r>
      <w:r>
        <w:t xml:space="preserve">), indicating that, unlike hypoxia, PHD inhibition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One important feature of metabolic flux analysis is its ability to determine the individual forward and backward fluxes of bidirectional reactions, or the so-called exchange fluxes. Although the metabolite exchange fluxes for bidirectional reactions tend to be poorly resolved by this method</w:t>
      </w:r>
      <w:r>
        <w:t xml:space="preserve"> </w:t>
      </w:r>
      <w:r>
        <w:t xml:space="preserve">(Wiechert, 2007)</w:t>
      </w:r>
      <w:r>
        <w:t xml:space="preserve">, two observations from our models are noteworthy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increases lactate transport exchange flux in LFs from ~ 0 to 1,500 and 700 fmol/cell/h with 0.5% oxygen and BAY treatment, respectively, with similar results in PASMCs (</w:t>
      </w:r>
      <w:r>
        <w:rPr>
          <w:bCs/>
          <w:b/>
        </w:rPr>
        <w:t xml:space="preserve">Figure 7A</w:t>
      </w:r>
      <w:r>
        <w:t xml:space="preserve">). This observation suggests increased lactate uptake with hypoxia or BAY treatment.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(α-ketoglutarate, malate, aspartate) in both LFs and PASMCs, indicating that lactate may be an important respiratory fuel source in these cells even though lactate efflux is high. Although increased labeling of pyruvate was observed in hypoxic PASMCs, this increase did not flow through to TCA metabolites as observed in LFs (</w:t>
      </w:r>
      <w:r>
        <w:rPr>
          <w:bCs/>
          <w:b/>
        </w:rPr>
        <w:t xml:space="preserve">Figure 4 - figure supplement 2</w:t>
      </w:r>
      <w:r>
        <w:t xml:space="preserve">).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and also reveal increased lactate uptake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PHD inhibition by hypoxia and BAY, we next addressed whether hypoxia could suppress BAY-stimulated glucose and lactate fluxes (</w:t>
      </w:r>
      <w:r>
        <w:rPr>
          <w:bCs/>
          <w:b/>
        </w:rPr>
        <w:t xml:space="preserve">Figure 8</w:t>
      </w:r>
      <w:r>
        <w:t xml:space="preserve">). LFs cultured in standard growth medium were treated with BAY and placed in either 21% or 0.5% oxygen. Similar to previous experiments, BAY decreased cell growth rate, increased glucose uptake, and increased lactate efflux in 21% oxygen. However, when combined with 0.5% oxygen, BAY did not enhance lactate efflux. These data demonstrate that hypoxia antagonizes the effects of HIF-1α activation on glycolytic flux.</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increases in glycolysis (</w:t>
      </w:r>
      <w:r>
        <w:rPr>
          <w:bCs/>
          <w:b/>
        </w:rPr>
        <w:t xml:space="preserve">Figure 8 - figure supplement 1F</w:t>
      </w:r>
      <w:r>
        <w:t xml:space="preserve">). These data indicate that the metabolic consequences of BAY treatment are a direct consequence of PHD inhibition and not simply an off-target effect.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metabolites (</w:t>
      </w:r>
      <w:r>
        <w:rPr>
          <w:bCs/>
          <w:b/>
        </w:rPr>
        <w:t xml:space="preserve">Figure 9 - figure supplement 1</w:t>
      </w:r>
      <w:r>
        <w:t xml:space="preserve">). Of 133 total metabolites, 98 were differentially regulated by hypoxia and 54 were differentially regulated by BAY. Of these, 44 were modulated by both treatments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consistent with our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We measured the impact of these treatments on intracellular NAD(H) and NADP(H) redox couples (</w:t>
      </w:r>
      <w:r>
        <w:rPr>
          <w:bCs/>
          <w:b/>
        </w:rPr>
        <w:t xml:space="preserve">Figure 9 - figure supplement 2</w:t>
      </w:r>
      <w:r>
        <w:t xml:space="preserve">).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(Tilton et al., 1991)</w:t>
      </w:r>
      <w:r>
        <w:t xml:space="preserve">, this may be one mechanism by which glycolytic flux is decreased in hypoxia but not following BAY treatment. Conversely, hypoxia decreased the NADPH/NADP</w:t>
      </w:r>
      <w:r>
        <w:rPr>
          <w:vertAlign w:val="superscript"/>
        </w:rPr>
        <w:t xml:space="preserve">+</w:t>
      </w:r>
      <w:r>
        <w:t xml:space="preserve"> </w:t>
      </w:r>
      <w:r>
        <w:t xml:space="preserve">ratio in both control and BAY-treated cells, primarily through decreasing NADPH. This finding is consistent with prior studies of bovine coronary artery smooth muscle cells</w:t>
      </w:r>
      <w:r>
        <w:t xml:space="preserve"> </w:t>
      </w:r>
      <w:r>
        <w:t xml:space="preserve">(Gupte and Wolin, 2006)</w:t>
      </w:r>
      <w:r>
        <w:t xml:space="preserve">. In hypoxia, NADPH is generated primarily by the pentose phosphate pathway</w:t>
      </w:r>
      <w:r>
        <w:t xml:space="preserve"> </w:t>
      </w:r>
      <w:r>
        <w:t xml:space="preserve">(Liu et al., 2016)</w:t>
      </w:r>
      <w:r>
        <w:t xml:space="preserve">, where it plays an important role in the detoxification of reactive oxygen species</w:t>
      </w:r>
      <w:r>
        <w:t xml:space="preserve"> </w:t>
      </w:r>
      <w:r>
        <w:t xml:space="preserve">(Fessel and Oldham, 2018; Xiao et al., 2018)</w:t>
      </w:r>
      <w:r>
        <w:t xml:space="preserve">. Although we modeled increased flux through the pentose phosphate pathway in hypoxia (</w:t>
      </w:r>
      <w:r>
        <w:rPr>
          <w:bCs/>
          <w:b/>
        </w:rPr>
        <w:t xml:space="preserve">Figure 5A</w:t>
      </w:r>
      <w:r>
        <w:t xml:space="preserve">), the overall flux was low and apparently inadequate to maintain the NADPH/NADP</w:t>
      </w:r>
      <w:r>
        <w:rPr>
          <w:vertAlign w:val="superscript"/>
        </w:rPr>
        <w:t xml:space="preserve">+</w:t>
      </w:r>
      <w:r>
        <w:t xml:space="preserve"> </w:t>
      </w:r>
      <w:r>
        <w:t xml:space="preserve">ratio.</w:t>
      </w:r>
    </w:p>
    <w:bookmarkEnd w:id="29"/>
    <w:bookmarkStart w:id="30" w:name="X66fff211460f0329462c14d146a3a711571304d"/>
    <w:p>
      <w:pPr>
        <w:pStyle w:val="Heading2"/>
      </w:pPr>
      <w:r>
        <w:t xml:space="preserve">Transcriptomic analysis identifies metabolic regulators in hypoxia</w:t>
      </w:r>
    </w:p>
    <w:p>
      <w:pPr>
        <w:pStyle w:val="FirstParagraph"/>
      </w:pPr>
      <w:r>
        <w:t xml:space="preserve">To identify the upstream regulators of the observed metabolic changes, we next performed RNA-seq transcriptomic analysis of LFs treated with hypoxia or BAY, separately or together. As anticipated, both hypoxia and BAY treatment induced substantial changes in gene expression (</w:t>
      </w:r>
      <w:r>
        <w:rPr>
          <w:bCs/>
          <w:b/>
        </w:rPr>
        <w:t xml:space="preserve">Figure 10 - figure supplement 1</w:t>
      </w:r>
      <w:r>
        <w:t xml:space="preserve">). Of the 10,686 differentially expressed genes across both conditions, 869 (4%) were unique to BAY treatment in normoxia, 4,002 (19%) were shared by BAY and hypoxia, while 5,052 (25%) were unique to 0.5% hypoxia (</w:t>
      </w:r>
      <w:r>
        <w:rPr>
          <w:bCs/>
          <w:b/>
        </w:rPr>
        <w:t xml:space="preserve">Figure 10 - figure supplement 1C</w:t>
      </w:r>
      <w:r>
        <w:t xml:space="preserve">).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(Liberzon et al., 2015)</w:t>
      </w:r>
      <w:r>
        <w:t xml:space="preserve"> </w:t>
      </w:r>
      <w:r>
        <w:t xml:space="preserve">(</w:t>
      </w:r>
      <w:r>
        <w:rPr>
          <w:bCs/>
          <w:b/>
        </w:rPr>
        <w:t xml:space="preserve">Figure 10 - figure supplement 1D-F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 analyses on the differences between hypoxia and BAY treatments. Principal component analysis again demonstrated clear separation among the four treatment groups (</w:t>
      </w:r>
      <w:r>
        <w:rPr>
          <w:bCs/>
          <w:b/>
        </w:rPr>
        <w:t xml:space="preserve">Figure 10A</w:t>
      </w:r>
      <w:r>
        <w:t xml:space="preserve">). The first and second principal components correspond to 0.5% oxygen and BAY treatments, respectively. Consistent with our prior observations, the combination of 0.5% oxygen plus BAY was more similar to 0.5% oxygen alone than BAY treatment alone, supporting the hypothesis that hypoxia overrides the effects of BAY treatment. To identify the transcripts driving these differences, we identified genes differentially expressed following hypoxia in BAY-treated cells (</w:t>
      </w:r>
      <w:r>
        <w:rPr>
          <w:bCs/>
          <w:b/>
        </w:rPr>
        <w:t xml:space="preserve">Figure 10B</w:t>
      </w:r>
      <w:r>
        <w:t xml:space="preserve">). An enrichment analysis of these differentially expressed genes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Figure 10C-E</w:t>
      </w:r>
      <w:r>
        <w:t xml:space="preserve">). These findings were further supported by a transcription factor enrichment analysis identifying enrichment of MYC transcription factor targets associated with hypoxia, but not BAY treatment (</w:t>
      </w:r>
      <w:r>
        <w:rPr>
          <w:bCs/>
          <w:b/>
        </w:rPr>
        <w:t xml:space="preserve">Figure 10F, Figure 10 - figure supplement 1G-H</w:t>
      </w:r>
      <w:r>
        <w:t xml:space="preserve">).</w:t>
      </w:r>
    </w:p>
    <w:p>
      <w:pPr>
        <w:pStyle w:val="BodyText"/>
      </w:pPr>
      <w:r>
        <w:t xml:space="preserve">As one example of MYC-dependent transcriptional regulation, MYC represses the transcription of</w:t>
      </w:r>
      <w:r>
        <w:t xml:space="preserve"> </w:t>
      </w:r>
      <w:r>
        <w:rPr>
          <w:iCs/>
          <w:i/>
        </w:rPr>
        <w:t xml:space="preserve">CDKN1A</w:t>
      </w:r>
      <w:r>
        <w:t xml:space="preserve">, which encodes the cyclin-dependent kinase and cell-cycle inhibitor p21</w:t>
      </w:r>
      <w:r>
        <w:t xml:space="preserve"> </w:t>
      </w:r>
      <w:r>
        <w:t xml:space="preserve">(García-Gutiérrez et al., 2019)</w:t>
      </w:r>
      <w:r>
        <w:t xml:space="preserve">.</w:t>
      </w:r>
      <w:r>
        <w:t xml:space="preserve"> </w:t>
      </w:r>
      <w:r>
        <w:rPr>
          <w:iCs/>
          <w:i/>
        </w:rPr>
        <w:t xml:space="preserve">CDKN1A</w:t>
      </w:r>
      <w:r>
        <w:t xml:space="preserve"> </w:t>
      </w:r>
      <w:r>
        <w:t xml:space="preserve">expression increases with BAY treatment in normoxia, but is decreased by hypoxia, consistent with hypoxia-induced MYC activation (</w:t>
      </w:r>
      <w:r>
        <w:rPr>
          <w:bCs/>
          <w:b/>
        </w:rPr>
        <w:t xml:space="preserve">Figure 10 - figure supplement 2A</w:t>
      </w:r>
      <w:r>
        <w:t xml:space="preserve">). While we did not observe increased</w:t>
      </w:r>
      <w:r>
        <w:t xml:space="preserve"> </w:t>
      </w:r>
      <w:r>
        <w:rPr>
          <w:iCs/>
          <w:i/>
        </w:rPr>
        <w:t xml:space="preserve">CDKN1A</w:t>
      </w:r>
      <w:r>
        <w:t xml:space="preserve"> </w:t>
      </w:r>
      <w:r>
        <w:t xml:space="preserve">expression by RT-qPCR in siPHD2-treated cells in normoxia, we did observe hypoxia-mediated down-regulation in both siCTL- and siPHD2-treated cells (</w:t>
      </w:r>
      <w:r>
        <w:rPr>
          <w:bCs/>
          <w:b/>
        </w:rPr>
        <w:t xml:space="preserve">Figure 10 - figure supplement 2B</w:t>
      </w:r>
      <w:r>
        <w:t xml:space="preserve">), consistent with MYC transcriptional activity.</w:t>
      </w:r>
    </w:p>
    <w:p>
      <w:pPr>
        <w:pStyle w:val="BodyText"/>
      </w:pPr>
      <w:r>
        <w:t xml:space="preserve">Classically, hypoxia and HIF activation are thought to inhibit cell proliferation by inhibiting pro-proliferative MYC signaling</w:t>
      </w:r>
      <w:r>
        <w:t xml:space="preserve"> </w:t>
      </w:r>
      <w:r>
        <w:t xml:space="preserve">(Koshiji et al., 2004)</w:t>
      </w:r>
      <w:r>
        <w:t xml:space="preserve">. These results indicate that hypoxia-induced MYC activation may be sustaining proliferation in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examine the role of hypoxia-induced MYC activation in the metabolic response to hypoxia in proliferating primary cells, we first measured MYC by immunoblot. Consistent with our bioinformatic results, we observed increased MYC in hypoxia-treated cells, but not with BAY-treatment alone, where MYC was decreased (</w:t>
      </w:r>
      <w:r>
        <w:rPr>
          <w:bCs/>
          <w:b/>
        </w:rPr>
        <w:t xml:space="preserve">Figure 11A-B</w:t>
      </w:r>
      <w:r>
        <w:t xml:space="preserve">). These findings were similar in siPHD2-treated cells (</w:t>
      </w:r>
      <w:r>
        <w:rPr>
          <w:bCs/>
          <w:b/>
        </w:rPr>
        <w:t xml:space="preserve">Figure 11 - figure supplement 1</w:t>
      </w:r>
      <w:r>
        <w:t xml:space="preserve">). Together, these data suggest a model whereby hypoxia activates MYC and inhibits HIF-driven increases in glycolysis (</w:t>
      </w:r>
      <w:r>
        <w:rPr>
          <w:bCs/>
          <w:b/>
        </w:rPr>
        <w:t xml:space="preserve">Figure 11C, top</w:t>
      </w:r>
      <w:r>
        <w:t xml:space="preserve">). Inhibiting MYC in hypoxia, therefore, should increase glycolysis. Conversely, HIF-dependent glycolysis after BAY treatment in normoxia should be sensitive to inhibition by MYC over-expression (</w:t>
      </w:r>
      <w:r>
        <w:rPr>
          <w:bCs/>
          <w:b/>
        </w:rPr>
        <w:t xml:space="preserve">Figure 11C, bottom</w:t>
      </w:r>
      <w:r>
        <w:t xml:space="preserve">).</w:t>
      </w:r>
    </w:p>
    <w:p>
      <w:pPr>
        <w:pStyle w:val="BodyText"/>
      </w:pPr>
      <w:r>
        <w:t xml:space="preserve">To test the hypothesis that hypoxia-induced MYC expression inhibits glycolysis in primary cells, we first combined MYC knockdown with hypoxia treatment (</w:t>
      </w:r>
      <w:r>
        <w:rPr>
          <w:bCs/>
          <w:b/>
        </w:rPr>
        <w:t xml:space="preserve">Figure 11C, top</w:t>
      </w:r>
      <w:r>
        <w:t xml:space="preserve">). As expected, MYC-deficient cells proliferated more slowly in normoxia, and MYC was essential for sustaining cell proliferation in hypoxia (</w:t>
      </w:r>
      <w:r>
        <w:rPr>
          <w:bCs/>
          <w:b/>
        </w:rPr>
        <w:t xml:space="preserve">Figure 11E</w:t>
      </w:r>
      <w:r>
        <w:t xml:space="preserve">). We did not observe any significant differences in HIF-1α stabilization or target gene expression with MYC knockdown in normoxia or hypoxia (</w:t>
      </w:r>
      <w:r>
        <w:rPr>
          <w:bCs/>
          <w:b/>
        </w:rPr>
        <w:t xml:space="preserve">Figure 11 - figure supplement 2A-E</w:t>
      </w:r>
      <w:r>
        <w:t xml:space="preserve">). Consistent with our hypothesis, MYC-knockdown increased lactate efflux in hypoxia, unlike control siRNA-treated cells (</w:t>
      </w:r>
      <w:r>
        <w:rPr>
          <w:bCs/>
          <w:b/>
        </w:rPr>
        <w:t xml:space="preserve">Figure 11F</w:t>
      </w:r>
      <w:r>
        <w:t xml:space="preserve">).</w:t>
      </w:r>
    </w:p>
    <w:p>
      <w:pPr>
        <w:pStyle w:val="BodyText"/>
      </w:pPr>
      <w:r>
        <w:t xml:space="preserve">We next performed the complementary experiment to determine whether MYC over-expression could attenuate the increase in glycolysis observed with BAY treatment in normoxia (</w:t>
      </w:r>
      <w:r>
        <w:rPr>
          <w:bCs/>
          <w:b/>
        </w:rPr>
        <w:t xml:space="preserve">Figure 11C, bottom</w:t>
      </w:r>
      <w:r>
        <w:t xml:space="preserve">). We did not observe any significant differences in cell growth rate with MYC over-expression (</w:t>
      </w:r>
      <w:r>
        <w:rPr>
          <w:bCs/>
          <w:b/>
        </w:rPr>
        <w:t xml:space="preserve">Figure 11H</w:t>
      </w:r>
      <w:r>
        <w:t xml:space="preserve">). Interestingly, MYC over-expression potentiated BAY-stimulated increases in HIF-1α stabilization and target gene expression (</w:t>
      </w:r>
      <w:r>
        <w:rPr>
          <w:bCs/>
          <w:b/>
        </w:rPr>
        <w:t xml:space="preserve">Figure 11 - figure supplement 2F-J</w:t>
      </w:r>
      <w:r>
        <w:t xml:space="preserve">). In spite of these transcriptional changes, MYC over-expression attenuated BAY-stimulated lactate efflux in normoxia. Together, these data indicate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HIF-1α transcriptional program and up-regulation of glycolytic genes. The LFs studied here are certainly capable of augmenting glycolysis in response to HIF-1α stabilization, as demonstrated by experiments with the PHD inhibitor BAY; however, these effects are completely attenuated when BAY-treated cells are cultured in hypoxia. Together, these findings suggest that changes in enzyme expression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(Dang et al., 2006; Li et al., 2020; Stine et al., 2015)</w:t>
      </w:r>
      <w:r>
        <w:t xml:space="preserve">. As deregulated MYC activity has been associated with the majority of human cancers</w:t>
      </w:r>
      <w:r>
        <w:t xml:space="preserve"> </w:t>
      </w:r>
      <w:r>
        <w:t xml:space="preserve">(Vita and Henriksson, 2006)</w:t>
      </w:r>
      <w:r>
        <w:t xml:space="preserve">, much of our understanding of MYC regulation comes from studies using cancer cell models</w:t>
      </w:r>
      <w:r>
        <w:t xml:space="preserve"> </w:t>
      </w:r>
      <w:r>
        <w:t xml:space="preserve">(Dang, 2012; Li et al., 2020; Madden et al., 2021; Stine et al., 2015)</w:t>
      </w:r>
      <w:r>
        <w:t xml:space="preserv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(Li et al., 2020)</w:t>
      </w:r>
      <w:r>
        <w:t xml:space="preserve">. Generally, HIF-1 has been observed to inhibit MYC through multiple mechanisms</w:t>
      </w:r>
      <w:r>
        <w:t xml:space="preserve"> </w:t>
      </w:r>
      <w:r>
        <w:t xml:space="preserve">(Gordan et al., 2007; Koshiji et al., 2005, 2004; Zhang et al., 2007)</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(Chen et al., 2013; Doe et al., 2012; Zhang et al., 2009)</w:t>
      </w:r>
      <w:r>
        <w:t xml:space="preserve">, primarily in the context of malignant transformation. The observation that MYC may antagonize the transcriptional effects of HIF to sustain primary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(Li et al., 2005)</w:t>
      </w:r>
      <w:r>
        <w:t xml:space="preserve">. Indeed, we found that the oxidative phosphorylation gene set was enriched in BAY-treated cells cultured in hypoxia (</w:t>
      </w:r>
      <w:r>
        <w:rPr>
          <w:bCs/>
          <w:b/>
        </w:rPr>
        <w:t xml:space="preserve">Figure 10C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(Stine et al., 2015)</w:t>
      </w:r>
      <w:r>
        <w:t xml:space="preserve">, that may also impact the central pathways of carbon metabolism studied in this work.</w:t>
      </w:r>
    </w:p>
    <w:p>
      <w:pPr>
        <w:pStyle w:val="BodyText"/>
      </w:pPr>
      <w:r>
        <w:t xml:space="preserve">Given the importance of MYC in regulating many aspects of cell biology, its intracellular concentration is closely regulated at multiple levels</w:t>
      </w:r>
      <w:r>
        <w:t xml:space="preserve"> </w:t>
      </w:r>
      <w:r>
        <w:t xml:space="preserve">(Stine et al., 2015)</w:t>
      </w:r>
      <w:r>
        <w:t xml:space="preserve">, including chromatin decompaction</w:t>
      </w:r>
      <w:r>
        <w:t xml:space="preserve"> </w:t>
      </w:r>
      <w:r>
        <w:t xml:space="preserve">(Devaiah et al., 2016)</w:t>
      </w:r>
      <w:r>
        <w:t xml:space="preserve">; gene transcription</w:t>
      </w:r>
      <w:r>
        <w:t xml:space="preserve"> </w:t>
      </w:r>
      <w:r>
        <w:t xml:space="preserve">(Spencer and Groudine, 1990; Vita and Henriksson, 2006)</w:t>
      </w:r>
      <w:r>
        <w:t xml:space="preserve">; mRNA stability</w:t>
      </w:r>
      <w:r>
        <w:t xml:space="preserve"> </w:t>
      </w:r>
      <w:r>
        <w:t xml:space="preserve">(Bernstein et al., 1992; Lemm and Ross, 2002; Weidensdorfer et al., 2009)</w:t>
      </w:r>
      <w:r>
        <w:t xml:space="preserve"> </w:t>
      </w:r>
      <w:r>
        <w:t xml:space="preserve">and translation</w:t>
      </w:r>
      <w:r>
        <w:t xml:space="preserve"> </w:t>
      </w:r>
      <w:r>
        <w:t xml:space="preserve">(Wall et al., 2008)</w:t>
      </w:r>
      <w:r>
        <w:t xml:space="preserve">; and protein degradation</w:t>
      </w:r>
      <w:r>
        <w:t xml:space="preserve"> </w:t>
      </w:r>
      <w:r>
        <w:t xml:space="preserve">(Adhikary and Eilers, 2005; Farrell and Sears, 2014)</w:t>
      </w:r>
      <w:r>
        <w:t xml:space="preserve">. MYC mRNA has a short half-life of less than 20 min</w:t>
      </w:r>
      <w:r>
        <w:t xml:space="preserve"> </w:t>
      </w:r>
      <w:r>
        <w:t xml:space="preserve">(Dani et al., 1984)</w:t>
      </w:r>
      <w:r>
        <w:t xml:space="preserve"> </w:t>
      </w:r>
      <w:r>
        <w:t xml:space="preserve">and hypoxia decreases MYC mRNA decay in immortalized cells by varied mechanisms</w:t>
      </w:r>
      <w:r>
        <w:t xml:space="preserve"> </w:t>
      </w:r>
      <w:r>
        <w:t xml:space="preserve">(Carraway et al., 2017; Fortenbery et al., 2018; Fry et al., 2017; Zhang et al., 2019; Zhang et al., 2017)</w:t>
      </w:r>
      <w:r>
        <w:t xml:space="preserve">. In HEK293T cells, 1% oxygen culture increased the half-life of MYC mRNA</w:t>
      </w:r>
      <w:r>
        <w:t xml:space="preserve"> </w:t>
      </w:r>
      <w:r>
        <w:t xml:space="preserve">(Fortenbery et al., 2018)</w:t>
      </w:r>
      <w:r>
        <w:t xml:space="preserve">. The authors also show that stabilizing HIF with pharmacologic prolyl hydroxylase inhibitors did not reproduce this effect. This differential effect of hypoxic and pharmacologic PHD inhibition resembles our data here describing metabolic differences between these conditions. Electron transport chain inhibitors and ebselen, an antioxidant and mimic of glutathione peroxidase, prevented the hypoxia-mediated increase in MYC mRNA half-life. These experiments suggest an important role for mitochondrially derived reactive oxygen species (ROS) in regulating MYC mRNA stability. Hypoxia also increases N6-methyladenosine modification of MYC mRNA, which decreases ribonucleoprotein binding. Less ribonucleoprotein binding may also contribute to MYC mRNA stabilization</w:t>
      </w:r>
      <w:r>
        <w:t xml:space="preserve"> </w:t>
      </w:r>
      <w:r>
        <w:t xml:space="preserve">(Carraway et al., 2017; Fortenbery et al., 2018)</w:t>
      </w:r>
      <w:r>
        <w:t xml:space="preserve">. MYC mRNA stability may also be enhanced by the hypoxia-induced down-regulation of micro RNAs miR-449a-5p and let-7g, which contribute to hypoxia-induced proliferation of PASMCs</w:t>
      </w:r>
      <w:r>
        <w:t xml:space="preserve"> </w:t>
      </w:r>
      <w:r>
        <w:rPr>
          <w:iCs/>
          <w:i/>
        </w:rPr>
        <w:t xml:space="preserve">in vitro</w:t>
      </w:r>
      <w:r>
        <w:t xml:space="preserve"> </w:t>
      </w:r>
      <w:r>
        <w:t xml:space="preserve">and pulmonary hypertension</w:t>
      </w:r>
      <w:r>
        <w:t xml:space="preserve"> </w:t>
      </w:r>
      <w:r>
        <w:rPr>
          <w:iCs/>
          <w:i/>
        </w:rPr>
        <w:t xml:space="preserve">in vivo</w:t>
      </w:r>
      <w:r>
        <w:t xml:space="preserve"> </w:t>
      </w:r>
      <w:r>
        <w:t xml:space="preserve">(Zhang et al., 2019; Zhang et al., 2017)</w:t>
      </w:r>
      <w:r>
        <w:t xml:space="preserve">. MYC protein also has a short half-life of less than 30 min</w:t>
      </w:r>
      <w:r>
        <w:t xml:space="preserve"> </w:t>
      </w:r>
      <w:r>
        <w:t xml:space="preserve">(Salghetti et al., 1999)</w:t>
      </w:r>
      <w:r>
        <w:t xml:space="preserve"> </w:t>
      </w:r>
      <w:r>
        <w:t xml:space="preserve">and is degraded by the proteasome</w:t>
      </w:r>
      <w:r>
        <w:t xml:space="preserve"> </w:t>
      </w:r>
      <w:r>
        <w:t xml:space="preserve">(Lutterbach and Hann, 1994)</w:t>
      </w:r>
      <w:r>
        <w:t xml:space="preserve">. Two phosphorylation sites, S62 and T58, regulate its stability MYC stability. S62 phosphorylation promotes MYC stability</w:t>
      </w:r>
      <w:r>
        <w:t xml:space="preserve"> </w:t>
      </w:r>
      <w:r>
        <w:t xml:space="preserve">(Lutterbach and Hann, 1994; Sears et al., 2000)</w:t>
      </w:r>
      <w:r>
        <w:t xml:space="preserve"> </w:t>
      </w:r>
      <w:r>
        <w:t xml:space="preserve">and T58 phosphorylation by GSK-3β or BRD4</w:t>
      </w:r>
      <w:r>
        <w:t xml:space="preserve"> </w:t>
      </w:r>
      <w:r>
        <w:t xml:space="preserve">(Devaiah et al., 2020; Gregory et al., 2003)</w:t>
      </w:r>
      <w:r>
        <w:t xml:space="preserve"> </w:t>
      </w:r>
      <w:r>
        <w:t xml:space="preserve">leading to S62 dephosphorylation, ubiquitination, and proteolysis. Identifying which of these many regulatory mechanisms are most important for sustaining MYC signaling in hypoxia will be critically important for understanding primary cell biology in variety of physiologic and pathophysiologic contexts.</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(Islam et al., 2018)</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(Batie et al., 2019)</w:t>
      </w:r>
      <w:r>
        <w:t xml:space="preserve">. Similarly, a recently described cysteamine dioxygenase has been shown to mediate the oxygen-dependent degradation of Regulators of G protein Signaling 4 and 5 and IL-32</w:t>
      </w:r>
      <w:r>
        <w:t xml:space="preserve"> </w:t>
      </w:r>
      <w:r>
        <w:t xml:space="preserve">(Masson et al., 2019)</w:t>
      </w:r>
      <w:r>
        <w:t xml:space="preserve">. In addition to dioxygenase enzymes, electron transport chain dysfunction resulting from impaired Complex IV activity leads to increased ROS production in hypoxia</w:t>
      </w:r>
      <w:r>
        <w:t xml:space="preserve"> </w:t>
      </w:r>
      <w:r>
        <w:t xml:space="preserve">(Chandel et al., 1998)</w:t>
      </w:r>
      <w:r>
        <w:t xml:space="preserve">. Mitochondrial ROS increase the half-lives of several mRNAs in hypoxia, including MYC, independent of HIF stabilization</w:t>
      </w:r>
      <w:r>
        <w:t xml:space="preserve"> </w:t>
      </w:r>
      <w:r>
        <w:t xml:space="preserve">(Guzy et al., 2005)</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Figure 9 - figure supplement 2A-C</w:t>
      </w:r>
      <w:r>
        <w:t xml:space="preserve">)</w:t>
      </w:r>
      <w:r>
        <w:t xml:space="preserve">(Chance and Williams, 1955; Garofalo et al., 1988)</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(Tilton et al., 1991)</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(Hubbi and Semenza, 2015)</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(Gardner et al., 2001)</w:t>
      </w:r>
      <w:r>
        <w:t xml:space="preserve">, and inhibition of pro-proliferative MYC signaling</w:t>
      </w:r>
      <w:r>
        <w:t xml:space="preserve"> </w:t>
      </w:r>
      <w:r>
        <w:t xml:space="preserve">(Koshiji et al., 2004)</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(Mizuno et al., 2009)</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driven by hypoxia-induced up-regulation of MYC, which is known to stimulate cell cycle progression through its effects on the expression and activity of cyclins, cyclin-dependent kinases, and cyclin-dependent kinase inhibitors</w:t>
      </w:r>
      <w:r>
        <w:t xml:space="preserve"> </w:t>
      </w:r>
      <w:r>
        <w:t xml:space="preserve">(Hydbring et al., 2017)</w:t>
      </w:r>
      <w:r>
        <w:t xml:space="preserve">. Clarifying the complex interactions among HIFs, MYC, and cell proliferation will be important for understanding the cellular response of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(Zhang et al., 2008)</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(Jain et al., 2020)</w:t>
      </w:r>
      <w:r>
        <w:t xml:space="preserve">. Similarly, knockout of HIF signaling did not affect growth, internal metabolite concentrations, glucose consumption, or lactate production under hypoxia by human acute myeloid leukemia cells</w:t>
      </w:r>
      <w:r>
        <w:t xml:space="preserve"> </w:t>
      </w:r>
      <w:r>
        <w:t xml:space="preserve">(Wierenga et al., 2019)</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This finding is consistent with increasing evidence suggesting an important role for lactate as a metabolic fuel in several organ systems</w:t>
      </w:r>
      <w:r>
        <w:t xml:space="preserve"> </w:t>
      </w:r>
      <w:r>
        <w:t xml:space="preserve">(Faubert et al., 2013; Hui et al., 2017)</w:t>
      </w:r>
      <w:r>
        <w:t xml:space="preserve">. Although typically considered a metabolic waste product</w:t>
      </w:r>
      <w:r>
        <w:t xml:space="preserve"> </w:t>
      </w:r>
      <w:r>
        <w:t xml:space="preserve">(Rabinowitz and Enerbäck, 2020)</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(Gameiro et al., 2013; Metallo et al., 2011; Scott et al., 2011; Wise et al., 2011)</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(Fessel et al., 2012)</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(Grassian et al., 2014; Metallo et al., 2011)</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1"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three donors were used in these studies: #33652 (56 y.o., male), #29132 (19 y.o., female), and #41684 (37 y.o., male). Passages 3-6 were used for experiments. Primary human pulmonary artery smooth muscle cells were purchased from Lonza (CC-2581) and cultured in SmGM-2 (Lonza CC-3182). Cells from three donors were used in these studies: #30020 (64 y.o., male), #27662 (35 y.o., male), #26698 (51 y.o., male), #19828 (51 y.o., male) and #45518 (56 y.o., female). Passages 4-7 were used for experiments.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Figure 12A</w:t>
      </w:r>
      <w:r>
        <w:t xml:space="preserve">). No difference in total cellular DNA was identified between normoxia and hypoxia cultures (</w:t>
      </w:r>
      <w:r>
        <w:rPr>
          <w:bCs/>
          <w:b/>
        </w:rPr>
        <w:t xml:space="preserve">Figure 12B-C</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(Guarino et al., 2019)</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(Long, 2017)</w:t>
      </w:r>
      <w:r>
        <w:t xml:space="preserve">.</w:t>
      </w:r>
    </w:p>
    <w:bookmarkEnd w:id="42"/>
    <w:bookmarkStart w:id="43" w:name="rna-interference"/>
    <w:p>
      <w:pPr>
        <w:pStyle w:val="Heading2"/>
      </w:pPr>
      <w:r>
        <w:t xml:space="preserve">RNA interference</w:t>
      </w:r>
    </w:p>
    <w:p>
      <w:pPr>
        <w:pStyle w:val="FirstParagraph"/>
      </w:pPr>
      <w:r>
        <w:t xml:space="preserve">Approximately 1.25 M LFs were reverse transfected in 6-cm dishes with 40 pmol siRNA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(Oldham et al., 2015)</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9" w:name="flux-calculations"/>
    <w:p>
      <w:pPr>
        <w:pStyle w:val="Heading2"/>
      </w:pPr>
      <w:r>
        <w:t xml:space="preserve">Flux calculations</w:t>
      </w:r>
    </w:p>
    <w:p>
      <w:pPr>
        <w:pStyle w:val="FirstParagraph"/>
      </w:pPr>
      <w:r>
        <w:t xml:space="preserve">The growth rate (</w:t>
      </w:r>
      <m:oMath>
        <m:r>
          <m:t>μ</m:t>
        </m:r>
      </m:oMath>
      <w:r>
        <w:t xml:space="preserve">) and flux (</w:t>
      </w:r>
      <m:oMath>
        <m:r>
          <m:t>v</m:t>
        </m:r>
      </m:oMath>
      <w:r>
        <w:t xml:space="preserve">) for each measured metabolite were defined as follows</w:t>
      </w:r>
      <w:r>
        <w:t xml:space="preserve"> </w:t>
      </w:r>
      <w:r>
        <w:t xml:space="preserve">(Murphy and Young, 2013)</w:t>
      </w:r>
      <w:r>
        <w:t xml:space="preserve">:</w:t>
      </w:r>
    </w:p>
    <w:p>
      <w:pPr>
        <w:pStyle w:val="BodyText"/>
      </w:pPr>
      <w:bookmarkStart w:id="45" w:name="eq-eq1"/>
      <m:oMathPara>
        <m:oMathParaPr>
          <m:jc m:val="center"/>
        </m:oMathParaPr>
        <m:oMath>
          <m:f>
            <m:fPr>
              <m:type m:val="bar"/>
            </m:fPr>
            <m:num>
              <m:r>
                <m:t>d</m:t>
              </m:r>
              <m:r>
                <m:t>X</m:t>
              </m:r>
            </m:num>
            <m:den>
              <m:r>
                <m:t>d</m:t>
              </m:r>
              <m:r>
                <m:t>t</m:t>
              </m:r>
            </m:den>
          </m:f>
          <m:r>
            <m:rPr>
              <m:sty m:val="p"/>
            </m:rPr>
            <m:t>=</m:t>
          </m:r>
          <m:r>
            <m:t>μ</m:t>
          </m:r>
          <m:r>
            <m:t>X</m:t>
          </m:r>
          <m:r>
            <m:t>  </m:t>
          </m:r>
          <m:d>
            <m:dPr>
              <m:begChr m:val="("/>
              <m:endChr m:val=")"/>
              <m:sepChr m:val=""/>
              <m:grow/>
            </m:dPr>
            <m:e>
              <m:r>
                <m:t>1</m:t>
              </m:r>
            </m:e>
          </m:d>
        </m:oMath>
      </m:oMathPara>
      <w:bookmarkEnd w:id="45"/>
    </w:p>
    <w:p>
      <w:pPr>
        <w:pStyle w:val="FirstParagraph"/>
      </w:pPr>
      <w:bookmarkStart w:id="46" w:name="eq-eq2"/>
      <m:oMathPara>
        <m:oMathParaPr>
          <m:jc m:val="center"/>
        </m:oMathParaPr>
        <m:oMath>
          <m:f>
            <m:fPr>
              <m:type m:val="bar"/>
            </m:fPr>
            <m:num>
              <m:r>
                <m:t>d</m:t>
              </m:r>
              <m:r>
                <m:t>M</m:t>
              </m:r>
            </m:num>
            <m:den>
              <m:r>
                <m:t>d</m:t>
              </m:r>
              <m:r>
                <m:t>t</m:t>
              </m:r>
            </m:den>
          </m:f>
          <m:r>
            <m:rPr>
              <m:sty m:val="p"/>
            </m:rPr>
            <m:t>=</m:t>
          </m:r>
          <m:r>
            <m:rPr>
              <m:sty m:val="p"/>
            </m:rPr>
            <m:t>−</m:t>
          </m:r>
          <m:r>
            <m:t>k</m:t>
          </m:r>
          <m:r>
            <m:t>M</m:t>
          </m:r>
          <m:r>
            <m:rPr>
              <m:sty m:val="p"/>
            </m:rPr>
            <m:t>+</m:t>
          </m:r>
          <m:r>
            <m:t>v</m:t>
          </m:r>
          <m:r>
            <m:t>X</m:t>
          </m:r>
          <m:r>
            <m:t>  </m:t>
          </m:r>
          <m:d>
            <m:dPr>
              <m:begChr m:val="("/>
              <m:endChr m:val=")"/>
              <m:sepChr m:val=""/>
              <m:grow/>
            </m:dPr>
            <m:e>
              <m:r>
                <m:t>2</m:t>
              </m:r>
            </m:e>
          </m:d>
        </m:oMath>
      </m:oMathPara>
      <w:bookmarkEnd w:id="46"/>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w:bookmarkStart w:id="47" w:name="eq-eq3"/>
      <m:oMathPara>
        <m:oMathParaPr>
          <m:jc m:val="center"/>
        </m:oMathParaPr>
        <m:oMath>
          <m:r>
            <m:t>X</m:t>
          </m:r>
          <m:r>
            <m:rPr>
              <m:sty m:val="p"/>
            </m:rPr>
            <m:t>=</m:t>
          </m:r>
          <m:sSub>
            <m:e>
              <m:r>
                <m:t>X</m:t>
              </m:r>
            </m:e>
            <m:sub>
              <m:r>
                <m:t>0</m:t>
              </m:r>
            </m:sub>
          </m:sSub>
          <m:sSup>
            <m:e>
              <m:r>
                <m:t>e</m:t>
              </m:r>
            </m:e>
            <m:sup>
              <m:r>
                <m:t>μ</m:t>
              </m:r>
              <m:r>
                <m:t>t</m:t>
              </m:r>
            </m:sup>
          </m:sSup>
          <m:r>
            <m:t>  </m:t>
          </m:r>
          <m:d>
            <m:dPr>
              <m:begChr m:val="("/>
              <m:endChr m:val=")"/>
              <m:sepChr m:val=""/>
              <m:grow/>
            </m:dPr>
            <m:e>
              <m:r>
                <m:t>3</m:t>
              </m:r>
            </m:e>
          </m:d>
        </m:oMath>
      </m:oMathPara>
      <w:bookmarkEnd w:id="47"/>
    </w:p>
    <w:p>
      <w:pPr>
        <w:pStyle w:val="FirstParagraph"/>
      </w:pPr>
      <w:bookmarkStart w:id="48" w:name="eq-eq4"/>
      <m:oMathPara>
        <m:oMathParaPr>
          <m:jc m:val="center"/>
        </m:oMathParaPr>
        <m:oMath>
          <m:r>
            <m:t>M</m:t>
          </m:r>
          <m:sSup>
            <m:e>
              <m:r>
                <m:t>e</m:t>
              </m:r>
            </m:e>
            <m:sup>
              <m:r>
                <m:t>k</m:t>
              </m:r>
              <m:r>
                <m:t>t</m:t>
              </m:r>
            </m:sup>
          </m:sSup>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oMath>
      </m:oMathPara>
      <w:bookmarkEnd w:id="48"/>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w:t>
      </w:r>
      <w:r>
        <w:t xml:space="preserve"> </w:t>
      </w:r>
      <w:r>
        <w:rPr>
          <w:bCs/>
          <w:b/>
        </w:rPr>
        <w:t xml:space="preserve">Equation 4</w:t>
      </w:r>
      <w:r>
        <w:t xml:space="preserve">.</w:t>
      </w:r>
    </w:p>
    <w:bookmarkEnd w:id="49"/>
    <w:bookmarkStart w:id="54" w:name="metabolomics"/>
    <w:p>
      <w:pPr>
        <w:pStyle w:val="Heading2"/>
      </w:pPr>
      <w:r>
        <w:t xml:space="preserve">Metabolomics</w:t>
      </w:r>
    </w:p>
    <w:bookmarkStart w:id="50"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50"/>
    <w:bookmarkStart w:id="51"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51"/>
    <w:bookmarkStart w:id="52"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(2015)</w:t>
      </w:r>
      <w:r>
        <w:t xml:space="preserve">. Mass isotope distributions for FBP and 3PG were calculated from full scan chromatograms as described below. Raw mass isotopomer distributions were corrected for natural isotope abundance using a custom R package (mzrtools, https://github.com/oldhamlab/mzrtools) employing the method of Fernandez,</w:t>
      </w:r>
      <w:r>
        <w:t xml:space="preserve"> </w:t>
      </w:r>
      <w:r>
        <w:rPr>
          <w:iCs/>
          <w:i/>
        </w:rPr>
        <w:t xml:space="preserve">et al.</w:t>
      </w:r>
      <w:r>
        <w:t xml:space="preserve"> </w:t>
      </w:r>
      <w:r>
        <w:t xml:space="preserve">(1996)</w:t>
      </w:r>
      <w:r>
        <w:t xml:space="preserve">.</w:t>
      </w:r>
    </w:p>
    <w:bookmarkEnd w:id="52"/>
    <w:bookmarkStart w:id="53"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(Broadhurst et al., 2018)</w:t>
      </w:r>
      <w:r>
        <w:t xml:space="preserve">. Missing values were imputed using random forest. Sample peak areas were normalized using probabilistic quotient normalization</w:t>
      </w:r>
      <w:r>
        <w:t xml:space="preserve"> </w:t>
      </w:r>
      <w:r>
        <w:t xml:space="preserve">(Dieterle et al., 2006)</w:t>
      </w:r>
      <w:r>
        <w:t xml:space="preserve">. Differentially regulated metabolites were identified using limma</w:t>
      </w:r>
      <w:r>
        <w:t xml:space="preserve"> </w:t>
      </w:r>
      <w:r>
        <w:t xml:space="preserve">(Ritchie et al., 2015)</w:t>
      </w:r>
      <w:r>
        <w:t xml:space="preserve">. Metabolite set enrichment analysis was performed using the fgsea package</w:t>
      </w:r>
      <w:r>
        <w:t xml:space="preserve"> </w:t>
      </w:r>
      <w:r>
        <w:t xml:space="preserve">(Korotkevich et al., 2021)</w:t>
      </w:r>
      <w:r>
        <w:t xml:space="preserve"> </w:t>
      </w:r>
      <w:r>
        <w:t xml:space="preserve">with KEGG metabolite pathways</w:t>
      </w:r>
      <w:r>
        <w:t xml:space="preserve"> </w:t>
      </w:r>
      <w:r>
        <w:t xml:space="preserve">(Kanehisa and Goto, 2000)</w:t>
      </w:r>
      <w:r>
        <w:t xml:space="preserve">.</w:t>
      </w:r>
    </w:p>
    <w:bookmarkEnd w:id="53"/>
    <w:bookmarkEnd w:id="54"/>
    <w:bookmarkStart w:id="55"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(Quek et al., 2010; Sheikh et al., 2005)</w:t>
      </w:r>
      <w:r>
        <w:t xml:space="preserve">, and stoichiometric coefficients were determined as described</w:t>
      </w:r>
      <w:r>
        <w:t xml:space="preserve"> </w:t>
      </w:r>
      <w:r>
        <w:t xml:space="preserve">(Murphy and Young, 2013; Zamorano et al., 2010)</w:t>
      </w:r>
      <w:r>
        <w:t xml:space="preserve">.</w:t>
      </w:r>
    </w:p>
    <w:bookmarkEnd w:id="55"/>
    <w:bookmarkStart w:id="56"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(Young et al., 2014)</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(Murphy and Young, 2013; Vacanti et al., 2014)</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(Quek et al., 2010; Sheikh et al., 2005)</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(Antoniewicz et al., 2006; Murphy and Young, 2013)</w:t>
      </w:r>
      <w:r>
        <w:t xml:space="preserve">.</w:t>
      </w:r>
    </w:p>
    <w:bookmarkEnd w:id="56"/>
    <w:bookmarkStart w:id="57" w:name="nadh-and-nadph-assays"/>
    <w:p>
      <w:pPr>
        <w:pStyle w:val="Heading2"/>
      </w:pPr>
      <w:r>
        <w:t xml:space="preserve">NAD(H) and NADP(H) assays</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(Oldham et al., 2015)</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p>
      <w:pPr>
        <w:pStyle w:val="BodyText"/>
      </w:pPr>
      <w:r>
        <w:t xml:space="preserve">Samples for NADP</w:t>
      </w:r>
      <w:r>
        <w:rPr>
          <w:vertAlign w:val="superscript"/>
        </w:rPr>
        <w:t xml:space="preserve">+</w:t>
      </w:r>
      <w:r>
        <w:t xml:space="preserve"> </w:t>
      </w:r>
      <w:r>
        <w:t xml:space="preserve">and NADPH quantification were prepared as described above and analyzed using the luminescence-based NADP/NADPH-Glo assay (Promega).</w:t>
      </w:r>
    </w:p>
    <w:bookmarkEnd w:id="57"/>
    <w:bookmarkStart w:id="58"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(Liao et al., 2019)</w:t>
      </w:r>
      <w:r>
        <w:t xml:space="preserve">. This data is available from the Oldham Lab GitHub repository (https://github.com/oldhamlab/rnaseq.lf.hypoxia.molidustat). Differentially expressed transcripts were identified using DESeq2</w:t>
      </w:r>
      <w:r>
        <w:t xml:space="preserve"> </w:t>
      </w:r>
      <w:r>
        <w:t xml:space="preserve">(Love et al., 2014)</w:t>
      </w:r>
      <w:r>
        <w:t xml:space="preserve">. Gene set enrichment and transcription factor enrichment was performed using the fgsea and DoRothEA R packages, respectively</w:t>
      </w:r>
      <w:r>
        <w:t xml:space="preserve"> </w:t>
      </w:r>
      <w:r>
        <w:t xml:space="preserve">(Garcia-Alonso et al., 2019; Korotkevich et al., 2021)</w:t>
      </w:r>
      <w:r>
        <w:t xml:space="preserve">.</w:t>
      </w:r>
    </w:p>
    <w:bookmarkEnd w:id="58"/>
    <w:bookmarkStart w:id="59"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(https://github.com/oldhamlab/Copeland.2023.hypoxia.flux). Data analysis, statistical comparisons, and visualization were performed in R</w:t>
      </w:r>
      <w:r>
        <w:t xml:space="preserve"> </w:t>
      </w:r>
      <w:r>
        <w:t xml:space="preserve">(R Core Team, 2023)</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9"/>
    <w:bookmarkStart w:id="60" w:name="key-resources-table"/>
    <w:p>
      <w:pPr>
        <w:pStyle w:val="Heading2"/>
      </w:pPr>
      <w:r>
        <w:t xml:space="preserve">Key Resources Table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Key reagents and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Reagent/Resource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w:t>
            </w:r>
          </w:p>
        </w:tc>
      </w:tr>
      <w:tr>
        <w:trPr>
          <w:trHeight w:val="360" w:hRule="auto"/>
        </w:trPr>
        body 1
        <w:tc>
          <w:tcPr>
            <w:gridSpan w:val="3"/>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Antibodies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D84C12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r>
      <w:tr>
        <w:trPr>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Bacterial and virus strains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1285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Chemicals, peptides, and recombinant proteins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CLM-504-PK</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CLM-1396-PK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CLM-1822-H-PK</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485926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15297</w:t>
            </w:r>
          </w:p>
        </w:tc>
      </w:tr>
      <w:tr>
        <w:trPr>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Critical commercial assays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10009582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700510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700470</w:t>
            </w:r>
          </w:p>
        </w:tc>
      </w:tr>
      <w:tr>
        <w:trPr>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Depositied data</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https://github.com/oldhamlab/Copeland.2023.hypoxia.flux</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SRA: PRJNA721596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https://github.com/oldhamlab/rnaseq.lf.hypoxia.molidustat</w:t>
            </w:r>
          </w:p>
        </w:tc>
      </w:tr>
      <w:tr>
        <w:trPr>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Experimental models: Cell lines</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CC-2512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CC-2581</w:t>
            </w:r>
          </w:p>
        </w:tc>
      </w:tr>
      <w:tr>
        <w:trPr>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Oligonucleotides</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CDKN1A (Hs00355782_m1)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L-003282-02-0005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PHD2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L-004276-00-0005</w:t>
            </w:r>
          </w:p>
        </w:tc>
      </w:tr>
      <w:tr>
        <w:trPr>
          <w:trHeight w:val="360"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ON-TARGETplus non-targeting control pool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r>
    </w:tbl>
    <w:p>
      <w:r>
        <w:br w:type="page"/>
      </w:r>
    </w:p>
    <w:bookmarkEnd w:id="60"/>
    <w:bookmarkEnd w:id="61"/>
    <w:bookmarkStart w:id="62"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2"/>
    <w:bookmarkStart w:id="63"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3"/>
    <w:bookmarkStart w:id="64"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4"/>
    <w:bookmarkStart w:id="291" w:name="references"/>
    <w:p>
      <w:pPr>
        <w:pStyle w:val="Heading1"/>
      </w:pPr>
      <w:r>
        <w:t xml:space="preserve">References</w:t>
      </w:r>
    </w:p>
    <w:bookmarkStart w:id="290" w:name="refs"/>
    <w:bookmarkStart w:id="66" w:name="ref-adhikary2005"/>
    <w:p>
      <w:pPr>
        <w:pStyle w:val="Bibliography"/>
      </w:pPr>
      <w:r>
        <w:t xml:space="preserve">Adhikary S, Eilers M. 2005. Transcriptional regulation and transformation by</w:t>
      </w:r>
      <w:r>
        <w:t xml:space="preserve"> </w:t>
      </w:r>
      <w:r>
        <w:t xml:space="preserve">Myc</w:t>
      </w:r>
      <w:r>
        <w:t xml:space="preserve"> </w:t>
      </w:r>
      <w:r>
        <w:t xml:space="preserve">proteins.</w:t>
      </w:r>
      <w:r>
        <w:t xml:space="preserve"> </w:t>
      </w:r>
      <w:r>
        <w:rPr>
          <w:iCs/>
          <w:i/>
        </w:rPr>
        <w:t xml:space="preserve">Nat Rev Mol Cell Biol</w:t>
      </w:r>
      <w:r>
        <w:t xml:space="preserve"> </w:t>
      </w:r>
      <w:r>
        <w:rPr>
          <w:bCs/>
          <w:b/>
        </w:rPr>
        <w:t xml:space="preserve">6</w:t>
      </w:r>
      <w:r>
        <w:t xml:space="preserve">:635–645. doi:</w:t>
      </w:r>
      <w:hyperlink r:id="rId65">
        <w:r>
          <w:rPr>
            <w:rStyle w:val="Hyperlink"/>
          </w:rPr>
          <w:t xml:space="preserve">10.1038/nrm1703</w:t>
        </w:r>
      </w:hyperlink>
    </w:p>
    <w:bookmarkEnd w:id="66"/>
    <w:bookmarkStart w:id="68"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67">
        <w:r>
          <w:rPr>
            <w:rStyle w:val="Hyperlink"/>
          </w:rPr>
          <w:t xml:space="preserve">10.1016/j.ymben.2011.07.002</w:t>
        </w:r>
      </w:hyperlink>
    </w:p>
    <w:bookmarkEnd w:id="68"/>
    <w:bookmarkStart w:id="70"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69">
        <w:r>
          <w:rPr>
            <w:rStyle w:val="Hyperlink"/>
          </w:rPr>
          <w:t xml:space="preserve">10.1038/s12276-018-0060-y</w:t>
        </w:r>
      </w:hyperlink>
    </w:p>
    <w:bookmarkEnd w:id="70"/>
    <w:bookmarkStart w:id="72" w:name="ref-antoniewicz2006"/>
    <w:p>
      <w:pPr>
        <w:pStyle w:val="Bibliography"/>
      </w:pPr>
      <w:r>
        <w:t xml:space="preserve">Antoniewicz MR, Kelleher JK, Stephanopoulos G. 2006. Determination of confidence intervals of metabolic fluxes estimated from stable isotope measurements.</w:t>
      </w:r>
      <w:r>
        <w:t xml:space="preserve"> </w:t>
      </w:r>
      <w:r>
        <w:rPr>
          <w:iCs/>
          <w:i/>
        </w:rPr>
        <w:t xml:space="preserve">Metab Eng</w:t>
      </w:r>
      <w:r>
        <w:t xml:space="preserve"> </w:t>
      </w:r>
      <w:r>
        <w:rPr>
          <w:bCs/>
          <w:b/>
        </w:rPr>
        <w:t xml:space="preserve">8</w:t>
      </w:r>
      <w:r>
        <w:t xml:space="preserve">:324–337. doi:</w:t>
      </w:r>
      <w:hyperlink r:id="rId71">
        <w:r>
          <w:rPr>
            <w:rStyle w:val="Hyperlink"/>
          </w:rPr>
          <w:t xml:space="preserve">10.1016/j.ymben.2006.01.004</w:t>
        </w:r>
      </w:hyperlink>
    </w:p>
    <w:bookmarkEnd w:id="72"/>
    <w:bookmarkStart w:id="74" w:name="ref-batie2019"/>
    <w:p>
      <w:pPr>
        <w:pStyle w:val="Bibliography"/>
      </w:pPr>
      <w:r>
        <w:t xml:space="preserve">Batie M, Frost J, Frost M, Wilson JW, Schofield P, Rocha S. 2019. Hypoxia induces rapid changes to histone methylation and reprograms chromatin.</w:t>
      </w:r>
      <w:r>
        <w:t xml:space="preserve"> </w:t>
      </w:r>
      <w:r>
        <w:rPr>
          <w:iCs/>
          <w:i/>
        </w:rPr>
        <w:t xml:space="preserve">Science</w:t>
      </w:r>
      <w:r>
        <w:t xml:space="preserve"> </w:t>
      </w:r>
      <w:r>
        <w:rPr>
          <w:bCs/>
          <w:b/>
        </w:rPr>
        <w:t xml:space="preserve">363</w:t>
      </w:r>
      <w:r>
        <w:t xml:space="preserve">:1222–1226. doi:</w:t>
      </w:r>
      <w:hyperlink r:id="rId73">
        <w:r>
          <w:rPr>
            <w:rStyle w:val="Hyperlink"/>
          </w:rPr>
          <w:t xml:space="preserve">10.1126/science.aau5870</w:t>
        </w:r>
      </w:hyperlink>
    </w:p>
    <w:bookmarkEnd w:id="74"/>
    <w:bookmarkStart w:id="76" w:name="ref-bernstein1992"/>
    <w:p>
      <w:pPr>
        <w:pStyle w:val="Bibliography"/>
      </w:pPr>
      <w:r>
        <w:t xml:space="preserve">Bernstein PL, Herrick DJ, Prokipcak RD, Ross J. 1992. Control of c-myc</w:t>
      </w:r>
      <w:r>
        <w:t xml:space="preserve"> </w:t>
      </w:r>
      <w:r>
        <w:t xml:space="preserve">mRNA</w:t>
      </w:r>
      <w:r>
        <w:t xml:space="preserve"> </w:t>
      </w:r>
      <w:r>
        <w:t xml:space="preserve">half-life in vitro by a protein capable of binding to a coding region stability determinant.</w:t>
      </w:r>
      <w:r>
        <w:t xml:space="preserve"> </w:t>
      </w:r>
      <w:r>
        <w:rPr>
          <w:iCs/>
          <w:i/>
        </w:rPr>
        <w:t xml:space="preserve">Genes Dev</w:t>
      </w:r>
      <w:r>
        <w:t xml:space="preserve"> </w:t>
      </w:r>
      <w:r>
        <w:rPr>
          <w:bCs/>
          <w:b/>
        </w:rPr>
        <w:t xml:space="preserve">6</w:t>
      </w:r>
      <w:r>
        <w:t xml:space="preserve">:642–654. doi:</w:t>
      </w:r>
      <w:hyperlink r:id="rId75">
        <w:r>
          <w:rPr>
            <w:rStyle w:val="Hyperlink"/>
          </w:rPr>
          <w:t xml:space="preserve">10.1101/gad.6.4.642</w:t>
        </w:r>
      </w:hyperlink>
    </w:p>
    <w:bookmarkEnd w:id="76"/>
    <w:bookmarkStart w:id="78" w:name="ref-broadhurst2018"/>
    <w:p>
      <w:pPr>
        <w:pStyle w:val="Bibliography"/>
      </w:pPr>
      <w:r>
        <w:t xml:space="preserve">Broadhurst D, Goodacre R, Reinke SN, Kuligowski J, Wilson ID, Lewis MR, Dunn WB. 2018. Guidelines and considerations for the use of system suitability and quality control samples in mass spectrometry assays applied in untargeted clinical metabolomic studies.</w:t>
      </w:r>
      <w:r>
        <w:t xml:space="preserve"> </w:t>
      </w:r>
      <w:r>
        <w:rPr>
          <w:iCs/>
          <w:i/>
        </w:rPr>
        <w:t xml:space="preserve">Metabolomics</w:t>
      </w:r>
      <w:r>
        <w:t xml:space="preserve"> </w:t>
      </w:r>
      <w:r>
        <w:rPr>
          <w:bCs/>
          <w:b/>
        </w:rPr>
        <w:t xml:space="preserve">14</w:t>
      </w:r>
      <w:r>
        <w:t xml:space="preserve">:72. doi:</w:t>
      </w:r>
      <w:hyperlink r:id="rId77">
        <w:r>
          <w:rPr>
            <w:rStyle w:val="Hyperlink"/>
          </w:rPr>
          <w:t xml:space="preserve">10.1007/s11306-018-1367-3</w:t>
        </w:r>
      </w:hyperlink>
    </w:p>
    <w:bookmarkEnd w:id="78"/>
    <w:bookmarkStart w:id="80"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79">
        <w:r>
          <w:rPr>
            <w:rStyle w:val="Hyperlink"/>
          </w:rPr>
          <w:t xml:space="preserve">10.1016/j.copbio.2015.02.003</w:t>
        </w:r>
      </w:hyperlink>
    </w:p>
    <w:bookmarkEnd w:id="80"/>
    <w:bookmarkStart w:id="82" w:name="ref-carraway2017"/>
    <w:p>
      <w:pPr>
        <w:pStyle w:val="Bibliography"/>
      </w:pPr>
      <w:r>
        <w:t xml:space="preserve">Carraway KR, Johnson EM, Kauffmann TC, Fry NJ, Mansfield KD. 2017. Hypoxia and</w:t>
      </w:r>
      <w:r>
        <w:t xml:space="preserve"> </w:t>
      </w:r>
      <w:r>
        <w:t xml:space="preserve">Hypoglycemia</w:t>
      </w:r>
      <w:r>
        <w:t xml:space="preserve"> </w:t>
      </w:r>
      <w:r>
        <w:t xml:space="preserve">synergistically regulate</w:t>
      </w:r>
      <w:r>
        <w:t xml:space="preserve"> </w:t>
      </w:r>
      <w:r>
        <w:t xml:space="preserve">mRNA</w:t>
      </w:r>
      <w:r>
        <w:t xml:space="preserve"> </w:t>
      </w:r>
      <w:r>
        <w:t xml:space="preserve">stability.</w:t>
      </w:r>
      <w:r>
        <w:t xml:space="preserve"> </w:t>
      </w:r>
      <w:r>
        <w:rPr>
          <w:iCs/>
          <w:i/>
        </w:rPr>
        <w:t xml:space="preserve">RNA Biol</w:t>
      </w:r>
      <w:r>
        <w:t xml:space="preserve"> </w:t>
      </w:r>
      <w:r>
        <w:rPr>
          <w:bCs/>
          <w:b/>
        </w:rPr>
        <w:t xml:space="preserve">14</w:t>
      </w:r>
      <w:r>
        <w:t xml:space="preserve">:938–951. doi:</w:t>
      </w:r>
      <w:hyperlink r:id="rId81">
        <w:r>
          <w:rPr>
            <w:rStyle w:val="Hyperlink"/>
          </w:rPr>
          <w:t xml:space="preserve">10.1080/15476286.2017.1311456</w:t>
        </w:r>
      </w:hyperlink>
    </w:p>
    <w:bookmarkEnd w:id="82"/>
    <w:bookmarkStart w:id="83" w:name="ref-chance1955"/>
    <w:p>
      <w:pPr>
        <w:pStyle w:val="Bibliography"/>
      </w:pPr>
      <w:r>
        <w:t xml:space="preserve">Chance B, Williams GR. 1955. Respiratory enzymes in oxidative phosphorylation.</w:t>
      </w:r>
      <w:r>
        <w:t xml:space="preserve"> </w:t>
      </w:r>
      <w:r>
        <w:t xml:space="preserve">III</w:t>
      </w:r>
      <w:r>
        <w:t xml:space="preserve">.</w:t>
      </w:r>
      <w:r>
        <w:t xml:space="preserve"> </w:t>
      </w:r>
      <w:r>
        <w:t xml:space="preserve">The</w:t>
      </w:r>
      <w:r>
        <w:t xml:space="preserve"> </w:t>
      </w:r>
      <w:r>
        <w:t xml:space="preserve">steady state.</w:t>
      </w:r>
      <w:r>
        <w:t xml:space="preserve"> </w:t>
      </w:r>
      <w:r>
        <w:rPr>
          <w:iCs/>
          <w:i/>
        </w:rPr>
        <w:t xml:space="preserve">J Biol Chem</w:t>
      </w:r>
      <w:r>
        <w:t xml:space="preserve"> </w:t>
      </w:r>
      <w:r>
        <w:rPr>
          <w:bCs/>
          <w:b/>
        </w:rPr>
        <w:t xml:space="preserve">217</w:t>
      </w:r>
      <w:r>
        <w:t xml:space="preserve">:409–427.</w:t>
      </w:r>
    </w:p>
    <w:bookmarkEnd w:id="83"/>
    <w:bookmarkStart w:id="85" w:name="ref-chandel1998"/>
    <w:p>
      <w:pPr>
        <w:pStyle w:val="Bibliography"/>
      </w:pPr>
      <w:r>
        <w:t xml:space="preserve">Chandel NS, Maltepe E, Goldwasser E, Mathieu CE, Simon MC, Schumacker PT. 1998. Mitochondrial reactive oxygen species trigger hypoxia-induced transcription.</w:t>
      </w:r>
      <w:r>
        <w:t xml:space="preserve"> </w:t>
      </w:r>
      <w:r>
        <w:rPr>
          <w:iCs/>
          <w:i/>
        </w:rPr>
        <w:t xml:space="preserve">Proc Natl Acad Sci U S A</w:t>
      </w:r>
      <w:r>
        <w:t xml:space="preserve"> </w:t>
      </w:r>
      <w:r>
        <w:rPr>
          <w:bCs/>
          <w:b/>
        </w:rPr>
        <w:t xml:space="preserve">95</w:t>
      </w:r>
      <w:r>
        <w:t xml:space="preserve">:11715–11720. doi:</w:t>
      </w:r>
      <w:hyperlink r:id="rId84">
        <w:r>
          <w:rPr>
            <w:rStyle w:val="Hyperlink"/>
          </w:rPr>
          <w:t xml:space="preserve">10.1073/pnas.95.20.11715</w:t>
        </w:r>
      </w:hyperlink>
    </w:p>
    <w:bookmarkEnd w:id="85"/>
    <w:bookmarkStart w:id="87"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86">
        <w:r>
          <w:rPr>
            <w:rStyle w:val="Hyperlink"/>
          </w:rPr>
          <w:t xml:space="preserve">10.1152/ajplung.00183.2009</w:t>
        </w:r>
      </w:hyperlink>
    </w:p>
    <w:bookmarkEnd w:id="87"/>
    <w:bookmarkStart w:id="89" w:name="ref-chen2013"/>
    <w:p>
      <w:pPr>
        <w:pStyle w:val="Bibliography"/>
      </w:pPr>
      <w:r>
        <w:t xml:space="preserve">Chen C, Cai S, Wang G, Cao X, Yang X, Luo X, Feng Y, Hu J. 2013. C-</w:t>
      </w:r>
      <w:r>
        <w:t xml:space="preserve">Myc</w:t>
      </w:r>
      <w:r>
        <w:t xml:space="preserve"> </w:t>
      </w:r>
      <w:r>
        <w:t xml:space="preserve">enhances colon cancer cell-mediated angiogenesis through the regulation of</w:t>
      </w:r>
      <w:r>
        <w:t xml:space="preserve"> </w:t>
      </w:r>
      <w:r>
        <w:t xml:space="preserve">HIF-1α</w:t>
      </w:r>
      <w:r>
        <w:t xml:space="preserve">.</w:t>
      </w:r>
      <w:r>
        <w:t xml:space="preserve"> </w:t>
      </w:r>
      <w:r>
        <w:rPr>
          <w:iCs/>
          <w:i/>
        </w:rPr>
        <w:t xml:space="preserve">Biochem Biophys Res Commun</w:t>
      </w:r>
      <w:r>
        <w:t xml:space="preserve"> </w:t>
      </w:r>
      <w:r>
        <w:rPr>
          <w:bCs/>
          <w:b/>
        </w:rPr>
        <w:t xml:space="preserve">430</w:t>
      </w:r>
      <w:r>
        <w:t xml:space="preserve">:505–511. doi:</w:t>
      </w:r>
      <w:hyperlink r:id="rId88">
        <w:r>
          <w:rPr>
            <w:rStyle w:val="Hyperlink"/>
          </w:rPr>
          <w:t xml:space="preserve">10.1016/j.bbrc.2012.12.006</w:t>
        </w:r>
      </w:hyperlink>
    </w:p>
    <w:bookmarkEnd w:id="89"/>
    <w:bookmarkStart w:id="91"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90">
        <w:r>
          <w:rPr>
            <w:rStyle w:val="Hyperlink"/>
          </w:rPr>
          <w:t xml:space="preserve">10.1371/journal.pone.0145850</w:t>
        </w:r>
      </w:hyperlink>
    </w:p>
    <w:bookmarkEnd w:id="91"/>
    <w:bookmarkStart w:id="93" w:name="ref-dang2012"/>
    <w:p>
      <w:pPr>
        <w:pStyle w:val="Bibliography"/>
      </w:pPr>
      <w:r>
        <w:t xml:space="preserve">Dang CV. 2012.</w:t>
      </w:r>
      <w:r>
        <w:t xml:space="preserve"> </w:t>
      </w:r>
      <w:r>
        <w:t xml:space="preserve">MYC</w:t>
      </w:r>
      <w:r>
        <w:t xml:space="preserve"> </w:t>
      </w:r>
      <w:r>
        <w:t xml:space="preserve">on the path to cancer.</w:t>
      </w:r>
      <w:r>
        <w:t xml:space="preserve"> </w:t>
      </w:r>
      <w:r>
        <w:rPr>
          <w:iCs/>
          <w:i/>
        </w:rPr>
        <w:t xml:space="preserve">Cell</w:t>
      </w:r>
      <w:r>
        <w:t xml:space="preserve"> </w:t>
      </w:r>
      <w:r>
        <w:rPr>
          <w:bCs/>
          <w:b/>
        </w:rPr>
        <w:t xml:space="preserve">149</w:t>
      </w:r>
      <w:r>
        <w:t xml:space="preserve">:22–35. doi:</w:t>
      </w:r>
      <w:hyperlink r:id="rId92">
        <w:r>
          <w:rPr>
            <w:rStyle w:val="Hyperlink"/>
          </w:rPr>
          <w:t xml:space="preserve">10.1016/j.cell.2012.03.003</w:t>
        </w:r>
      </w:hyperlink>
    </w:p>
    <w:bookmarkEnd w:id="93"/>
    <w:bookmarkStart w:id="95" w:name="ref-dang2006"/>
    <w:p>
      <w:pPr>
        <w:pStyle w:val="Bibliography"/>
      </w:pPr>
      <w:r>
        <w:t xml:space="preserve">Dang CV, O’Donnell KA, Zeller KI, Nguyen T, Osthus RC, Li F. 2006. The c-</w:t>
      </w:r>
      <w:r>
        <w:t xml:space="preserve">Myc</w:t>
      </w:r>
      <w:r>
        <w:t xml:space="preserve"> </w:t>
      </w:r>
      <w:r>
        <w:t xml:space="preserve">target gene network.</w:t>
      </w:r>
      <w:r>
        <w:t xml:space="preserve"> </w:t>
      </w:r>
      <w:r>
        <w:rPr>
          <w:iCs/>
          <w:i/>
        </w:rPr>
        <w:t xml:space="preserve">Semin Cancer Biol</w:t>
      </w:r>
      <w:r>
        <w:t xml:space="preserve"> </w:t>
      </w:r>
      <w:r>
        <w:rPr>
          <w:bCs/>
          <w:b/>
        </w:rPr>
        <w:t xml:space="preserve">16</w:t>
      </w:r>
      <w:r>
        <w:t xml:space="preserve">:253–264. doi:</w:t>
      </w:r>
      <w:hyperlink r:id="rId94">
        <w:r>
          <w:rPr>
            <w:rStyle w:val="Hyperlink"/>
          </w:rPr>
          <w:t xml:space="preserve">10.1016/j.semcancer.2006.07.014</w:t>
        </w:r>
      </w:hyperlink>
    </w:p>
    <w:bookmarkEnd w:id="95"/>
    <w:bookmarkStart w:id="97" w:name="ref-dani1984"/>
    <w:p>
      <w:pPr>
        <w:pStyle w:val="Bibliography"/>
      </w:pPr>
      <w:r>
        <w:t xml:space="preserve">Dani C, Blanchard JM, Piechaczyk M, El Sabouty S, Marty L, Jeanteur P. 1984. Extreme instability of myc</w:t>
      </w:r>
      <w:r>
        <w:t xml:space="preserve"> </w:t>
      </w:r>
      <w:r>
        <w:t xml:space="preserve">mRNA</w:t>
      </w:r>
      <w:r>
        <w:t xml:space="preserve"> </w:t>
      </w:r>
      <w:r>
        <w:t xml:space="preserve">in normal and transformed human cells.</w:t>
      </w:r>
      <w:r>
        <w:t xml:space="preserve"> </w:t>
      </w:r>
      <w:r>
        <w:rPr>
          <w:iCs/>
          <w:i/>
        </w:rPr>
        <w:t xml:space="preserve">Proc Natl Acad Sci U S A</w:t>
      </w:r>
      <w:r>
        <w:t xml:space="preserve"> </w:t>
      </w:r>
      <w:r>
        <w:rPr>
          <w:bCs/>
          <w:b/>
        </w:rPr>
        <w:t xml:space="preserve">81</w:t>
      </w:r>
      <w:r>
        <w:t xml:space="preserve">:7046–7050. doi:</w:t>
      </w:r>
      <w:hyperlink r:id="rId96">
        <w:r>
          <w:rPr>
            <w:rStyle w:val="Hyperlink"/>
          </w:rPr>
          <w:t xml:space="preserve">10.1073/pnas.81.22.7046</w:t>
        </w:r>
      </w:hyperlink>
    </w:p>
    <w:bookmarkEnd w:id="97"/>
    <w:bookmarkStart w:id="99" w:name="ref-devaiah2016"/>
    <w:p>
      <w:pPr>
        <w:pStyle w:val="Bibliography"/>
      </w:pPr>
      <w:r>
        <w:t xml:space="preserve">Devaiah BN, Case-Borden C, Gegonne A, Hsu CH, Chen Q, Meerzaman D, Dey A, Ozato K, Singer DS. 2016.</w:t>
      </w:r>
      <w:r>
        <w:t xml:space="preserve"> </w:t>
      </w:r>
      <w:r>
        <w:t xml:space="preserve">BRD4</w:t>
      </w:r>
      <w:r>
        <w:t xml:space="preserve"> </w:t>
      </w:r>
      <w:r>
        <w:t xml:space="preserve">is a histone acetyltransferase that evicts nucleosomes from chromatin.</w:t>
      </w:r>
      <w:r>
        <w:t xml:space="preserve"> </w:t>
      </w:r>
      <w:r>
        <w:rPr>
          <w:iCs/>
          <w:i/>
        </w:rPr>
        <w:t xml:space="preserve">Nat Struct Mol Biol</w:t>
      </w:r>
      <w:r>
        <w:t xml:space="preserve"> </w:t>
      </w:r>
      <w:r>
        <w:rPr>
          <w:bCs/>
          <w:b/>
        </w:rPr>
        <w:t xml:space="preserve">23</w:t>
      </w:r>
      <w:r>
        <w:t xml:space="preserve">:540–548. doi:</w:t>
      </w:r>
      <w:hyperlink r:id="rId98">
        <w:r>
          <w:rPr>
            <w:rStyle w:val="Hyperlink"/>
          </w:rPr>
          <w:t xml:space="preserve">10.1038/nsmb.3228</w:t>
        </w:r>
      </w:hyperlink>
    </w:p>
    <w:bookmarkEnd w:id="99"/>
    <w:bookmarkStart w:id="101" w:name="ref-devaiah2020"/>
    <w:p>
      <w:pPr>
        <w:pStyle w:val="Bibliography"/>
      </w:pPr>
      <w:r>
        <w:t xml:space="preserve">Devaiah BN, Mu J, Akman B, Uppal S, Weissman JD, Cheng D, Baranello L, Nie Z, Levens D, Singer DS. 2020.</w:t>
      </w:r>
      <w:r>
        <w:t xml:space="preserve"> </w:t>
      </w:r>
      <w:r>
        <w:t xml:space="preserve">MYC</w:t>
      </w:r>
      <w:r>
        <w:t xml:space="preserve"> </w:t>
      </w:r>
      <w:r>
        <w:t xml:space="preserve">protein stability is negatively regulated by</w:t>
      </w:r>
      <w:r>
        <w:t xml:space="preserve"> </w:t>
      </w:r>
      <w:r>
        <w:t xml:space="preserve">BRD4</w:t>
      </w:r>
      <w:r>
        <w:t xml:space="preserve">.</w:t>
      </w:r>
      <w:r>
        <w:t xml:space="preserve"> </w:t>
      </w:r>
      <w:r>
        <w:rPr>
          <w:iCs/>
          <w:i/>
        </w:rPr>
        <w:t xml:space="preserve">Proc Natl Acad Sci U S A</w:t>
      </w:r>
      <w:r>
        <w:t xml:space="preserve"> </w:t>
      </w:r>
      <w:r>
        <w:rPr>
          <w:bCs/>
          <w:b/>
        </w:rPr>
        <w:t xml:space="preserve">117</w:t>
      </w:r>
      <w:r>
        <w:t xml:space="preserve">:13457–13467. doi:</w:t>
      </w:r>
      <w:hyperlink r:id="rId100">
        <w:r>
          <w:rPr>
            <w:rStyle w:val="Hyperlink"/>
          </w:rPr>
          <w:t xml:space="preserve">10.1073/pnas.1919507117</w:t>
        </w:r>
      </w:hyperlink>
    </w:p>
    <w:bookmarkEnd w:id="101"/>
    <w:bookmarkStart w:id="103" w:name="ref-dieterle2006"/>
    <w:p>
      <w:pPr>
        <w:pStyle w:val="Bibliography"/>
      </w:pPr>
      <w:r>
        <w:t xml:space="preserve">Dieterle F, Ross A, Schlotterbeck G, Senn H. 2006. Probabilistic quotient normalization as robust method to account for dilution of complex biological mixtures.</w:t>
      </w:r>
      <w:r>
        <w:t xml:space="preserve"> </w:t>
      </w:r>
      <w:r>
        <w:t xml:space="preserve">Application</w:t>
      </w:r>
      <w:r>
        <w:t xml:space="preserve"> </w:t>
      </w:r>
      <w:r>
        <w:t xml:space="preserve">in</w:t>
      </w:r>
      <w:r>
        <w:t xml:space="preserve"> </w:t>
      </w:r>
      <w:r>
        <w:t xml:space="preserve">1H NMR</w:t>
      </w:r>
      <w:r>
        <w:t xml:space="preserve"> </w:t>
      </w:r>
      <w:r>
        <w:t xml:space="preserve">metabonomics.</w:t>
      </w:r>
      <w:r>
        <w:t xml:space="preserve"> </w:t>
      </w:r>
      <w:r>
        <w:rPr>
          <w:iCs/>
          <w:i/>
        </w:rPr>
        <w:t xml:space="preserve">Anal Chem</w:t>
      </w:r>
      <w:r>
        <w:t xml:space="preserve"> </w:t>
      </w:r>
      <w:r>
        <w:rPr>
          <w:bCs/>
          <w:b/>
        </w:rPr>
        <w:t xml:space="preserve">78</w:t>
      </w:r>
      <w:r>
        <w:t xml:space="preserve">:4281–4290. doi:</w:t>
      </w:r>
      <w:hyperlink r:id="rId102">
        <w:r>
          <w:rPr>
            <w:rStyle w:val="Hyperlink"/>
          </w:rPr>
          <w:t xml:space="preserve">10.1021/ac051632c</w:t>
        </w:r>
      </w:hyperlink>
    </w:p>
    <w:bookmarkEnd w:id="103"/>
    <w:bookmarkStart w:id="105" w:name="ref-doe2012"/>
    <w:p>
      <w:pPr>
        <w:pStyle w:val="Bibliography"/>
      </w:pPr>
      <w:r>
        <w:t xml:space="preserve">Doe MR, Ascano JM, Kaur M, Cole MD. 2012. Myc posttranscriptionally induces</w:t>
      </w:r>
      <w:r>
        <w:t xml:space="preserve"> </w:t>
      </w:r>
      <w:r>
        <w:t xml:space="preserve">HIF1</w:t>
      </w:r>
      <w:r>
        <w:t xml:space="preserve"> </w:t>
      </w:r>
      <w:r>
        <w:t xml:space="preserve">protein and target gene expression in normal and cancer cells.</w:t>
      </w:r>
      <w:r>
        <w:t xml:space="preserve"> </w:t>
      </w:r>
      <w:r>
        <w:rPr>
          <w:iCs/>
          <w:i/>
        </w:rPr>
        <w:t xml:space="preserve">Cancer Res</w:t>
      </w:r>
      <w:r>
        <w:t xml:space="preserve"> </w:t>
      </w:r>
      <w:r>
        <w:rPr>
          <w:bCs/>
          <w:b/>
        </w:rPr>
        <w:t xml:space="preserve">72</w:t>
      </w:r>
      <w:r>
        <w:t xml:space="preserve">:949–957. doi:</w:t>
      </w:r>
      <w:hyperlink r:id="rId104">
        <w:r>
          <w:rPr>
            <w:rStyle w:val="Hyperlink"/>
          </w:rPr>
          <w:t xml:space="preserve">10.1158/0008-5472.CAN-11-2371</w:t>
        </w:r>
      </w:hyperlink>
    </w:p>
    <w:bookmarkEnd w:id="105"/>
    <w:bookmarkStart w:id="10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106">
        <w:r>
          <w:rPr>
            <w:rStyle w:val="Hyperlink"/>
          </w:rPr>
          <w:t xml:space="preserve">10.1038/msb.2013.65</w:t>
        </w:r>
      </w:hyperlink>
    </w:p>
    <w:bookmarkEnd w:id="107"/>
    <w:bookmarkStart w:id="109" w:name="ref-farrell2014"/>
    <w:p>
      <w:pPr>
        <w:pStyle w:val="Bibliography"/>
      </w:pPr>
      <w:r>
        <w:t xml:space="preserve">Farrell AS, Sears RC. 2014.</w:t>
      </w:r>
      <w:r>
        <w:t xml:space="preserve"> </w:t>
      </w:r>
      <w:r>
        <w:t xml:space="preserve">MYC</w:t>
      </w:r>
      <w:r>
        <w:t xml:space="preserve"> </w:t>
      </w:r>
      <w:r>
        <w:t xml:space="preserve">degradation.</w:t>
      </w:r>
      <w:r>
        <w:t xml:space="preserve"> </w:t>
      </w:r>
      <w:r>
        <w:rPr>
          <w:iCs/>
          <w:i/>
        </w:rPr>
        <w:t xml:space="preserve">Cold Spring Harb Perspect Med</w:t>
      </w:r>
      <w:r>
        <w:t xml:space="preserve"> </w:t>
      </w:r>
      <w:r>
        <w:rPr>
          <w:bCs/>
          <w:b/>
        </w:rPr>
        <w:t xml:space="preserve">4</w:t>
      </w:r>
      <w:r>
        <w:t xml:space="preserve">:a014365. doi:</w:t>
      </w:r>
      <w:hyperlink r:id="rId108">
        <w:r>
          <w:rPr>
            <w:rStyle w:val="Hyperlink"/>
          </w:rPr>
          <w:t xml:space="preserve">10.1101/cshperspect.a014365</w:t>
        </w:r>
      </w:hyperlink>
    </w:p>
    <w:bookmarkEnd w:id="109"/>
    <w:bookmarkStart w:id="111" w:name="ref-faubert2013"/>
    <w:p>
      <w:pPr>
        <w:pStyle w:val="Bibliography"/>
      </w:pPr>
      <w:r>
        <w:t xml:space="preserve">Faubert B, Boily G, Izreig S, Griss T, Samborska B, Dong Z, Dupuy F, Chambers C, Fuerth BJ, Viollet B, Mamer OA, Avizonis D, DeBerardinis RJ, Siegel PM, Jones RG. 2013.</w:t>
      </w:r>
      <w:r>
        <w:t xml:space="preserve"> </w:t>
      </w:r>
      <w:r>
        <w:t xml:space="preserve">AMPK</w:t>
      </w:r>
      <w:r>
        <w:t xml:space="preserve"> </w:t>
      </w:r>
      <w:r>
        <w:t xml:space="preserve">is a negative regulator of the</w:t>
      </w:r>
      <w:r>
        <w:t xml:space="preserve"> </w:t>
      </w:r>
      <w:r>
        <w:t xml:space="preserve">Warburg</w:t>
      </w:r>
      <w:r>
        <w:t xml:space="preserve"> </w:t>
      </w:r>
      <w:r>
        <w:t xml:space="preserve">effect and suppresses tumor growth in vivo.</w:t>
      </w:r>
      <w:r>
        <w:t xml:space="preserve"> </w:t>
      </w:r>
      <w:r>
        <w:rPr>
          <w:iCs/>
          <w:i/>
        </w:rPr>
        <w:t xml:space="preserve">Cell Metab</w:t>
      </w:r>
      <w:r>
        <w:t xml:space="preserve"> </w:t>
      </w:r>
      <w:r>
        <w:rPr>
          <w:bCs/>
          <w:b/>
        </w:rPr>
        <w:t xml:space="preserve">17</w:t>
      </w:r>
      <w:r>
        <w:t xml:space="preserve">:113–124. doi:</w:t>
      </w:r>
      <w:hyperlink r:id="rId110">
        <w:r>
          <w:rPr>
            <w:rStyle w:val="Hyperlink"/>
          </w:rPr>
          <w:t xml:space="preserve">10.1016/j.cmet.2012.12.001</w:t>
        </w:r>
      </w:hyperlink>
    </w:p>
    <w:bookmarkEnd w:id="111"/>
    <w:bookmarkStart w:id="113"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112">
        <w:r>
          <w:rPr>
            <w:rStyle w:val="Hyperlink"/>
          </w:rPr>
          <w:t xml:space="preserve">10.1016/j.cell.2017.09.019</w:t>
        </w:r>
      </w:hyperlink>
    </w:p>
    <w:bookmarkEnd w:id="113"/>
    <w:bookmarkStart w:id="115"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114">
        <w:r>
          <w:rPr>
            <w:rStyle w:val="Hyperlink"/>
          </w:rPr>
          <w:t xml:space="preserve">10.1016/j.cmet.2012.10.017</w:t>
        </w:r>
      </w:hyperlink>
    </w:p>
    <w:bookmarkEnd w:id="115"/>
    <w:bookmarkStart w:id="117" w:name="ref-fernandez1996"/>
    <w:p>
      <w:pPr>
        <w:pStyle w:val="Bibliography"/>
      </w:pPr>
      <w:r>
        <w:t xml:space="preserve">Fernandez CA, Des Rosiers C, Previs SF, David F, Brunengraber H. 1996. Correction of</w:t>
      </w:r>
      <w:r>
        <w:t xml:space="preserve"> </w:t>
      </w:r>
      <w:r>
        <w:t xml:space="preserve">13C</w:t>
      </w:r>
      <w:r>
        <w:t xml:space="preserve"> </w:t>
      </w:r>
      <w:r>
        <w:t xml:space="preserve">mass isotopomer distributions for natural stable isotope abundance.</w:t>
      </w:r>
      <w:r>
        <w:t xml:space="preserve"> </w:t>
      </w:r>
      <w:r>
        <w:rPr>
          <w:iCs/>
          <w:i/>
        </w:rPr>
        <w:t xml:space="preserve">J Mass Spectrom</w:t>
      </w:r>
      <w:r>
        <w:t xml:space="preserve"> </w:t>
      </w:r>
      <w:r>
        <w:rPr>
          <w:bCs/>
          <w:b/>
        </w:rPr>
        <w:t xml:space="preserve">31</w:t>
      </w:r>
      <w:r>
        <w:t xml:space="preserve">:255–262. doi:</w:t>
      </w:r>
      <w:hyperlink r:id="rId116">
        <w:r>
          <w:rPr>
            <w:rStyle w:val="Hyperlink"/>
          </w:rPr>
          <w:t xml:space="preserve">10.1002/(SICI)1096-9888(199603)31:3&lt;255::AID-JMS290&gt;3.0.CO;2-3</w:t>
        </w:r>
      </w:hyperlink>
    </w:p>
    <w:bookmarkEnd w:id="117"/>
    <w:bookmarkStart w:id="119" w:name="ref-fessel2012"/>
    <w:p>
      <w:pPr>
        <w:pStyle w:val="Bibliography"/>
      </w:pPr>
      <w:r>
        <w:t xml:space="preserve">Fessel JP, Hamid R, Wittmann BM, Robinson LJ, Blackwell T, Tada Y, Tanabe N, Tatsumi K, Hemnes AR, West JD. 2012. Metabolomic analysis of bone morphogenetic protein receptor type 2 mutations in human pulmonary endothelium reveals widespread metabolic reprogramming.</w:t>
      </w:r>
      <w:r>
        <w:t xml:space="preserve"> </w:t>
      </w:r>
      <w:r>
        <w:rPr>
          <w:iCs/>
          <w:i/>
        </w:rPr>
        <w:t xml:space="preserve">Pulm Circ</w:t>
      </w:r>
      <w:r>
        <w:t xml:space="preserve"> </w:t>
      </w:r>
      <w:r>
        <w:rPr>
          <w:bCs/>
          <w:b/>
        </w:rPr>
        <w:t xml:space="preserve">2</w:t>
      </w:r>
      <w:r>
        <w:t xml:space="preserve">:201–213. doi:</w:t>
      </w:r>
      <w:hyperlink r:id="rId118">
        <w:r>
          <w:rPr>
            <w:rStyle w:val="Hyperlink"/>
          </w:rPr>
          <w:t xml:space="preserve">10.4103/2045-8932.97606</w:t>
        </w:r>
      </w:hyperlink>
    </w:p>
    <w:bookmarkEnd w:id="119"/>
    <w:bookmarkStart w:id="121" w:name="ref-fessel2018"/>
    <w:p>
      <w:pPr>
        <w:pStyle w:val="Bibliography"/>
      </w:pPr>
      <w:r>
        <w:t xml:space="preserve">Fessel JP, Oldham WM. 2018. Pyridine</w:t>
      </w:r>
      <w:r>
        <w:t xml:space="preserve"> </w:t>
      </w:r>
      <w:r>
        <w:t xml:space="preserve">Dinucleotides</w:t>
      </w:r>
      <w:r>
        <w:t xml:space="preserve"> </w:t>
      </w:r>
      <w:r>
        <w:t xml:space="preserve">from</w:t>
      </w:r>
      <w:r>
        <w:t xml:space="preserve"> </w:t>
      </w:r>
      <w:r>
        <w:t xml:space="preserve">Molecules</w:t>
      </w:r>
      <w:r>
        <w:t xml:space="preserve"> </w:t>
      </w:r>
      <w:r>
        <w:t xml:space="preserve">to</w:t>
      </w:r>
      <w:r>
        <w:t xml:space="preserve"> </w:t>
      </w:r>
      <w:r>
        <w:t xml:space="preserve">Man</w:t>
      </w:r>
      <w:r>
        <w:t xml:space="preserve">.</w:t>
      </w:r>
      <w:r>
        <w:t xml:space="preserve"> </w:t>
      </w:r>
      <w:r>
        <w:rPr>
          <w:iCs/>
          <w:i/>
        </w:rPr>
        <w:t xml:space="preserve">Antioxid Redox Signal</w:t>
      </w:r>
      <w:r>
        <w:t xml:space="preserve"> </w:t>
      </w:r>
      <w:r>
        <w:rPr>
          <w:bCs/>
          <w:b/>
        </w:rPr>
        <w:t xml:space="preserve">28</w:t>
      </w:r>
      <w:r>
        <w:t xml:space="preserve">:180–212. doi:</w:t>
      </w:r>
      <w:hyperlink r:id="rId120">
        <w:r>
          <w:rPr>
            <w:rStyle w:val="Hyperlink"/>
          </w:rPr>
          <w:t xml:space="preserve">10.1089/ars.2017.7120</w:t>
        </w:r>
      </w:hyperlink>
    </w:p>
    <w:bookmarkEnd w:id="121"/>
    <w:bookmarkStart w:id="12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122">
        <w:r>
          <w:rPr>
            <w:rStyle w:val="Hyperlink"/>
          </w:rPr>
          <w:t xml:space="preserve">10.1371/journal.pone.0111838</w:t>
        </w:r>
      </w:hyperlink>
    </w:p>
    <w:bookmarkEnd w:id="123"/>
    <w:bookmarkStart w:id="125" w:name="ref-fortenbery2018"/>
    <w:p>
      <w:pPr>
        <w:pStyle w:val="Bibliography"/>
      </w:pPr>
      <w:r>
        <w:t xml:space="preserve">Fortenbery GW, Sarathy B, Carraway KR, Mansfield KD. 2018. Hypoxic stabilization of</w:t>
      </w:r>
      <w:r>
        <w:t xml:space="preserve"> </w:t>
      </w:r>
      <w:r>
        <w:t xml:space="preserve">mRNA</w:t>
      </w:r>
      <w:r>
        <w:t xml:space="preserve"> </w:t>
      </w:r>
      <w:r>
        <w:t xml:space="preserve">is</w:t>
      </w:r>
      <w:r>
        <w:t xml:space="preserve"> </w:t>
      </w:r>
      <w:r>
        <w:t xml:space="preserve">HIF-independent</w:t>
      </w:r>
      <w:r>
        <w:t xml:space="preserve"> </w:t>
      </w:r>
      <w:r>
        <w:t xml:space="preserve">but requires</w:t>
      </w:r>
      <w:r>
        <w:t xml:space="preserve"> </w:t>
      </w:r>
      <w:r>
        <w:t xml:space="preserve">mtROS</w:t>
      </w:r>
      <w:r>
        <w:t xml:space="preserve">.</w:t>
      </w:r>
      <w:r>
        <w:t xml:space="preserve"> </w:t>
      </w:r>
      <w:r>
        <w:rPr>
          <w:iCs/>
          <w:i/>
        </w:rPr>
        <w:t xml:space="preserve">Cell Mol Biol Lett</w:t>
      </w:r>
      <w:r>
        <w:t xml:space="preserve"> </w:t>
      </w:r>
      <w:r>
        <w:rPr>
          <w:bCs/>
          <w:b/>
        </w:rPr>
        <w:t xml:space="preserve">23</w:t>
      </w:r>
      <w:r>
        <w:t xml:space="preserve">:48. doi:</w:t>
      </w:r>
      <w:hyperlink r:id="rId124">
        <w:r>
          <w:rPr>
            <w:rStyle w:val="Hyperlink"/>
          </w:rPr>
          <w:t xml:space="preserve">10.1186/s11658-018-0112-2</w:t>
        </w:r>
      </w:hyperlink>
    </w:p>
    <w:bookmarkEnd w:id="125"/>
    <w:bookmarkStart w:id="127" w:name="ref-fry2017"/>
    <w:p>
      <w:pPr>
        <w:pStyle w:val="Bibliography"/>
      </w:pPr>
      <w:r>
        <w:t xml:space="preserve">Fry NJ, Law BA, Ilkayeva OR, Holley CL, Mansfield KD. 2017. N6-methyladenosine is required for the hypoxic stabilization of specific</w:t>
      </w:r>
      <w:r>
        <w:t xml:space="preserve"> </w:t>
      </w:r>
      <w:r>
        <w:t xml:space="preserve">mRNAs</w:t>
      </w:r>
      <w:r>
        <w:t xml:space="preserve">.</w:t>
      </w:r>
      <w:r>
        <w:t xml:space="preserve"> </w:t>
      </w:r>
      <w:r>
        <w:rPr>
          <w:iCs/>
          <w:i/>
        </w:rPr>
        <w:t xml:space="preserve">RNA</w:t>
      </w:r>
      <w:r>
        <w:t xml:space="preserve"> </w:t>
      </w:r>
      <w:r>
        <w:rPr>
          <w:bCs/>
          <w:b/>
        </w:rPr>
        <w:t xml:space="preserve">23</w:t>
      </w:r>
      <w:r>
        <w:t xml:space="preserve">:1444–1455. doi:</w:t>
      </w:r>
      <w:hyperlink r:id="rId126">
        <w:r>
          <w:rPr>
            <w:rStyle w:val="Hyperlink"/>
          </w:rPr>
          <w:t xml:space="preserve">10.1261/rna.061044.117</w:t>
        </w:r>
      </w:hyperlink>
    </w:p>
    <w:bookmarkEnd w:id="127"/>
    <w:bookmarkStart w:id="129"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128">
        <w:r>
          <w:rPr>
            <w:rStyle w:val="Hyperlink"/>
          </w:rPr>
          <w:t xml:space="preserve">10.1016/j.cmet.2013.02.002</w:t>
        </w:r>
      </w:hyperlink>
    </w:p>
    <w:bookmarkEnd w:id="129"/>
    <w:bookmarkStart w:id="131" w:name="ref-garcia-alonso2019"/>
    <w:p>
      <w:pPr>
        <w:pStyle w:val="Bibliography"/>
      </w:pPr>
      <w:r>
        <w:t xml:space="preserve">Garcia-Alonso L, Holland CH, Ibrahim MM, Turei D, Saez-Rodriguez J. 2019. Benchmark and integration of resources for the estimation of human transcription factor activities.</w:t>
      </w:r>
      <w:r>
        <w:t xml:space="preserve"> </w:t>
      </w:r>
      <w:r>
        <w:rPr>
          <w:iCs/>
          <w:i/>
        </w:rPr>
        <w:t xml:space="preserve">Genome Res</w:t>
      </w:r>
      <w:r>
        <w:t xml:space="preserve"> </w:t>
      </w:r>
      <w:r>
        <w:rPr>
          <w:bCs/>
          <w:b/>
        </w:rPr>
        <w:t xml:space="preserve">29</w:t>
      </w:r>
      <w:r>
        <w:t xml:space="preserve">:1363–1375. doi:</w:t>
      </w:r>
      <w:hyperlink r:id="rId130">
        <w:r>
          <w:rPr>
            <w:rStyle w:val="Hyperlink"/>
          </w:rPr>
          <w:t xml:space="preserve">10.1101/gr.240663.118</w:t>
        </w:r>
      </w:hyperlink>
    </w:p>
    <w:bookmarkEnd w:id="131"/>
    <w:bookmarkStart w:id="133"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132">
        <w:r>
          <w:rPr>
            <w:rStyle w:val="Hyperlink"/>
          </w:rPr>
          <w:t xml:space="preserve">10.1038/s41556-018-0118-z</w:t>
        </w:r>
      </w:hyperlink>
    </w:p>
    <w:bookmarkEnd w:id="133"/>
    <w:bookmarkStart w:id="135" w:name="ref-garcia-gutierrez2019"/>
    <w:p>
      <w:pPr>
        <w:pStyle w:val="Bibliography"/>
      </w:pPr>
      <w:r>
        <w:t xml:space="preserve">García-Gutiérrez L, Delgado MD, León J. 2019.</w:t>
      </w:r>
      <w:r>
        <w:t xml:space="preserve"> </w:t>
      </w:r>
      <w:r>
        <w:t xml:space="preserve">MYC Oncogene Contributions</w:t>
      </w:r>
      <w:r>
        <w:t xml:space="preserve"> </w:t>
      </w:r>
      <w:r>
        <w:t xml:space="preserve">to</w:t>
      </w:r>
      <w:r>
        <w:t xml:space="preserve"> </w:t>
      </w:r>
      <w:r>
        <w:t xml:space="preserve">Release</w:t>
      </w:r>
      <w:r>
        <w:t xml:space="preserve"> </w:t>
      </w:r>
      <w:r>
        <w:t xml:space="preserve">of</w:t>
      </w:r>
      <w:r>
        <w:t xml:space="preserve"> </w:t>
      </w:r>
      <w:r>
        <w:t xml:space="preserve">Cell Cycle Brakes</w:t>
      </w:r>
      <w:r>
        <w:t xml:space="preserve">.</w:t>
      </w:r>
      <w:r>
        <w:t xml:space="preserve"> </w:t>
      </w:r>
      <w:r>
        <w:rPr>
          <w:iCs/>
          <w:i/>
        </w:rPr>
        <w:t xml:space="preserve">Genes (Basel)</w:t>
      </w:r>
      <w:r>
        <w:t xml:space="preserve"> </w:t>
      </w:r>
      <w:r>
        <w:rPr>
          <w:bCs/>
          <w:b/>
        </w:rPr>
        <w:t xml:space="preserve">10</w:t>
      </w:r>
      <w:r>
        <w:t xml:space="preserve">:244. doi:</w:t>
      </w:r>
      <w:hyperlink r:id="rId134">
        <w:r>
          <w:rPr>
            <w:rStyle w:val="Hyperlink"/>
          </w:rPr>
          <w:t xml:space="preserve">10.3390/genes10030244</w:t>
        </w:r>
      </w:hyperlink>
    </w:p>
    <w:bookmarkEnd w:id="135"/>
    <w:bookmarkStart w:id="137"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136">
        <w:r>
          <w:rPr>
            <w:rStyle w:val="Hyperlink"/>
          </w:rPr>
          <w:t xml:space="preserve">10.1074/jbc.M010189200</w:t>
        </w:r>
      </w:hyperlink>
    </w:p>
    <w:bookmarkEnd w:id="137"/>
    <w:bookmarkStart w:id="139" w:name="ref-garofalo1988"/>
    <w:p>
      <w:pPr>
        <w:pStyle w:val="Bibliography"/>
      </w:pPr>
      <w:r>
        <w:t xml:space="preserve">Garofalo O, Cox DW, Bachelard HS. 1988. Brain levels of</w:t>
      </w:r>
      <w:r>
        <w:t xml:space="preserve"> </w:t>
      </w:r>
      <w:r>
        <w:t xml:space="preserve">NADH</w:t>
      </w:r>
      <w:r>
        <w:t xml:space="preserve"> </w:t>
      </w:r>
      <w:r>
        <w:t xml:space="preserve">and</w:t>
      </w:r>
      <w:r>
        <w:t xml:space="preserve"> </w:t>
      </w:r>
      <w:r>
        <w:t xml:space="preserve">NAD</w:t>
      </w:r>
      <w:r>
        <w:t xml:space="preserve">+ under hypoxic and hypoglycaemic conditions in vitro.</w:t>
      </w:r>
      <w:r>
        <w:t xml:space="preserve"> </w:t>
      </w:r>
      <w:r>
        <w:rPr>
          <w:iCs/>
          <w:i/>
        </w:rPr>
        <w:t xml:space="preserve">J Neurochem</w:t>
      </w:r>
      <w:r>
        <w:t xml:space="preserve"> </w:t>
      </w:r>
      <w:r>
        <w:rPr>
          <w:bCs/>
          <w:b/>
        </w:rPr>
        <w:t xml:space="preserve">51</w:t>
      </w:r>
      <w:r>
        <w:t xml:space="preserve">:172–176. doi:</w:t>
      </w:r>
      <w:hyperlink r:id="rId138">
        <w:r>
          <w:rPr>
            <w:rStyle w:val="Hyperlink"/>
          </w:rPr>
          <w:t xml:space="preserve">10.1111/j.1471-4159.1988.tb04851.x</w:t>
        </w:r>
      </w:hyperlink>
    </w:p>
    <w:bookmarkEnd w:id="139"/>
    <w:bookmarkStart w:id="141" w:name="ref-gordan2007"/>
    <w:p>
      <w:pPr>
        <w:pStyle w:val="Bibliography"/>
      </w:pPr>
      <w:r>
        <w:t xml:space="preserve">Gordan JD, Bertout JA, Hu C-J, Diehl JA, Simon MC. 2007.</w:t>
      </w:r>
      <w:r>
        <w:t xml:space="preserve"> </w:t>
      </w:r>
      <w:r>
        <w:t xml:space="preserve">HIF-2alpha</w:t>
      </w:r>
      <w:r>
        <w:t xml:space="preserve"> </w:t>
      </w:r>
      <w:r>
        <w:t xml:space="preserve">promotes hypoxic cell proliferation by enhancing c-myc transcriptional activity.</w:t>
      </w:r>
      <w:r>
        <w:t xml:space="preserve"> </w:t>
      </w:r>
      <w:r>
        <w:rPr>
          <w:iCs/>
          <w:i/>
        </w:rPr>
        <w:t xml:space="preserve">Cancer Cell</w:t>
      </w:r>
      <w:r>
        <w:t xml:space="preserve"> </w:t>
      </w:r>
      <w:r>
        <w:rPr>
          <w:bCs/>
          <w:b/>
        </w:rPr>
        <w:t xml:space="preserve">11</w:t>
      </w:r>
      <w:r>
        <w:t xml:space="preserve">:335–347. doi:</w:t>
      </w:r>
      <w:hyperlink r:id="rId140">
        <w:r>
          <w:rPr>
            <w:rStyle w:val="Hyperlink"/>
          </w:rPr>
          <w:t xml:space="preserve">10.1016/j.ccr.2007.02.006</w:t>
        </w:r>
      </w:hyperlink>
    </w:p>
    <w:bookmarkEnd w:id="141"/>
    <w:bookmarkStart w:id="143" w:name="ref-grassian2014"/>
    <w:p>
      <w:pPr>
        <w:pStyle w:val="Bibliography"/>
      </w:pPr>
      <w:r>
        <w:t xml:space="preserve">Grassian AR, Parker SJ, Davidson SM, Divakaruni AS, Green CR, Zhang X, Slocum KL, Pu M, Lin F, Vickers C, Joud-Caldwell C, Chung F, Yin H, Handly ED, Straub C, Growney JD, Vander Heiden MG, Murphy AN, Pagliarini R, Metallo CM. 2014.</w:t>
      </w:r>
      <w:r>
        <w:t xml:space="preserve"> </w:t>
      </w:r>
      <w:r>
        <w:t xml:space="preserve">IDH1</w:t>
      </w:r>
      <w:r>
        <w:t xml:space="preserve"> </w:t>
      </w:r>
      <w:r>
        <w:t xml:space="preserve">mutations alter citric acid cycle metabolism and increase dependence on oxidative mitochondrial metabolism.</w:t>
      </w:r>
      <w:r>
        <w:t xml:space="preserve"> </w:t>
      </w:r>
      <w:r>
        <w:rPr>
          <w:iCs/>
          <w:i/>
        </w:rPr>
        <w:t xml:space="preserve">Cancer Res</w:t>
      </w:r>
      <w:r>
        <w:t xml:space="preserve"> </w:t>
      </w:r>
      <w:r>
        <w:rPr>
          <w:bCs/>
          <w:b/>
        </w:rPr>
        <w:t xml:space="preserve">74</w:t>
      </w:r>
      <w:r>
        <w:t xml:space="preserve">:3317–3331. doi:</w:t>
      </w:r>
      <w:hyperlink r:id="rId142">
        <w:r>
          <w:rPr>
            <w:rStyle w:val="Hyperlink"/>
          </w:rPr>
          <w:t xml:space="preserve">10.1158/0008-5472.CAN-14-0772-T</w:t>
        </w:r>
      </w:hyperlink>
    </w:p>
    <w:bookmarkEnd w:id="143"/>
    <w:bookmarkStart w:id="145" w:name="ref-gregory2003"/>
    <w:p>
      <w:pPr>
        <w:pStyle w:val="Bibliography"/>
      </w:pPr>
      <w:r>
        <w:t xml:space="preserve">Gregory MA, Qi Y, Hann SR. 2003. Phosphorylation by glycogen synthase kinase-3 controls c-myc proteolysis and subnuclear localization.</w:t>
      </w:r>
      <w:r>
        <w:t xml:space="preserve"> </w:t>
      </w:r>
      <w:r>
        <w:rPr>
          <w:iCs/>
          <w:i/>
        </w:rPr>
        <w:t xml:space="preserve">J Biol Chem</w:t>
      </w:r>
      <w:r>
        <w:t xml:space="preserve"> </w:t>
      </w:r>
      <w:r>
        <w:rPr>
          <w:bCs/>
          <w:b/>
        </w:rPr>
        <w:t xml:space="preserve">278</w:t>
      </w:r>
      <w:r>
        <w:t xml:space="preserve">:51606–51612. doi:</w:t>
      </w:r>
      <w:hyperlink r:id="rId144">
        <w:r>
          <w:rPr>
            <w:rStyle w:val="Hyperlink"/>
          </w:rPr>
          <w:t xml:space="preserve">10.1074/jbc.M310722200</w:t>
        </w:r>
      </w:hyperlink>
    </w:p>
    <w:bookmarkEnd w:id="145"/>
    <w:bookmarkStart w:id="147" w:name="ref-guarino2019"/>
    <w:p>
      <w:pPr>
        <w:pStyle w:val="Bibliography"/>
      </w:pPr>
      <w:r>
        <w:t xml:space="preserve">Guarino VA, Oldham WM, Loscalzo J, Zhang Y-Y. 2019. Reaction rate of pyruvate and hydrogen peroxide: Assessing antioxidant capacity of pyruvate under biological conditions.</w:t>
      </w:r>
      <w:r>
        <w:t xml:space="preserve"> </w:t>
      </w:r>
      <w:r>
        <w:rPr>
          <w:iCs/>
          <w:i/>
        </w:rPr>
        <w:t xml:space="preserve">Sci Rep</w:t>
      </w:r>
      <w:r>
        <w:t xml:space="preserve"> </w:t>
      </w:r>
      <w:r>
        <w:rPr>
          <w:bCs/>
          <w:b/>
        </w:rPr>
        <w:t xml:space="preserve">9</w:t>
      </w:r>
      <w:r>
        <w:t xml:space="preserve">:19568. doi:</w:t>
      </w:r>
      <w:hyperlink r:id="rId146">
        <w:r>
          <w:rPr>
            <w:rStyle w:val="Hyperlink"/>
          </w:rPr>
          <w:t xml:space="preserve">10.1038/s41598-019-55951-9</w:t>
        </w:r>
      </w:hyperlink>
    </w:p>
    <w:bookmarkEnd w:id="147"/>
    <w:bookmarkStart w:id="149" w:name="ref-gupte2006"/>
    <w:p>
      <w:pPr>
        <w:pStyle w:val="Bibliography"/>
      </w:pPr>
      <w:r>
        <w:t xml:space="preserve">Gupte SA, Wolin MS. 2006. Hypoxia promotes relaxation of bovine coronary arteries through lowering cytosolic</w:t>
      </w:r>
      <w:r>
        <w:t xml:space="preserve"> </w:t>
      </w:r>
      <w:r>
        <w:t xml:space="preserve">NADPH</w:t>
      </w:r>
      <w:r>
        <w:t xml:space="preserve">.</w:t>
      </w:r>
      <w:r>
        <w:t xml:space="preserve"> </w:t>
      </w:r>
      <w:r>
        <w:rPr>
          <w:iCs/>
          <w:i/>
        </w:rPr>
        <w:t xml:space="preserve">Am J Physiol Heart Circ Physiol</w:t>
      </w:r>
      <w:r>
        <w:t xml:space="preserve"> </w:t>
      </w:r>
      <w:r>
        <w:rPr>
          <w:bCs/>
          <w:b/>
        </w:rPr>
        <w:t xml:space="preserve">290</w:t>
      </w:r>
      <w:r>
        <w:t xml:space="preserve">:H2228–2238. doi:</w:t>
      </w:r>
      <w:hyperlink r:id="rId148">
        <w:r>
          <w:rPr>
            <w:rStyle w:val="Hyperlink"/>
          </w:rPr>
          <w:t xml:space="preserve">10.1152/ajpheart.00615.2005</w:t>
        </w:r>
      </w:hyperlink>
    </w:p>
    <w:bookmarkEnd w:id="149"/>
    <w:bookmarkStart w:id="151" w:name="ref-guzy2005"/>
    <w:p>
      <w:pPr>
        <w:pStyle w:val="Bibliography"/>
      </w:pPr>
      <w:r>
        <w:t xml:space="preserve">Guzy RD, Hoyos B, Robin E, Chen H, Liu L, Mansfield KD, Simon MC, Hammerling U, Schumacker PT. 2005. Mitochondrial complex</w:t>
      </w:r>
      <w:r>
        <w:t xml:space="preserve"> </w:t>
      </w:r>
      <w:r>
        <w:t xml:space="preserve">III</w:t>
      </w:r>
      <w:r>
        <w:t xml:space="preserve"> </w:t>
      </w:r>
      <w:r>
        <w:t xml:space="preserve">is required for hypoxia-induced</w:t>
      </w:r>
      <w:r>
        <w:t xml:space="preserve"> </w:t>
      </w:r>
      <w:r>
        <w:t xml:space="preserve">ROS</w:t>
      </w:r>
      <w:r>
        <w:t xml:space="preserve"> </w:t>
      </w:r>
      <w:r>
        <w:t xml:space="preserve">production and cellular oxygen sensing.</w:t>
      </w:r>
      <w:r>
        <w:t xml:space="preserve"> </w:t>
      </w:r>
      <w:r>
        <w:rPr>
          <w:iCs/>
          <w:i/>
        </w:rPr>
        <w:t xml:space="preserve">Cell Metab</w:t>
      </w:r>
      <w:r>
        <w:t xml:space="preserve"> </w:t>
      </w:r>
      <w:r>
        <w:rPr>
          <w:bCs/>
          <w:b/>
        </w:rPr>
        <w:t xml:space="preserve">1</w:t>
      </w:r>
      <w:r>
        <w:t xml:space="preserve">:401–408. doi:</w:t>
      </w:r>
      <w:hyperlink r:id="rId150">
        <w:r>
          <w:rPr>
            <w:rStyle w:val="Hyperlink"/>
          </w:rPr>
          <w:t xml:space="preserve">10.1016/j.cmet.2005.05.001</w:t>
        </w:r>
      </w:hyperlink>
    </w:p>
    <w:bookmarkEnd w:id="151"/>
    <w:bookmarkStart w:id="153"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152">
        <w:r>
          <w:rPr>
            <w:rStyle w:val="Hyperlink"/>
          </w:rPr>
          <w:t xml:space="preserve">10.1152/ajpcell.00279.2015</w:t>
        </w:r>
      </w:hyperlink>
    </w:p>
    <w:bookmarkEnd w:id="153"/>
    <w:bookmarkStart w:id="155"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154">
        <w:r>
          <w:rPr>
            <w:rStyle w:val="Hyperlink"/>
          </w:rPr>
          <w:t xml:space="preserve">10.1016/j.cmet.2020.07.013</w:t>
        </w:r>
      </w:hyperlink>
    </w:p>
    <w:bookmarkEnd w:id="155"/>
    <w:bookmarkStart w:id="157"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156">
        <w:r>
          <w:rPr>
            <w:rStyle w:val="Hyperlink"/>
          </w:rPr>
          <w:t xml:space="preserve">10.1038/nature24057</w:t>
        </w:r>
      </w:hyperlink>
    </w:p>
    <w:bookmarkEnd w:id="157"/>
    <w:bookmarkStart w:id="159" w:name="ref-hydbring2017"/>
    <w:p>
      <w:pPr>
        <w:pStyle w:val="Bibliography"/>
      </w:pPr>
      <w:r>
        <w:t xml:space="preserve">Hydbring P, Castell A, Larsson L-G. 2017.</w:t>
      </w:r>
      <w:r>
        <w:t xml:space="preserve"> </w:t>
      </w:r>
      <w:r>
        <w:t xml:space="preserve">MYC Modulation</w:t>
      </w:r>
      <w:r>
        <w:t xml:space="preserve"> </w:t>
      </w:r>
      <w:r>
        <w:t xml:space="preserve">around the</w:t>
      </w:r>
      <w:r>
        <w:t xml:space="preserve"> </w:t>
      </w:r>
      <w:r>
        <w:t xml:space="preserve">CDK2</w:t>
      </w:r>
      <w:r>
        <w:t xml:space="preserve">/P27/</w:t>
      </w:r>
      <w:r>
        <w:t xml:space="preserve">SKP2 Axis</w:t>
      </w:r>
      <w:r>
        <w:t xml:space="preserve">.</w:t>
      </w:r>
      <w:r>
        <w:t xml:space="preserve"> </w:t>
      </w:r>
      <w:r>
        <w:rPr>
          <w:iCs/>
          <w:i/>
        </w:rPr>
        <w:t xml:space="preserve">Genes (Basel)</w:t>
      </w:r>
      <w:r>
        <w:t xml:space="preserve"> </w:t>
      </w:r>
      <w:r>
        <w:rPr>
          <w:bCs/>
          <w:b/>
        </w:rPr>
        <w:t xml:space="preserve">8</w:t>
      </w:r>
      <w:r>
        <w:t xml:space="preserve">:174. doi:</w:t>
      </w:r>
      <w:hyperlink r:id="rId158">
        <w:r>
          <w:rPr>
            <w:rStyle w:val="Hyperlink"/>
          </w:rPr>
          <w:t xml:space="preserve">10.3390/genes8070174</w:t>
        </w:r>
      </w:hyperlink>
    </w:p>
    <w:bookmarkEnd w:id="159"/>
    <w:bookmarkStart w:id="161" w:name="ref-islam2018"/>
    <w:p>
      <w:pPr>
        <w:pStyle w:val="Bibliography"/>
      </w:pPr>
      <w:r>
        <w:t xml:space="preserve">Islam MS, Leissing TM, Chowdhury R, Hopkinson RJ, Schofield CJ. 2018. 2-</w:t>
      </w:r>
      <w:r>
        <w:t xml:space="preserve">Oxoglutarate-Dependent Oxygenases</w:t>
      </w:r>
      <w:r>
        <w:t xml:space="preserve">.</w:t>
      </w:r>
      <w:r>
        <w:t xml:space="preserve"> </w:t>
      </w:r>
      <w:r>
        <w:rPr>
          <w:iCs/>
          <w:i/>
        </w:rPr>
        <w:t xml:space="preserve">Annu Rev Biochem</w:t>
      </w:r>
      <w:r>
        <w:t xml:space="preserve"> </w:t>
      </w:r>
      <w:r>
        <w:rPr>
          <w:bCs/>
          <w:b/>
        </w:rPr>
        <w:t xml:space="preserve">87</w:t>
      </w:r>
      <w:r>
        <w:t xml:space="preserve">:585–620. doi:</w:t>
      </w:r>
      <w:hyperlink r:id="rId160">
        <w:r>
          <w:rPr>
            <w:rStyle w:val="Hyperlink"/>
          </w:rPr>
          <w:t xml:space="preserve">10.1146/annurev-biochem-061516-044724</w:t>
        </w:r>
      </w:hyperlink>
    </w:p>
    <w:bookmarkEnd w:id="161"/>
    <w:bookmarkStart w:id="163"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162">
        <w:r>
          <w:rPr>
            <w:rStyle w:val="Hyperlink"/>
          </w:rPr>
          <w:t xml:space="preserve">10.1016/j.cell.2020.03.029</w:t>
        </w:r>
      </w:hyperlink>
    </w:p>
    <w:bookmarkEnd w:id="163"/>
    <w:bookmarkStart w:id="165"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164">
        <w:r>
          <w:rPr>
            <w:rStyle w:val="Hyperlink"/>
          </w:rPr>
          <w:t xml:space="preserve">10.1007/978-1-62703-299-5_18</w:t>
        </w:r>
      </w:hyperlink>
    </w:p>
    <w:bookmarkEnd w:id="165"/>
    <w:bookmarkStart w:id="167"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166">
        <w:r>
          <w:rPr>
            <w:rStyle w:val="Hyperlink"/>
          </w:rPr>
          <w:t xml:space="preserve">10.1038/nature17393</w:t>
        </w:r>
      </w:hyperlink>
    </w:p>
    <w:bookmarkEnd w:id="167"/>
    <w:bookmarkStart w:id="169" w:name="ref-kanehisa2000"/>
    <w:p>
      <w:pPr>
        <w:pStyle w:val="Bibliography"/>
      </w:pPr>
      <w:r>
        <w:t xml:space="preserve">Kanehisa M, Goto S. 2000.</w:t>
      </w:r>
      <w:r>
        <w:t xml:space="preserve"> </w:t>
      </w:r>
      <w:r>
        <w:t xml:space="preserve">KEGG</w:t>
      </w:r>
      <w:r>
        <w:t xml:space="preserve">: Kyoto encyclopedia of genes and genomes.</w:t>
      </w:r>
      <w:r>
        <w:t xml:space="preserve"> </w:t>
      </w:r>
      <w:r>
        <w:rPr>
          <w:iCs/>
          <w:i/>
        </w:rPr>
        <w:t xml:space="preserve">Nucleic Acids Res</w:t>
      </w:r>
      <w:r>
        <w:t xml:space="preserve"> </w:t>
      </w:r>
      <w:r>
        <w:rPr>
          <w:bCs/>
          <w:b/>
        </w:rPr>
        <w:t xml:space="preserve">28</w:t>
      </w:r>
      <w:r>
        <w:t xml:space="preserve">:27–30. doi:</w:t>
      </w:r>
      <w:hyperlink r:id="rId168">
        <w:r>
          <w:rPr>
            <w:rStyle w:val="Hyperlink"/>
          </w:rPr>
          <w:t xml:space="preserve">10.1093/nar/28.1.27</w:t>
        </w:r>
      </w:hyperlink>
    </w:p>
    <w:bookmarkEnd w:id="169"/>
    <w:bookmarkStart w:id="171" w:name="ref-kim2015"/>
    <w:p>
      <w:pPr>
        <w:pStyle w:val="Bibliography"/>
      </w:pPr>
      <w:r>
        <w:t xml:space="preserve">Kim D, Fiske BP, Birsoy K, Freinkman E, Kami K, Possemato RL, Chudnovsky Y, Pacold ME, Chen WW, Cantor JR, Shelton LM, Gui DY, Kwon M, Ramkissoon SH, Ligon KL, Kang SW, Snuderl M, Vander Heiden MG, Sabatini DM. 2015.</w:t>
      </w:r>
      <w:r>
        <w:t xml:space="preserve"> </w:t>
      </w:r>
      <w:r>
        <w:t xml:space="preserve">SHMT2</w:t>
      </w:r>
      <w:r>
        <w:t xml:space="preserve"> </w:t>
      </w:r>
      <w:r>
        <w:t xml:space="preserve">drives glioma cell survival in ischaemia but imposes a dependence on glycine clearance.</w:t>
      </w:r>
      <w:r>
        <w:t xml:space="preserve"> </w:t>
      </w:r>
      <w:r>
        <w:rPr>
          <w:iCs/>
          <w:i/>
        </w:rPr>
        <w:t xml:space="preserve">Nature</w:t>
      </w:r>
      <w:r>
        <w:t xml:space="preserve"> </w:t>
      </w:r>
      <w:r>
        <w:rPr>
          <w:bCs/>
          <w:b/>
        </w:rPr>
        <w:t xml:space="preserve">520</w:t>
      </w:r>
      <w:r>
        <w:t xml:space="preserve">:363–367. doi:</w:t>
      </w:r>
      <w:hyperlink r:id="rId170">
        <w:r>
          <w:rPr>
            <w:rStyle w:val="Hyperlink"/>
          </w:rPr>
          <w:t xml:space="preserve">10.1038/nature14363</w:t>
        </w:r>
      </w:hyperlink>
    </w:p>
    <w:bookmarkEnd w:id="171"/>
    <w:bookmarkStart w:id="173" w:name="ref-korotkevich2021"/>
    <w:p>
      <w:pPr>
        <w:pStyle w:val="Bibliography"/>
      </w:pPr>
      <w:r>
        <w:t xml:space="preserve">Korotkevich G, Sukhov V, Budin N, Shpak B, Artyomov MN, Sergushichev A. 2021. Fast gene set enrichment analysis. doi:</w:t>
      </w:r>
      <w:hyperlink r:id="rId172">
        <w:r>
          <w:rPr>
            <w:rStyle w:val="Hyperlink"/>
          </w:rPr>
          <w:t xml:space="preserve">10.1101/060012</w:t>
        </w:r>
      </w:hyperlink>
    </w:p>
    <w:bookmarkEnd w:id="173"/>
    <w:bookmarkStart w:id="1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174">
        <w:r>
          <w:rPr>
            <w:rStyle w:val="Hyperlink"/>
          </w:rPr>
          <w:t xml:space="preserve">10.1038/sj.emboj.7600196</w:t>
        </w:r>
      </w:hyperlink>
    </w:p>
    <w:bookmarkEnd w:id="175"/>
    <w:bookmarkStart w:id="177" w:name="ref-koshiji2005"/>
    <w:p>
      <w:pPr>
        <w:pStyle w:val="Bibliography"/>
      </w:pPr>
      <w:r>
        <w:t xml:space="preserve">Koshiji M, To KK-W, Hammer S, Kumamoto K, Harris AL, Modrich P, Huang LE. 2005.</w:t>
      </w:r>
      <w:r>
        <w:t xml:space="preserve"> </w:t>
      </w:r>
      <w:r>
        <w:t xml:space="preserve">HIF-1alpha</w:t>
      </w:r>
      <w:r>
        <w:t xml:space="preserve"> </w:t>
      </w:r>
      <w:r>
        <w:t xml:space="preserve">induces genetic instability by transcriptionally downregulating</w:t>
      </w:r>
      <w:r>
        <w:t xml:space="preserve"> </w:t>
      </w:r>
      <w:r>
        <w:t xml:space="preserve">MutSalpha</w:t>
      </w:r>
      <w:r>
        <w:t xml:space="preserve"> </w:t>
      </w:r>
      <w:r>
        <w:t xml:space="preserve">expression.</w:t>
      </w:r>
      <w:r>
        <w:t xml:space="preserve"> </w:t>
      </w:r>
      <w:r>
        <w:rPr>
          <w:iCs/>
          <w:i/>
        </w:rPr>
        <w:t xml:space="preserve">Mol Cell</w:t>
      </w:r>
      <w:r>
        <w:t xml:space="preserve"> </w:t>
      </w:r>
      <w:r>
        <w:rPr>
          <w:bCs/>
          <w:b/>
        </w:rPr>
        <w:t xml:space="preserve">17</w:t>
      </w:r>
      <w:r>
        <w:t xml:space="preserve">:793–803. doi:</w:t>
      </w:r>
      <w:hyperlink r:id="rId176">
        <w:r>
          <w:rPr>
            <w:rStyle w:val="Hyperlink"/>
          </w:rPr>
          <w:t xml:space="preserve">10.1016/j.molcel.2005.02.015</w:t>
        </w:r>
      </w:hyperlink>
    </w:p>
    <w:bookmarkEnd w:id="177"/>
    <w:bookmarkStart w:id="179"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178">
        <w:r>
          <w:rPr>
            <w:rStyle w:val="Hyperlink"/>
          </w:rPr>
          <w:t xml:space="preserve">10.1016/j.cmet.2011.12.009</w:t>
        </w:r>
      </w:hyperlink>
    </w:p>
    <w:bookmarkEnd w:id="179"/>
    <w:bookmarkStart w:id="181"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180">
        <w:r>
          <w:rPr>
            <w:rStyle w:val="Hyperlink"/>
          </w:rPr>
          <w:t xml:space="preserve">10.1038/s12276-019-0235-1</w:t>
        </w:r>
      </w:hyperlink>
    </w:p>
    <w:bookmarkEnd w:id="181"/>
    <w:bookmarkStart w:id="183"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182">
        <w:r>
          <w:rPr>
            <w:rStyle w:val="Hyperlink"/>
          </w:rPr>
          <w:t xml:space="preserve">10.1038/s41580-020-0227-y</w:t>
        </w:r>
      </w:hyperlink>
    </w:p>
    <w:bookmarkEnd w:id="183"/>
    <w:bookmarkStart w:id="185"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184">
        <w:r>
          <w:rPr>
            <w:rStyle w:val="Hyperlink"/>
          </w:rPr>
          <w:t xml:space="preserve">10.1038/s41467-019-09352-1</w:t>
        </w:r>
      </w:hyperlink>
    </w:p>
    <w:bookmarkEnd w:id="185"/>
    <w:bookmarkStart w:id="187" w:name="ref-lemm2002"/>
    <w:p>
      <w:pPr>
        <w:pStyle w:val="Bibliography"/>
      </w:pPr>
      <w:r>
        <w:t xml:space="preserve">Lemm I, Ross J. 2002. Regulation of c-myc</w:t>
      </w:r>
      <w:r>
        <w:t xml:space="preserve"> </w:t>
      </w:r>
      <w:r>
        <w:t xml:space="preserve">mRNA</w:t>
      </w:r>
      <w:r>
        <w:t xml:space="preserve"> </w:t>
      </w:r>
      <w:r>
        <w:t xml:space="preserve">decay by translational pausing in a coding region instability determinant.</w:t>
      </w:r>
      <w:r>
        <w:t xml:space="preserve"> </w:t>
      </w:r>
      <w:r>
        <w:rPr>
          <w:iCs/>
          <w:i/>
        </w:rPr>
        <w:t xml:space="preserve">Mol Cell Biol</w:t>
      </w:r>
      <w:r>
        <w:t xml:space="preserve"> </w:t>
      </w:r>
      <w:r>
        <w:rPr>
          <w:bCs/>
          <w:b/>
        </w:rPr>
        <w:t xml:space="preserve">22</w:t>
      </w:r>
      <w:r>
        <w:t xml:space="preserve">:3959–3969. doi:</w:t>
      </w:r>
      <w:hyperlink r:id="rId186">
        <w:r>
          <w:rPr>
            <w:rStyle w:val="Hyperlink"/>
          </w:rPr>
          <w:t xml:space="preserve">10.1128/MCB.22.12.3959-3969.2002</w:t>
        </w:r>
      </w:hyperlink>
    </w:p>
    <w:bookmarkEnd w:id="187"/>
    <w:bookmarkStart w:id="189" w:name="ref-li2005"/>
    <w:p>
      <w:pPr>
        <w:pStyle w:val="Bibliography"/>
      </w:pPr>
      <w:r>
        <w:t xml:space="preserve">Li F, Wang Y, Zeller KI, Potter JJ, Wonsey DR, O’Donnell KA, Kim J-W, Yustein JT, Lee LA, Dang CV. 2005. Myc stimulates nuclearly encoded mitochondrial genes and mitochondrial biogenesis.</w:t>
      </w:r>
      <w:r>
        <w:t xml:space="preserve"> </w:t>
      </w:r>
      <w:r>
        <w:rPr>
          <w:iCs/>
          <w:i/>
        </w:rPr>
        <w:t xml:space="preserve">Mol Cell Biol</w:t>
      </w:r>
      <w:r>
        <w:t xml:space="preserve"> </w:t>
      </w:r>
      <w:r>
        <w:rPr>
          <w:bCs/>
          <w:b/>
        </w:rPr>
        <w:t xml:space="preserve">25</w:t>
      </w:r>
      <w:r>
        <w:t xml:space="preserve">:6225–6234. doi:</w:t>
      </w:r>
      <w:hyperlink r:id="rId188">
        <w:r>
          <w:rPr>
            <w:rStyle w:val="Hyperlink"/>
          </w:rPr>
          <w:t xml:space="preserve">10.1128/MCB.25.14.6225-6234.2005</w:t>
        </w:r>
      </w:hyperlink>
    </w:p>
    <w:bookmarkEnd w:id="189"/>
    <w:bookmarkStart w:id="191"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190">
        <w:r>
          <w:rPr>
            <w:rStyle w:val="Hyperlink"/>
          </w:rPr>
          <w:t xml:space="preserve">10.1152/ajpendo.2001.280.1.E75</w:t>
        </w:r>
      </w:hyperlink>
    </w:p>
    <w:bookmarkEnd w:id="191"/>
    <w:bookmarkStart w:id="193" w:name="ref-li2020"/>
    <w:p>
      <w:pPr>
        <w:pStyle w:val="Bibliography"/>
      </w:pPr>
      <w:r>
        <w:t xml:space="preserve">Li Y, Sun X-X, Qian DZ, Dai M-S. 2020. Molecular</w:t>
      </w:r>
      <w:r>
        <w:t xml:space="preserve"> </w:t>
      </w:r>
      <w:r>
        <w:t xml:space="preserve">Crosstalk Between MYC</w:t>
      </w:r>
      <w:r>
        <w:t xml:space="preserve"> </w:t>
      </w:r>
      <w:r>
        <w:t xml:space="preserve">and</w:t>
      </w:r>
      <w:r>
        <w:t xml:space="preserve"> </w:t>
      </w:r>
      <w:r>
        <w:t xml:space="preserve">HIF</w:t>
      </w:r>
      <w:r>
        <w:t xml:space="preserve"> </w:t>
      </w:r>
      <w:r>
        <w:t xml:space="preserve">in</w:t>
      </w:r>
      <w:r>
        <w:t xml:space="preserve"> </w:t>
      </w:r>
      <w:r>
        <w:t xml:space="preserve">Cancer</w:t>
      </w:r>
      <w:r>
        <w:t xml:space="preserve">.</w:t>
      </w:r>
      <w:r>
        <w:t xml:space="preserve"> </w:t>
      </w:r>
      <w:r>
        <w:rPr>
          <w:iCs/>
          <w:i/>
        </w:rPr>
        <w:t xml:space="preserve">Front Cell Dev Biol</w:t>
      </w:r>
      <w:r>
        <w:t xml:space="preserve"> </w:t>
      </w:r>
      <w:r>
        <w:rPr>
          <w:bCs/>
          <w:b/>
        </w:rPr>
        <w:t xml:space="preserve">8</w:t>
      </w:r>
      <w:r>
        <w:t xml:space="preserve">:590576. doi:</w:t>
      </w:r>
      <w:hyperlink r:id="rId192">
        <w:r>
          <w:rPr>
            <w:rStyle w:val="Hyperlink"/>
          </w:rPr>
          <w:t xml:space="preserve">10.3389/fcell.2020.590576</w:t>
        </w:r>
      </w:hyperlink>
    </w:p>
    <w:bookmarkEnd w:id="193"/>
    <w:bookmarkStart w:id="195" w:name="ref-liao2019"/>
    <w:p>
      <w:pPr>
        <w:pStyle w:val="Bibliography"/>
      </w:pPr>
      <w:r>
        <w:t xml:space="preserve">Liao Y, Smyth GK, Shi W. 2019. The</w:t>
      </w:r>
      <w:r>
        <w:t xml:space="preserve"> </w:t>
      </w:r>
      <w:r>
        <w:t xml:space="preserve">R</w:t>
      </w:r>
      <w:r>
        <w:t xml:space="preserve"> </w:t>
      </w:r>
      <w:r>
        <w:t xml:space="preserve">package</w:t>
      </w:r>
      <w:r>
        <w:t xml:space="preserve"> </w:t>
      </w:r>
      <w:r>
        <w:t xml:space="preserve">Rsubread</w:t>
      </w:r>
      <w:r>
        <w:t xml:space="preserve"> </w:t>
      </w:r>
      <w:r>
        <w:t xml:space="preserve">is easier, faster, cheaper and better for alignment and quantification of</w:t>
      </w:r>
      <w:r>
        <w:t xml:space="preserve"> </w:t>
      </w:r>
      <w:r>
        <w:t xml:space="preserve">RNA</w:t>
      </w:r>
      <w:r>
        <w:t xml:space="preserve"> </w:t>
      </w:r>
      <w:r>
        <w:t xml:space="preserve">sequencing reads.</w:t>
      </w:r>
      <w:r>
        <w:t xml:space="preserve"> </w:t>
      </w:r>
      <w:r>
        <w:rPr>
          <w:iCs/>
          <w:i/>
        </w:rPr>
        <w:t xml:space="preserve">Nucleic Acids Res</w:t>
      </w:r>
      <w:r>
        <w:t xml:space="preserve"> </w:t>
      </w:r>
      <w:r>
        <w:rPr>
          <w:bCs/>
          <w:b/>
        </w:rPr>
        <w:t xml:space="preserve">47</w:t>
      </w:r>
      <w:r>
        <w:t xml:space="preserve">:e47. doi:</w:t>
      </w:r>
      <w:hyperlink r:id="rId194">
        <w:r>
          <w:rPr>
            <w:rStyle w:val="Hyperlink"/>
          </w:rPr>
          <w:t xml:space="preserve">10.1093/nar/gkz114</w:t>
        </w:r>
      </w:hyperlink>
    </w:p>
    <w:bookmarkEnd w:id="195"/>
    <w:bookmarkStart w:id="197" w:name="ref-liberzon2015"/>
    <w:p>
      <w:pPr>
        <w:pStyle w:val="Bibliography"/>
      </w:pPr>
      <w:r>
        <w:t xml:space="preserve">Liberzon A, Birger C, Thorvaldsdóttir H, Ghandi M, Mesirov JP, Tamayo P. 2015. The</w:t>
      </w:r>
      <w:r>
        <w:t xml:space="preserve"> </w:t>
      </w:r>
      <w:r>
        <w:t xml:space="preserve">Molecular Signatures Database</w:t>
      </w:r>
      <w:r>
        <w:t xml:space="preserve"> </w:t>
      </w:r>
      <w:r>
        <w:t xml:space="preserve">(</w:t>
      </w:r>
      <w:r>
        <w:t xml:space="preserve">MSigDB</w:t>
      </w:r>
      <w:r>
        <w:t xml:space="preserve">) hallmark gene set collection.</w:t>
      </w:r>
      <w:r>
        <w:t xml:space="preserve"> </w:t>
      </w:r>
      <w:r>
        <w:rPr>
          <w:iCs/>
          <w:i/>
        </w:rPr>
        <w:t xml:space="preserve">Cell Syst</w:t>
      </w:r>
      <w:r>
        <w:t xml:space="preserve"> </w:t>
      </w:r>
      <w:r>
        <w:rPr>
          <w:bCs/>
          <w:b/>
        </w:rPr>
        <w:t xml:space="preserve">1</w:t>
      </w:r>
      <w:r>
        <w:t xml:space="preserve">:417–425. doi:</w:t>
      </w:r>
      <w:hyperlink r:id="rId196">
        <w:r>
          <w:rPr>
            <w:rStyle w:val="Hyperlink"/>
          </w:rPr>
          <w:t xml:space="preserve">10.1016/j.cels.2015.12.004</w:t>
        </w:r>
      </w:hyperlink>
    </w:p>
    <w:bookmarkEnd w:id="197"/>
    <w:bookmarkStart w:id="199" w:name="ref-liu2016"/>
    <w:p>
      <w:pPr>
        <w:pStyle w:val="Bibliography"/>
      </w:pPr>
      <w:r>
        <w:t xml:space="preserve">Liu L, Shah S, Fan J, Park JO, Wellen KE, Rabinowitz JD. 2016. Malic enzyme tracers reveal hypoxia-induced switch in adipocyte</w:t>
      </w:r>
      <w:r>
        <w:t xml:space="preserve"> </w:t>
      </w:r>
      <w:r>
        <w:t xml:space="preserve">NADPH</w:t>
      </w:r>
      <w:r>
        <w:t xml:space="preserve"> </w:t>
      </w:r>
      <w:r>
        <w:t xml:space="preserve">pathway usage.</w:t>
      </w:r>
      <w:r>
        <w:t xml:space="preserve"> </w:t>
      </w:r>
      <w:r>
        <w:rPr>
          <w:iCs/>
          <w:i/>
        </w:rPr>
        <w:t xml:space="preserve">Nat Chem Biol</w:t>
      </w:r>
      <w:r>
        <w:t xml:space="preserve"> </w:t>
      </w:r>
      <w:r>
        <w:rPr>
          <w:bCs/>
          <w:b/>
        </w:rPr>
        <w:t xml:space="preserve">12</w:t>
      </w:r>
      <w:r>
        <w:t xml:space="preserve">:345–352. doi:</w:t>
      </w:r>
      <w:hyperlink r:id="rId198">
        <w:r>
          <w:rPr>
            <w:rStyle w:val="Hyperlink"/>
          </w:rPr>
          <w:t xml:space="preserve">10.1038/nchembio.2047</w:t>
        </w:r>
      </w:hyperlink>
    </w:p>
    <w:bookmarkEnd w:id="199"/>
    <w:bookmarkStart w:id="201"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200">
        <w:r>
          <w:rPr>
            <w:rStyle w:val="Hyperlink"/>
          </w:rPr>
          <w:t xml:space="preserve">10.3390/ijms141224029</w:t>
        </w:r>
      </w:hyperlink>
    </w:p>
    <w:bookmarkEnd w:id="201"/>
    <w:bookmarkStart w:id="202" w:name="ref-long2017"/>
    <w:p>
      <w:pPr>
        <w:pStyle w:val="Bibliography"/>
      </w:pPr>
      <w:r>
        <w:t xml:space="preserve">Long W. 2017. Automated amino acid analysis using an</w:t>
      </w:r>
      <w:r>
        <w:t xml:space="preserve"> </w:t>
      </w:r>
      <w:r>
        <w:t xml:space="preserve">Agilent Poroshell HPH-C18</w:t>
      </w:r>
      <w:r>
        <w:t xml:space="preserve"> </w:t>
      </w:r>
      <w:r>
        <w:t xml:space="preserve">column.</w:t>
      </w:r>
      <w:r>
        <w:t xml:space="preserve"> </w:t>
      </w:r>
      <w:r>
        <w:rPr>
          <w:iCs/>
          <w:i/>
        </w:rPr>
        <w:t xml:space="preserve">Application Note, Agilent Technologies, Inc</w:t>
      </w:r>
      <w:r>
        <w:t xml:space="preserve"> </w:t>
      </w:r>
      <w:r>
        <w:rPr>
          <w:bCs/>
          <w:b/>
        </w:rPr>
        <w:t xml:space="preserve">Publication Number 5991-5571EN</w:t>
      </w:r>
      <w:r>
        <w:t xml:space="preserve">:1–10.</w:t>
      </w:r>
    </w:p>
    <w:bookmarkEnd w:id="202"/>
    <w:bookmarkStart w:id="204" w:name="ref-love2014"/>
    <w:p>
      <w:pPr>
        <w:pStyle w:val="Bibliography"/>
      </w:pPr>
      <w:r>
        <w:t xml:space="preserve">Love MI, Huber W, Anders S. 2014. Moderated estimation of fold change and dispersion for</w:t>
      </w:r>
      <w:r>
        <w:t xml:space="preserve"> </w:t>
      </w:r>
      <w:r>
        <w:t xml:space="preserve">RNA-seq</w:t>
      </w:r>
      <w:r>
        <w:t xml:space="preserve"> </w:t>
      </w:r>
      <w:r>
        <w:t xml:space="preserve">data with</w:t>
      </w:r>
      <w:r>
        <w:t xml:space="preserve"> </w:t>
      </w:r>
      <w:r>
        <w:t xml:space="preserve">DESeq2</w:t>
      </w:r>
      <w:r>
        <w:t xml:space="preserve">.</w:t>
      </w:r>
      <w:r>
        <w:t xml:space="preserve"> </w:t>
      </w:r>
      <w:r>
        <w:rPr>
          <w:iCs/>
          <w:i/>
        </w:rPr>
        <w:t xml:space="preserve">Genome Biol</w:t>
      </w:r>
      <w:r>
        <w:t xml:space="preserve"> </w:t>
      </w:r>
      <w:r>
        <w:rPr>
          <w:bCs/>
          <w:b/>
        </w:rPr>
        <w:t xml:space="preserve">15</w:t>
      </w:r>
      <w:r>
        <w:t xml:space="preserve">:550. doi:</w:t>
      </w:r>
      <w:hyperlink r:id="rId203">
        <w:r>
          <w:rPr>
            <w:rStyle w:val="Hyperlink"/>
          </w:rPr>
          <w:t xml:space="preserve">10.1186/s13059-014-0550-8</w:t>
        </w:r>
      </w:hyperlink>
    </w:p>
    <w:bookmarkEnd w:id="204"/>
    <w:bookmarkStart w:id="206" w:name="ref-lutterbach1994"/>
    <w:p>
      <w:pPr>
        <w:pStyle w:val="Bibliography"/>
      </w:pPr>
      <w:r>
        <w:t xml:space="preserve">Lutterbach B, Hann SR. 1994. Hierarchical phosphorylation at</w:t>
      </w:r>
      <w:r>
        <w:t xml:space="preserve"> </w:t>
      </w:r>
      <w:r>
        <w:t xml:space="preserve">N-terminal</w:t>
      </w:r>
      <w:r>
        <w:t xml:space="preserve"> </w:t>
      </w:r>
      <w:r>
        <w:t xml:space="preserve">transformation-sensitive sites in c-</w:t>
      </w:r>
      <w:r>
        <w:t xml:space="preserve">Myc</w:t>
      </w:r>
      <w:r>
        <w:t xml:space="preserve"> </w:t>
      </w:r>
      <w:r>
        <w:t xml:space="preserve">protein is regulated by mitogens and in mitosis.</w:t>
      </w:r>
      <w:r>
        <w:t xml:space="preserve"> </w:t>
      </w:r>
      <w:r>
        <w:rPr>
          <w:iCs/>
          <w:i/>
        </w:rPr>
        <w:t xml:space="preserve">Mol Cell Biol</w:t>
      </w:r>
      <w:r>
        <w:t xml:space="preserve"> </w:t>
      </w:r>
      <w:r>
        <w:rPr>
          <w:bCs/>
          <w:b/>
        </w:rPr>
        <w:t xml:space="preserve">14</w:t>
      </w:r>
      <w:r>
        <w:t xml:space="preserve">:5510–5522. doi:</w:t>
      </w:r>
      <w:hyperlink r:id="rId205">
        <w:r>
          <w:rPr>
            <w:rStyle w:val="Hyperlink"/>
          </w:rPr>
          <w:t xml:space="preserve">10.1128/mcb.14.8.5510-5522.1994</w:t>
        </w:r>
      </w:hyperlink>
    </w:p>
    <w:bookmarkEnd w:id="206"/>
    <w:bookmarkStart w:id="208" w:name="ref-madden2021"/>
    <w:p>
      <w:pPr>
        <w:pStyle w:val="Bibliography"/>
      </w:pPr>
      <w:r>
        <w:t xml:space="preserve">Madden SK, de Araujo AD, Gerhardt M, Fairlie DP, Mason JM. 2021. Taking the</w:t>
      </w:r>
      <w:r>
        <w:t xml:space="preserve"> </w:t>
      </w:r>
      <w:r>
        <w:t xml:space="preserve">Myc</w:t>
      </w:r>
      <w:r>
        <w:t xml:space="preserve"> </w:t>
      </w:r>
      <w:r>
        <w:t xml:space="preserve">out of cancer: Toward therapeutic strategies to directly inhibit c-</w:t>
      </w:r>
      <w:r>
        <w:t xml:space="preserve">Myc</w:t>
      </w:r>
      <w:r>
        <w:t xml:space="preserve">.</w:t>
      </w:r>
      <w:r>
        <w:t xml:space="preserve"> </w:t>
      </w:r>
      <w:r>
        <w:rPr>
          <w:iCs/>
          <w:i/>
        </w:rPr>
        <w:t xml:space="preserve">Mol Cancer</w:t>
      </w:r>
      <w:r>
        <w:t xml:space="preserve"> </w:t>
      </w:r>
      <w:r>
        <w:rPr>
          <w:bCs/>
          <w:b/>
        </w:rPr>
        <w:t xml:space="preserve">20</w:t>
      </w:r>
      <w:r>
        <w:t xml:space="preserve">:3. doi:</w:t>
      </w:r>
      <w:hyperlink r:id="rId207">
        <w:r>
          <w:rPr>
            <w:rStyle w:val="Hyperlink"/>
          </w:rPr>
          <w:t xml:space="preserve">10.1186/s12943-020-01291-6</w:t>
        </w:r>
      </w:hyperlink>
    </w:p>
    <w:bookmarkEnd w:id="208"/>
    <w:bookmarkStart w:id="210"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209">
        <w:r>
          <w:rPr>
            <w:rStyle w:val="Hyperlink"/>
          </w:rPr>
          <w:t xml:space="preserve">10.3389/fphys.2021.702826</w:t>
        </w:r>
      </w:hyperlink>
    </w:p>
    <w:bookmarkEnd w:id="210"/>
    <w:bookmarkStart w:id="212" w:name="ref-masson2019"/>
    <w:p>
      <w:pPr>
        <w:pStyle w:val="Bibliography"/>
      </w:pPr>
      <w:r>
        <w:t xml:space="preserve">Masson N, Keeley TP, Giuntoli B, White MD, Puerta ML, Perata P, Hopkinson RJ, Flashman E, Licausi F, Ratcliffe PJ. 2019. Conserved</w:t>
      </w:r>
      <w:r>
        <w:t xml:space="preserve"> </w:t>
      </w:r>
      <w:r>
        <w:t xml:space="preserve">N-terminal</w:t>
      </w:r>
      <w:r>
        <w:t xml:space="preserve"> </w:t>
      </w:r>
      <w:r>
        <w:t xml:space="preserve">cysteine dioxygenases transduce responses to hypoxia in animals and plants.</w:t>
      </w:r>
      <w:r>
        <w:t xml:space="preserve"> </w:t>
      </w:r>
      <w:r>
        <w:rPr>
          <w:iCs/>
          <w:i/>
        </w:rPr>
        <w:t xml:space="preserve">Science</w:t>
      </w:r>
      <w:r>
        <w:t xml:space="preserve"> </w:t>
      </w:r>
      <w:r>
        <w:rPr>
          <w:bCs/>
          <w:b/>
        </w:rPr>
        <w:t xml:space="preserve">365</w:t>
      </w:r>
      <w:r>
        <w:t xml:space="preserve">:65–69. doi:</w:t>
      </w:r>
      <w:hyperlink r:id="rId211">
        <w:r>
          <w:rPr>
            <w:rStyle w:val="Hyperlink"/>
          </w:rPr>
          <w:t xml:space="preserve">10.1126/science.aaw0112</w:t>
        </w:r>
      </w:hyperlink>
    </w:p>
    <w:bookmarkEnd w:id="212"/>
    <w:bookmarkStart w:id="214"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213">
        <w:r>
          <w:rPr>
            <w:rStyle w:val="Hyperlink"/>
          </w:rPr>
          <w:t xml:space="preserve">10.1016/j.celrep.2019.01.106</w:t>
        </w:r>
      </w:hyperlink>
    </w:p>
    <w:bookmarkEnd w:id="214"/>
    <w:bookmarkStart w:id="216"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215">
        <w:r>
          <w:rPr>
            <w:rStyle w:val="Hyperlink"/>
          </w:rPr>
          <w:t xml:space="preserve">10.1038/nature10602</w:t>
        </w:r>
      </w:hyperlink>
    </w:p>
    <w:bookmarkEnd w:id="216"/>
    <w:bookmarkStart w:id="218" w:name="ref-mizuno2009"/>
    <w:p>
      <w:pPr>
        <w:pStyle w:val="Bibliography"/>
      </w:pPr>
      <w:r>
        <w:t xml:space="preserve">Mizuno S, Bogaard HJ, Voelkel NF, Umeda Y, Kadowaki M, Ameshima S, Miyamori I, Ishizaki T. 2009. Hypoxia regulates human lung fibroblast proliferation via P53-dependent and -independent pathways.</w:t>
      </w:r>
      <w:r>
        <w:t xml:space="preserve"> </w:t>
      </w:r>
      <w:r>
        <w:rPr>
          <w:iCs/>
          <w:i/>
        </w:rPr>
        <w:t xml:space="preserve">Respir Res</w:t>
      </w:r>
      <w:r>
        <w:t xml:space="preserve"> </w:t>
      </w:r>
      <w:r>
        <w:rPr>
          <w:bCs/>
          <w:b/>
        </w:rPr>
        <w:t xml:space="preserve">10</w:t>
      </w:r>
      <w:r>
        <w:t xml:space="preserve">:17. doi:</w:t>
      </w:r>
      <w:hyperlink r:id="rId217">
        <w:r>
          <w:rPr>
            <w:rStyle w:val="Hyperlink"/>
          </w:rPr>
          <w:t xml:space="preserve">10.1186/1465-9921-10-17</w:t>
        </w:r>
      </w:hyperlink>
    </w:p>
    <w:bookmarkEnd w:id="218"/>
    <w:bookmarkStart w:id="220"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219">
        <w:r>
          <w:rPr>
            <w:rStyle w:val="Hyperlink"/>
          </w:rPr>
          <w:t xml:space="preserve">10.1002/bit.24836</w:t>
        </w:r>
      </w:hyperlink>
    </w:p>
    <w:bookmarkEnd w:id="220"/>
    <w:bookmarkStart w:id="222"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221">
        <w:r>
          <w:rPr>
            <w:rStyle w:val="Hyperlink"/>
          </w:rPr>
          <w:t xml:space="preserve">10.1016/j.cmet.2015.06.021</w:t>
        </w:r>
      </w:hyperlink>
    </w:p>
    <w:bookmarkEnd w:id="222"/>
    <w:bookmarkStart w:id="224"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223">
        <w:r>
          <w:rPr>
            <w:rStyle w:val="Hyperlink"/>
          </w:rPr>
          <w:t xml:space="preserve">10.1016/j.biochi.2020.02.002</w:t>
        </w:r>
      </w:hyperlink>
    </w:p>
    <w:bookmarkEnd w:id="224"/>
    <w:bookmarkStart w:id="226"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225">
        <w:r>
          <w:rPr>
            <w:rStyle w:val="Hyperlink"/>
          </w:rPr>
          <w:t xml:space="preserve">10.3389/fonc.2012.00018</w:t>
        </w:r>
      </w:hyperlink>
    </w:p>
    <w:bookmarkEnd w:id="226"/>
    <w:bookmarkStart w:id="228" w:name="ref-quek2010"/>
    <w:p>
      <w:pPr>
        <w:pStyle w:val="Bibliography"/>
      </w:pPr>
      <w:r>
        <w:t xml:space="preserve">Quek L-E, Dietmair S, Krömer JO, Nielsen LK. 2010. Metabolic flux analysis in mammalian cell culture.</w:t>
      </w:r>
      <w:r>
        <w:t xml:space="preserve"> </w:t>
      </w:r>
      <w:r>
        <w:rPr>
          <w:iCs/>
          <w:i/>
        </w:rPr>
        <w:t xml:space="preserve">Metab Eng</w:t>
      </w:r>
      <w:r>
        <w:t xml:space="preserve"> </w:t>
      </w:r>
      <w:r>
        <w:rPr>
          <w:bCs/>
          <w:b/>
        </w:rPr>
        <w:t xml:space="preserve">12</w:t>
      </w:r>
      <w:r>
        <w:t xml:space="preserve">:161–171. doi:</w:t>
      </w:r>
      <w:hyperlink r:id="rId227">
        <w:r>
          <w:rPr>
            <w:rStyle w:val="Hyperlink"/>
          </w:rPr>
          <w:t xml:space="preserve">10.1016/j.ymben.2009.09.002</w:t>
        </w:r>
      </w:hyperlink>
    </w:p>
    <w:bookmarkEnd w:id="228"/>
    <w:bookmarkStart w:id="230" w:name="ref-R-base"/>
    <w:p>
      <w:pPr>
        <w:pStyle w:val="Bibliography"/>
      </w:pPr>
      <w:r>
        <w:t xml:space="preserve">R Core Team. 2023.</w:t>
      </w:r>
      <w:r>
        <w:t xml:space="preserve"> </w:t>
      </w:r>
      <w:hyperlink r:id="rId229">
        <w:r>
          <w:rPr>
            <w:rStyle w:val="Hyperlink"/>
          </w:rPr>
          <w:t xml:space="preserve">R: A language and environment for statistical computing</w:t>
        </w:r>
      </w:hyperlink>
      <w:r>
        <w:t xml:space="preserve">. Vienna, Austria: R Foundation for Statistical Computing.</w:t>
      </w:r>
    </w:p>
    <w:bookmarkEnd w:id="230"/>
    <w:bookmarkStart w:id="232" w:name="ref-rabinowitz2020"/>
    <w:p>
      <w:pPr>
        <w:pStyle w:val="Bibliography"/>
      </w:pPr>
      <w:r>
        <w:t xml:space="preserve">Rabinowitz JD, Enerbäck S. 2020. Lactate: The ugly duckling of energy metabolism.</w:t>
      </w:r>
      <w:r>
        <w:t xml:space="preserve"> </w:t>
      </w:r>
      <w:r>
        <w:rPr>
          <w:iCs/>
          <w:i/>
        </w:rPr>
        <w:t xml:space="preserve">Nat Metab</w:t>
      </w:r>
      <w:r>
        <w:t xml:space="preserve"> </w:t>
      </w:r>
      <w:r>
        <w:rPr>
          <w:bCs/>
          <w:b/>
        </w:rPr>
        <w:t xml:space="preserve">2</w:t>
      </w:r>
      <w:r>
        <w:t xml:space="preserve">:566–571. doi:</w:t>
      </w:r>
      <w:hyperlink r:id="rId231">
        <w:r>
          <w:rPr>
            <w:rStyle w:val="Hyperlink"/>
          </w:rPr>
          <w:t xml:space="preserve">10.1038/s42255-020-0243-4</w:t>
        </w:r>
      </w:hyperlink>
    </w:p>
    <w:bookmarkEnd w:id="232"/>
    <w:bookmarkStart w:id="234" w:name="ref-ritchie2015"/>
    <w:p>
      <w:pPr>
        <w:pStyle w:val="Bibliography"/>
      </w:pPr>
      <w:r>
        <w:t xml:space="preserve">Ritchie ME, Phipson B, Wu D, Hu Y, Law CW, Shi W, Smyth GK. 2015. Limma powers differential expression analyses for</w:t>
      </w:r>
      <w:r>
        <w:t xml:space="preserve"> </w:t>
      </w:r>
      <w:r>
        <w:t xml:space="preserve">RNA-sequencing</w:t>
      </w:r>
      <w:r>
        <w:t xml:space="preserve"> </w:t>
      </w:r>
      <w:r>
        <w:t xml:space="preserve">and microarray studies.</w:t>
      </w:r>
      <w:r>
        <w:t xml:space="preserve"> </w:t>
      </w:r>
      <w:r>
        <w:rPr>
          <w:iCs/>
          <w:i/>
        </w:rPr>
        <w:t xml:space="preserve">Nucleic Acids Res</w:t>
      </w:r>
      <w:r>
        <w:t xml:space="preserve"> </w:t>
      </w:r>
      <w:r>
        <w:rPr>
          <w:bCs/>
          <w:b/>
        </w:rPr>
        <w:t xml:space="preserve">43</w:t>
      </w:r>
      <w:r>
        <w:t xml:space="preserve">:e47. doi:</w:t>
      </w:r>
      <w:hyperlink r:id="rId233">
        <w:r>
          <w:rPr>
            <w:rStyle w:val="Hyperlink"/>
          </w:rPr>
          <w:t xml:space="preserve">10.1093/nar/gkv007</w:t>
        </w:r>
      </w:hyperlink>
    </w:p>
    <w:bookmarkEnd w:id="234"/>
    <w:bookmarkStart w:id="236" w:name="ref-salghetti1999"/>
    <w:p>
      <w:pPr>
        <w:pStyle w:val="Bibliography"/>
      </w:pPr>
      <w:r>
        <w:t xml:space="preserve">Salghetti SE, Kim SY, Tansey WP. 1999. Destruction of</w:t>
      </w:r>
      <w:r>
        <w:t xml:space="preserve"> </w:t>
      </w:r>
      <w:r>
        <w:t xml:space="preserve">Myc</w:t>
      </w:r>
      <w:r>
        <w:t xml:space="preserve"> </w:t>
      </w:r>
      <w:r>
        <w:t xml:space="preserve">by ubiquitin-mediated proteolysis: Cancer-associated and transforming mutations stabilize</w:t>
      </w:r>
      <w:r>
        <w:t xml:space="preserve"> </w:t>
      </w:r>
      <w:r>
        <w:t xml:space="preserve">Myc</w:t>
      </w:r>
      <w:r>
        <w:t xml:space="preserve">.</w:t>
      </w:r>
      <w:r>
        <w:t xml:space="preserve"> </w:t>
      </w:r>
      <w:r>
        <w:rPr>
          <w:iCs/>
          <w:i/>
        </w:rPr>
        <w:t xml:space="preserve">EMBO J</w:t>
      </w:r>
      <w:r>
        <w:t xml:space="preserve"> </w:t>
      </w:r>
      <w:r>
        <w:rPr>
          <w:bCs/>
          <w:b/>
        </w:rPr>
        <w:t xml:space="preserve">18</w:t>
      </w:r>
      <w:r>
        <w:t xml:space="preserve">:717–726. doi:</w:t>
      </w:r>
      <w:hyperlink r:id="rId235">
        <w:r>
          <w:rPr>
            <w:rStyle w:val="Hyperlink"/>
          </w:rPr>
          <w:t xml:space="preserve">10.1093/emboj/18.3.717</w:t>
        </w:r>
      </w:hyperlink>
    </w:p>
    <w:bookmarkEnd w:id="236"/>
    <w:bookmarkStart w:id="238"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237">
        <w:r>
          <w:rPr>
            <w:rStyle w:val="Hyperlink"/>
          </w:rPr>
          <w:t xml:space="preserve">10.1074/jbc.M111.282046</w:t>
        </w:r>
      </w:hyperlink>
    </w:p>
    <w:bookmarkEnd w:id="238"/>
    <w:bookmarkStart w:id="240" w:name="ref-sears2000"/>
    <w:p>
      <w:pPr>
        <w:pStyle w:val="Bibliography"/>
      </w:pPr>
      <w:r>
        <w:t xml:space="preserve">Sears R, Nuckolls F, Haura E, Taya Y, Tamai K, Nevins JR. 2000. Multiple</w:t>
      </w:r>
      <w:r>
        <w:t xml:space="preserve"> </w:t>
      </w:r>
      <w:r>
        <w:t xml:space="preserve">Ras-dependent</w:t>
      </w:r>
      <w:r>
        <w:t xml:space="preserve"> </w:t>
      </w:r>
      <w:r>
        <w:t xml:space="preserve">phosphorylation pathways regulate</w:t>
      </w:r>
      <w:r>
        <w:t xml:space="preserve"> </w:t>
      </w:r>
      <w:r>
        <w:t xml:space="preserve">Myc</w:t>
      </w:r>
      <w:r>
        <w:t xml:space="preserve"> </w:t>
      </w:r>
      <w:r>
        <w:t xml:space="preserve">protein stability.</w:t>
      </w:r>
      <w:r>
        <w:t xml:space="preserve"> </w:t>
      </w:r>
      <w:r>
        <w:rPr>
          <w:iCs/>
          <w:i/>
        </w:rPr>
        <w:t xml:space="preserve">Genes Dev</w:t>
      </w:r>
      <w:r>
        <w:t xml:space="preserve"> </w:t>
      </w:r>
      <w:r>
        <w:rPr>
          <w:bCs/>
          <w:b/>
        </w:rPr>
        <w:t xml:space="preserve">14</w:t>
      </w:r>
      <w:r>
        <w:t xml:space="preserve">:2501–2514. doi:</w:t>
      </w:r>
      <w:hyperlink r:id="rId239">
        <w:r>
          <w:rPr>
            <w:rStyle w:val="Hyperlink"/>
          </w:rPr>
          <w:t xml:space="preserve">10.1101/gad.836800</w:t>
        </w:r>
      </w:hyperlink>
    </w:p>
    <w:bookmarkEnd w:id="240"/>
    <w:bookmarkStart w:id="242"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241">
        <w:r>
          <w:rPr>
            <w:rStyle w:val="Hyperlink"/>
          </w:rPr>
          <w:t xml:space="preserve">10.1016/j.cell.2012.01.021</w:t>
        </w:r>
      </w:hyperlink>
    </w:p>
    <w:bookmarkEnd w:id="242"/>
    <w:bookmarkStart w:id="244" w:name="ref-sheikh2005"/>
    <w:p>
      <w:pPr>
        <w:pStyle w:val="Bibliography"/>
      </w:pPr>
      <w:r>
        <w:t xml:space="preserve">Sheikh K, Förster J, Nielsen LK. 2005. Modeling hybridoma cell metabolism using a generic genome-scale metabolic model of</w:t>
      </w:r>
      <w:r>
        <w:t xml:space="preserve"> </w:t>
      </w:r>
      <w:r>
        <w:t xml:space="preserve">Mus</w:t>
      </w:r>
      <w:r>
        <w:t xml:space="preserve"> </w:t>
      </w:r>
      <w:r>
        <w:t xml:space="preserve">musculus.</w:t>
      </w:r>
      <w:r>
        <w:t xml:space="preserve"> </w:t>
      </w:r>
      <w:r>
        <w:rPr>
          <w:iCs/>
          <w:i/>
        </w:rPr>
        <w:t xml:space="preserve">Biotechnol Prog</w:t>
      </w:r>
      <w:r>
        <w:t xml:space="preserve"> </w:t>
      </w:r>
      <w:r>
        <w:rPr>
          <w:bCs/>
          <w:b/>
        </w:rPr>
        <w:t xml:space="preserve">21</w:t>
      </w:r>
      <w:r>
        <w:t xml:space="preserve">:112–121. doi:</w:t>
      </w:r>
      <w:hyperlink r:id="rId243">
        <w:r>
          <w:rPr>
            <w:rStyle w:val="Hyperlink"/>
          </w:rPr>
          <w:t xml:space="preserve">10.1021/bp0498138</w:t>
        </w:r>
      </w:hyperlink>
    </w:p>
    <w:bookmarkEnd w:id="244"/>
    <w:bookmarkStart w:id="246" w:name="ref-spencer1990"/>
    <w:p>
      <w:pPr>
        <w:pStyle w:val="Bibliography"/>
      </w:pPr>
      <w:r>
        <w:t xml:space="preserve">Spencer CA, Groudine M. 1990. Molecular analysis of the c-myc transcription elongation block.</w:t>
      </w:r>
      <w:r>
        <w:t xml:space="preserve"> </w:t>
      </w:r>
      <w:r>
        <w:t xml:space="preserve">Implications</w:t>
      </w:r>
      <w:r>
        <w:t xml:space="preserve"> </w:t>
      </w:r>
      <w:r>
        <w:t xml:space="preserve">for the generation of</w:t>
      </w:r>
      <w:r>
        <w:t xml:space="preserve"> </w:t>
      </w:r>
      <w:r>
        <w:t xml:space="preserve">Burkitt</w:t>
      </w:r>
      <w:r>
        <w:t xml:space="preserve">’s lymphoma.</w:t>
      </w:r>
      <w:r>
        <w:t xml:space="preserve"> </w:t>
      </w:r>
      <w:r>
        <w:rPr>
          <w:iCs/>
          <w:i/>
        </w:rPr>
        <w:t xml:space="preserve">Ann N Y Acad Sci</w:t>
      </w:r>
      <w:r>
        <w:t xml:space="preserve"> </w:t>
      </w:r>
      <w:r>
        <w:rPr>
          <w:bCs/>
          <w:b/>
        </w:rPr>
        <w:t xml:space="preserve">599</w:t>
      </w:r>
      <w:r>
        <w:t xml:space="preserve">:12–28. doi:</w:t>
      </w:r>
      <w:hyperlink r:id="rId245">
        <w:r>
          <w:rPr>
            <w:rStyle w:val="Hyperlink"/>
          </w:rPr>
          <w:t xml:space="preserve">10.1111/j.1749-6632.1990.tb42360.x</w:t>
        </w:r>
      </w:hyperlink>
    </w:p>
    <w:bookmarkEnd w:id="246"/>
    <w:bookmarkStart w:id="248" w:name="ref-stine2015"/>
    <w:p>
      <w:pPr>
        <w:pStyle w:val="Bibliography"/>
      </w:pPr>
      <w:r>
        <w:t xml:space="preserve">Stine ZE, Walton ZE, Altman BJ, Hsieh AL, Dang CV. 2015.</w:t>
      </w:r>
      <w:r>
        <w:t xml:space="preserve"> </w:t>
      </w:r>
      <w:r>
        <w:t xml:space="preserve">MYC</w:t>
      </w:r>
      <w:r>
        <w:t xml:space="preserve">,</w:t>
      </w:r>
      <w:r>
        <w:t xml:space="preserve"> </w:t>
      </w:r>
      <w:r>
        <w:t xml:space="preserve">Metabolism</w:t>
      </w:r>
      <w:r>
        <w:t xml:space="preserve">, and</w:t>
      </w:r>
      <w:r>
        <w:t xml:space="preserve"> </w:t>
      </w:r>
      <w:r>
        <w:t xml:space="preserve">Cancer</w:t>
      </w:r>
      <w:r>
        <w:t xml:space="preserve">.</w:t>
      </w:r>
      <w:r>
        <w:t xml:space="preserve"> </w:t>
      </w:r>
      <w:r>
        <w:rPr>
          <w:iCs/>
          <w:i/>
        </w:rPr>
        <w:t xml:space="preserve">Cancer Discov</w:t>
      </w:r>
      <w:r>
        <w:t xml:space="preserve"> </w:t>
      </w:r>
      <w:r>
        <w:rPr>
          <w:bCs/>
          <w:b/>
        </w:rPr>
        <w:t xml:space="preserve">5</w:t>
      </w:r>
      <w:r>
        <w:t xml:space="preserve">:1024–1039. doi:</w:t>
      </w:r>
      <w:hyperlink r:id="rId247">
        <w:r>
          <w:rPr>
            <w:rStyle w:val="Hyperlink"/>
          </w:rPr>
          <w:t xml:space="preserve">10.1158/2159-8290.CD-15-0507</w:t>
        </w:r>
      </w:hyperlink>
    </w:p>
    <w:bookmarkEnd w:id="248"/>
    <w:bookmarkStart w:id="250"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249">
        <w:r>
          <w:rPr>
            <w:rStyle w:val="Hyperlink"/>
          </w:rPr>
          <w:t xml:space="preserve">10.1007/s11010-017-3069-y</w:t>
        </w:r>
      </w:hyperlink>
    </w:p>
    <w:bookmarkEnd w:id="250"/>
    <w:bookmarkStart w:id="251" w:name="ref-tilton1991"/>
    <w:p>
      <w:pPr>
        <w:pStyle w:val="Bibliography"/>
      </w:pPr>
      <w:r>
        <w:t xml:space="preserve">Tilton WM, Seaman C, Carriero D, Piomelli S. 1991. Regulation of glycolysis in the erythrocyte: Role of the lactate/pyruvate and</w:t>
      </w:r>
      <w:r>
        <w:t xml:space="preserve"> </w:t>
      </w:r>
      <w:r>
        <w:t xml:space="preserve">NAD</w:t>
      </w:r>
      <w:r>
        <w:t xml:space="preserve">/</w:t>
      </w:r>
      <w:r>
        <w:t xml:space="preserve">NADH</w:t>
      </w:r>
      <w:r>
        <w:t xml:space="preserve"> </w:t>
      </w:r>
      <w:r>
        <w:t xml:space="preserve">ratios.</w:t>
      </w:r>
      <w:r>
        <w:t xml:space="preserve"> </w:t>
      </w:r>
      <w:r>
        <w:rPr>
          <w:iCs/>
          <w:i/>
        </w:rPr>
        <w:t xml:space="preserve">J Lab Clin Med</w:t>
      </w:r>
      <w:r>
        <w:t xml:space="preserve"> </w:t>
      </w:r>
      <w:r>
        <w:rPr>
          <w:bCs/>
          <w:b/>
        </w:rPr>
        <w:t xml:space="preserve">118</w:t>
      </w:r>
      <w:r>
        <w:t xml:space="preserve">:146–152.</w:t>
      </w:r>
    </w:p>
    <w:bookmarkEnd w:id="251"/>
    <w:bookmarkStart w:id="253" w:name="ref-vacanti2014"/>
    <w:p>
      <w:pPr>
        <w:pStyle w:val="Bibliography"/>
      </w:pPr>
      <w:r>
        <w:t xml:space="preserve">Vacanti NM, Divakaruni AS, Green CR, Parker SJ, Henry RR, Ciaraldi TP, Murphy AN, Metallo CM. 2014. Regulation of substrate utilization by the mitochondrial pyruvate carrier.</w:t>
      </w:r>
      <w:r>
        <w:t xml:space="preserve"> </w:t>
      </w:r>
      <w:r>
        <w:rPr>
          <w:iCs/>
          <w:i/>
        </w:rPr>
        <w:t xml:space="preserve">Mol Cell</w:t>
      </w:r>
      <w:r>
        <w:t xml:space="preserve"> </w:t>
      </w:r>
      <w:r>
        <w:rPr>
          <w:bCs/>
          <w:b/>
        </w:rPr>
        <w:t xml:space="preserve">56</w:t>
      </w:r>
      <w:r>
        <w:t xml:space="preserve">:425–435. doi:</w:t>
      </w:r>
      <w:hyperlink r:id="rId252">
        <w:r>
          <w:rPr>
            <w:rStyle w:val="Hyperlink"/>
          </w:rPr>
          <w:t xml:space="preserve">10.1016/j.molcel.2014.09.024</w:t>
        </w:r>
      </w:hyperlink>
    </w:p>
    <w:bookmarkEnd w:id="253"/>
    <w:bookmarkStart w:id="255" w:name="ref-vita2006"/>
    <w:p>
      <w:pPr>
        <w:pStyle w:val="Bibliography"/>
      </w:pPr>
      <w:r>
        <w:t xml:space="preserve">Vita M, Henriksson M. 2006. The</w:t>
      </w:r>
      <w:r>
        <w:t xml:space="preserve"> </w:t>
      </w:r>
      <w:r>
        <w:t xml:space="preserve">Myc</w:t>
      </w:r>
      <w:r>
        <w:t xml:space="preserve"> </w:t>
      </w:r>
      <w:r>
        <w:t xml:space="preserve">oncoprotein as a therapeutic target for human cancer.</w:t>
      </w:r>
      <w:r>
        <w:t xml:space="preserve"> </w:t>
      </w:r>
      <w:r>
        <w:rPr>
          <w:iCs/>
          <w:i/>
        </w:rPr>
        <w:t xml:space="preserve">Semin Cancer Biol</w:t>
      </w:r>
      <w:r>
        <w:t xml:space="preserve"> </w:t>
      </w:r>
      <w:r>
        <w:rPr>
          <w:bCs/>
          <w:b/>
        </w:rPr>
        <w:t xml:space="preserve">16</w:t>
      </w:r>
      <w:r>
        <w:t xml:space="preserve">:318–330. doi:</w:t>
      </w:r>
      <w:hyperlink r:id="rId254">
        <w:r>
          <w:rPr>
            <w:rStyle w:val="Hyperlink"/>
          </w:rPr>
          <w:t xml:space="preserve">10.1016/j.semcancer.2006.07.015</w:t>
        </w:r>
      </w:hyperlink>
    </w:p>
    <w:bookmarkEnd w:id="255"/>
    <w:bookmarkStart w:id="257" w:name="ref-wall2008"/>
    <w:p>
      <w:pPr>
        <w:pStyle w:val="Bibliography"/>
      </w:pPr>
      <w:r>
        <w:t xml:space="preserve">Wall M, Poortinga G, Hannan KM, Pearson RB, Hannan RD, McArthur GA. 2008. Translational control of c-</w:t>
      </w:r>
      <w:r>
        <w:t xml:space="preserve">MYC</w:t>
      </w:r>
      <w:r>
        <w:t xml:space="preserve"> </w:t>
      </w:r>
      <w:r>
        <w:t xml:space="preserve">by rapamycin promotes terminal myeloid differentiation.</w:t>
      </w:r>
      <w:r>
        <w:t xml:space="preserve"> </w:t>
      </w:r>
      <w:r>
        <w:rPr>
          <w:iCs/>
          <w:i/>
        </w:rPr>
        <w:t xml:space="preserve">Blood</w:t>
      </w:r>
      <w:r>
        <w:t xml:space="preserve"> </w:t>
      </w:r>
      <w:r>
        <w:rPr>
          <w:bCs/>
          <w:b/>
        </w:rPr>
        <w:t xml:space="preserve">112</w:t>
      </w:r>
      <w:r>
        <w:t xml:space="preserve">:2305–2317. doi:</w:t>
      </w:r>
      <w:hyperlink r:id="rId256">
        <w:r>
          <w:rPr>
            <w:rStyle w:val="Hyperlink"/>
          </w:rPr>
          <w:t xml:space="preserve">10.1182/blood-2007-09-111856</w:t>
        </w:r>
      </w:hyperlink>
    </w:p>
    <w:bookmarkEnd w:id="257"/>
    <w:bookmarkStart w:id="259" w:name="ref-weidensdorfer2009"/>
    <w:p>
      <w:pPr>
        <w:pStyle w:val="Bibliography"/>
      </w:pPr>
      <w:r>
        <w:t xml:space="preserve">Weidensdorfer D, Stöhr N, Baude A, Lederer M, Köhn M, Schierhorn A, Buchmeier S, Wahle E, Hüttelmaier S. 2009. Control of c-myc</w:t>
      </w:r>
      <w:r>
        <w:t xml:space="preserve"> </w:t>
      </w:r>
      <w:r>
        <w:t xml:space="preserve">mRNA</w:t>
      </w:r>
      <w:r>
        <w:t xml:space="preserve"> </w:t>
      </w:r>
      <w:r>
        <w:t xml:space="preserve">stability by</w:t>
      </w:r>
      <w:r>
        <w:t xml:space="preserve"> </w:t>
      </w:r>
      <w:r>
        <w:t xml:space="preserve">IGF2BP1-associated</w:t>
      </w:r>
      <w:r>
        <w:t xml:space="preserve"> </w:t>
      </w:r>
      <w:r>
        <w:t xml:space="preserve">cytoplasmic</w:t>
      </w:r>
      <w:r>
        <w:t xml:space="preserve"> </w:t>
      </w:r>
      <w:r>
        <w:t xml:space="preserve">RNPs</w:t>
      </w:r>
      <w:r>
        <w:t xml:space="preserve">.</w:t>
      </w:r>
      <w:r>
        <w:t xml:space="preserve"> </w:t>
      </w:r>
      <w:r>
        <w:rPr>
          <w:iCs/>
          <w:i/>
        </w:rPr>
        <w:t xml:space="preserve">RNA</w:t>
      </w:r>
      <w:r>
        <w:t xml:space="preserve"> </w:t>
      </w:r>
      <w:r>
        <w:rPr>
          <w:bCs/>
          <w:b/>
        </w:rPr>
        <w:t xml:space="preserve">15</w:t>
      </w:r>
      <w:r>
        <w:t xml:space="preserve">:104–115. doi:</w:t>
      </w:r>
      <w:hyperlink r:id="rId258">
        <w:r>
          <w:rPr>
            <w:rStyle w:val="Hyperlink"/>
          </w:rPr>
          <w:t xml:space="preserve">10.1261/rna.1175909</w:t>
        </w:r>
      </w:hyperlink>
    </w:p>
    <w:bookmarkEnd w:id="259"/>
    <w:bookmarkStart w:id="261"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260">
        <w:r>
          <w:rPr>
            <w:rStyle w:val="Hyperlink"/>
          </w:rPr>
          <w:t xml:space="preserve">10.2147/HP.S92198</w:t>
        </w:r>
      </w:hyperlink>
    </w:p>
    <w:bookmarkEnd w:id="261"/>
    <w:bookmarkStart w:id="263"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262">
        <w:r>
          <w:rPr>
            <w:rStyle w:val="Hyperlink"/>
          </w:rPr>
          <w:t xml:space="preserve">10.1152/ajpcell.00485.2010</w:t>
        </w:r>
      </w:hyperlink>
    </w:p>
    <w:bookmarkEnd w:id="263"/>
    <w:bookmarkStart w:id="265"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264">
        <w:r>
          <w:rPr>
            <w:rStyle w:val="Hyperlink"/>
          </w:rPr>
          <w:t xml:space="preserve">10.1529/biophysj.106.099895</w:t>
        </w:r>
      </w:hyperlink>
    </w:p>
    <w:bookmarkEnd w:id="265"/>
    <w:bookmarkStart w:id="267" w:name="ref-wierenga2019"/>
    <w:p>
      <w:pPr>
        <w:pStyle w:val="Bibliography"/>
      </w:pPr>
      <w:r>
        <w:t xml:space="preserve">Wierenga ATJ, Cunningham A, Erdem A, Lopera NV, Brouwers-Vos AZ, Pruis M, Mulder AB, Günther UL, Martens JHA, Vellenga E, Schuringa JJ. 2019.</w:t>
      </w:r>
      <w:r>
        <w:t xml:space="preserve"> </w:t>
      </w:r>
      <w:r>
        <w:t xml:space="preserve">HIF1</w:t>
      </w:r>
      <w:r>
        <w:t xml:space="preserve">/2-exerted control over glycolytic gene expression is not functionally relevant for glycolysis in human leukemic stem/progenitor cells.</w:t>
      </w:r>
      <w:r>
        <w:t xml:space="preserve"> </w:t>
      </w:r>
      <w:r>
        <w:rPr>
          <w:iCs/>
          <w:i/>
        </w:rPr>
        <w:t xml:space="preserve">Cancer Metab</w:t>
      </w:r>
      <w:r>
        <w:t xml:space="preserve"> </w:t>
      </w:r>
      <w:r>
        <w:rPr>
          <w:bCs/>
          <w:b/>
        </w:rPr>
        <w:t xml:space="preserve">7</w:t>
      </w:r>
      <w:r>
        <w:t xml:space="preserve">:11. doi:</w:t>
      </w:r>
      <w:hyperlink r:id="rId266">
        <w:r>
          <w:rPr>
            <w:rStyle w:val="Hyperlink"/>
          </w:rPr>
          <w:t xml:space="preserve">10.1186/s40170-019-0206-y</w:t>
        </w:r>
      </w:hyperlink>
    </w:p>
    <w:bookmarkEnd w:id="267"/>
    <w:bookmarkStart w:id="269"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268">
        <w:r>
          <w:rPr>
            <w:rStyle w:val="Hyperlink"/>
          </w:rPr>
          <w:t xml:space="preserve">10.1073/pnas.1117773108</w:t>
        </w:r>
      </w:hyperlink>
    </w:p>
    <w:bookmarkEnd w:id="269"/>
    <w:bookmarkStart w:id="271" w:name="ref-xiao2018"/>
    <w:p>
      <w:pPr>
        <w:pStyle w:val="Bibliography"/>
      </w:pPr>
      <w:r>
        <w:t xml:space="preserve">Xiao W, Wang R-S, Handy DE, Loscalzo J. 2018.</w:t>
      </w:r>
      <w:r>
        <w:t xml:space="preserve"> </w:t>
      </w:r>
      <w:r>
        <w:t xml:space="preserve">NAD</w:t>
      </w:r>
      <w:r>
        <w:t xml:space="preserve">(</w:t>
      </w:r>
      <w:r>
        <w:t xml:space="preserve">H</w:t>
      </w:r>
      <w:r>
        <w:t xml:space="preserve">) and</w:t>
      </w:r>
      <w:r>
        <w:t xml:space="preserve"> </w:t>
      </w:r>
      <w:r>
        <w:t xml:space="preserve">NADP</w:t>
      </w:r>
      <w:r>
        <w:t xml:space="preserve">(</w:t>
      </w:r>
      <w:r>
        <w:t xml:space="preserve">H</w:t>
      </w:r>
      <w:r>
        <w:t xml:space="preserve">)</w:t>
      </w:r>
      <w:r>
        <w:t xml:space="preserve"> </w:t>
      </w:r>
      <w:r>
        <w:t xml:space="preserve">Redox Couples</w:t>
      </w:r>
      <w:r>
        <w:t xml:space="preserve"> </w:t>
      </w:r>
      <w:r>
        <w:t xml:space="preserve">and</w:t>
      </w:r>
      <w:r>
        <w:t xml:space="preserve"> </w:t>
      </w:r>
      <w:r>
        <w:t xml:space="preserve">Cellular Energy Metabolism</w:t>
      </w:r>
      <w:r>
        <w:t xml:space="preserve">.</w:t>
      </w:r>
      <w:r>
        <w:t xml:space="preserve"> </w:t>
      </w:r>
      <w:r>
        <w:rPr>
          <w:iCs/>
          <w:i/>
        </w:rPr>
        <w:t xml:space="preserve">Antioxid Redox Signal</w:t>
      </w:r>
      <w:r>
        <w:t xml:space="preserve"> </w:t>
      </w:r>
      <w:r>
        <w:rPr>
          <w:bCs/>
          <w:b/>
        </w:rPr>
        <w:t xml:space="preserve">28</w:t>
      </w:r>
      <w:r>
        <w:t xml:space="preserve">:251–272. doi:</w:t>
      </w:r>
      <w:hyperlink r:id="rId270">
        <w:r>
          <w:rPr>
            <w:rStyle w:val="Hyperlink"/>
          </w:rPr>
          <w:t xml:space="preserve">10.1089/ars.2017.7216</w:t>
        </w:r>
      </w:hyperlink>
    </w:p>
    <w:bookmarkEnd w:id="271"/>
    <w:bookmarkStart w:id="273"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272">
        <w:r>
          <w:rPr>
            <w:rStyle w:val="Hyperlink"/>
          </w:rPr>
          <w:t xml:space="preserve">10.1152/ajplung.00117.2016</w:t>
        </w:r>
      </w:hyperlink>
    </w:p>
    <w:bookmarkEnd w:id="273"/>
    <w:bookmarkStart w:id="275"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274">
        <w:r>
          <w:rPr>
            <w:rStyle w:val="Hyperlink"/>
          </w:rPr>
          <w:t xml:space="preserve">10.1093/bioinformatics/btu015</w:t>
        </w:r>
      </w:hyperlink>
    </w:p>
    <w:bookmarkEnd w:id="275"/>
    <w:bookmarkStart w:id="277"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276">
        <w:r>
          <w:rPr>
            <w:rStyle w:val="Hyperlink"/>
          </w:rPr>
          <w:t xml:space="preserve">10.1007/978-1-62703-661-0_7</w:t>
        </w:r>
      </w:hyperlink>
    </w:p>
    <w:bookmarkEnd w:id="277"/>
    <w:bookmarkStart w:id="279" w:name="ref-zamorano2010"/>
    <w:p>
      <w:pPr>
        <w:pStyle w:val="Bibliography"/>
      </w:pPr>
      <w:r>
        <w:t xml:space="preserve">Zamorano F, Wouwer AV, Bastin G. 2010. A detailed metabolic flux analysis of an underdetermined network of</w:t>
      </w:r>
      <w:r>
        <w:t xml:space="preserve"> </w:t>
      </w:r>
      <w:r>
        <w:t xml:space="preserve">CHO</w:t>
      </w:r>
      <w:r>
        <w:t xml:space="preserve"> </w:t>
      </w:r>
      <w:r>
        <w:t xml:space="preserve">cells.</w:t>
      </w:r>
      <w:r>
        <w:t xml:space="preserve"> </w:t>
      </w:r>
      <w:r>
        <w:rPr>
          <w:iCs/>
          <w:i/>
        </w:rPr>
        <w:t xml:space="preserve">J Biotechnol</w:t>
      </w:r>
      <w:r>
        <w:t xml:space="preserve"> </w:t>
      </w:r>
      <w:r>
        <w:rPr>
          <w:bCs/>
          <w:b/>
        </w:rPr>
        <w:t xml:space="preserve">150</w:t>
      </w:r>
      <w:r>
        <w:t xml:space="preserve">:497–508. doi:</w:t>
      </w:r>
      <w:hyperlink r:id="rId278">
        <w:r>
          <w:rPr>
            <w:rStyle w:val="Hyperlink"/>
          </w:rPr>
          <w:t xml:space="preserve">10.1016/j.jbiotec.2010.09.944</w:t>
        </w:r>
      </w:hyperlink>
    </w:p>
    <w:bookmarkEnd w:id="279"/>
    <w:bookmarkStart w:id="281" w:name="ref-zhang2019"/>
    <w:p>
      <w:pPr>
        <w:pStyle w:val="Bibliography"/>
      </w:pPr>
      <w:r>
        <w:t xml:space="preserve">Zhang C, Ma C, Zhang L, Zhang L, Zhang F, Ma M, Zheng X, Mao M, Shen T, Zhu D. 2019.</w:t>
      </w:r>
      <w:r>
        <w:t xml:space="preserve"> </w:t>
      </w:r>
      <w:r>
        <w:t xml:space="preserve">MiR-449a-5p</w:t>
      </w:r>
      <w:r>
        <w:t xml:space="preserve"> </w:t>
      </w:r>
      <w:r>
        <w:t xml:space="preserve">mediates mitochondrial dysfunction and phenotypic transition by targeting</w:t>
      </w:r>
      <w:r>
        <w:t xml:space="preserve"> </w:t>
      </w:r>
      <w:r>
        <w:t xml:space="preserve">Myc</w:t>
      </w:r>
      <w:r>
        <w:t xml:space="preserve"> </w:t>
      </w:r>
      <w:r>
        <w:t xml:space="preserve">in pulmonary arterial smooth muscle cells.</w:t>
      </w:r>
      <w:r>
        <w:t xml:space="preserve"> </w:t>
      </w:r>
      <w:r>
        <w:rPr>
          <w:iCs/>
          <w:i/>
        </w:rPr>
        <w:t xml:space="preserve">J Mol Med (Berl)</w:t>
      </w:r>
      <w:r>
        <w:t xml:space="preserve"> </w:t>
      </w:r>
      <w:r>
        <w:rPr>
          <w:bCs/>
          <w:b/>
        </w:rPr>
        <w:t xml:space="preserve">97</w:t>
      </w:r>
      <w:r>
        <w:t xml:space="preserve">:409–422. doi:</w:t>
      </w:r>
      <w:hyperlink r:id="rId280">
        <w:r>
          <w:rPr>
            <w:rStyle w:val="Hyperlink"/>
          </w:rPr>
          <w:t xml:space="preserve">10.1007/s00109-019-01751-7</w:t>
        </w:r>
      </w:hyperlink>
    </w:p>
    <w:bookmarkEnd w:id="281"/>
    <w:bookmarkStart w:id="283" w:name="ref-zhang2008"/>
    <w:p>
      <w:pPr>
        <w:pStyle w:val="Bibliography"/>
      </w:pPr>
      <w:r>
        <w:t xml:space="preserve">Zhang H, Bosch-Marce M, Shimoda LA, Tan YS, Baek JH, Wesley JB, Gonzalez FJ, Semenza GL. 2008. Mitochondrial autophagy is an</w:t>
      </w:r>
      <w:r>
        <w:t xml:space="preserve"> </w:t>
      </w:r>
      <w:r>
        <w:t xml:space="preserve">HIF-1-dependent</w:t>
      </w:r>
      <w:r>
        <w:t xml:space="preserve"> </w:t>
      </w:r>
      <w:r>
        <w:t xml:space="preserve">adaptive metabolic response to hypoxia.</w:t>
      </w:r>
      <w:r>
        <w:t xml:space="preserve"> </w:t>
      </w:r>
      <w:r>
        <w:rPr>
          <w:iCs/>
          <w:i/>
        </w:rPr>
        <w:t xml:space="preserve">J Biol Chem</w:t>
      </w:r>
      <w:r>
        <w:t xml:space="preserve"> </w:t>
      </w:r>
      <w:r>
        <w:rPr>
          <w:bCs/>
          <w:b/>
        </w:rPr>
        <w:t xml:space="preserve">283</w:t>
      </w:r>
      <w:r>
        <w:t xml:space="preserve">:10892–10903. doi:</w:t>
      </w:r>
      <w:hyperlink r:id="rId282">
        <w:r>
          <w:rPr>
            <w:rStyle w:val="Hyperlink"/>
          </w:rPr>
          <w:t xml:space="preserve">10.1074/jbc.M800102200</w:t>
        </w:r>
      </w:hyperlink>
    </w:p>
    <w:bookmarkEnd w:id="283"/>
    <w:bookmarkStart w:id="285" w:name="ref-zhang2007"/>
    <w:p>
      <w:pPr>
        <w:pStyle w:val="Bibliography"/>
      </w:pPr>
      <w:r>
        <w:t xml:space="preserve">Zhang H, Gao P, Fukuda R, Kumar G, Krishnamachary B, Zeller KI, Dang CV, Semenza GL. 2007.</w:t>
      </w:r>
      <w:r>
        <w:t xml:space="preserve"> </w:t>
      </w:r>
      <w:r>
        <w:t xml:space="preserve">HIF-1</w:t>
      </w:r>
      <w:r>
        <w:t xml:space="preserve"> </w:t>
      </w:r>
      <w:r>
        <w:t xml:space="preserve">inhibits mitochondrial biogenesis and cellular respiration in</w:t>
      </w:r>
      <w:r>
        <w:t xml:space="preserve"> </w:t>
      </w:r>
      <w:r>
        <w:t xml:space="preserve">VHL-deficient</w:t>
      </w:r>
      <w:r>
        <w:t xml:space="preserve"> </w:t>
      </w:r>
      <w:r>
        <w:t xml:space="preserve">renal cell carcinoma by repression of</w:t>
      </w:r>
      <w:r>
        <w:t xml:space="preserve"> </w:t>
      </w:r>
      <w:r>
        <w:t xml:space="preserve">C-MYC</w:t>
      </w:r>
      <w:r>
        <w:t xml:space="preserve"> </w:t>
      </w:r>
      <w:r>
        <w:t xml:space="preserve">activity.</w:t>
      </w:r>
      <w:r>
        <w:t xml:space="preserve"> </w:t>
      </w:r>
      <w:r>
        <w:rPr>
          <w:iCs/>
          <w:i/>
        </w:rPr>
        <w:t xml:space="preserve">Cancer Cell</w:t>
      </w:r>
      <w:r>
        <w:t xml:space="preserve"> </w:t>
      </w:r>
      <w:r>
        <w:rPr>
          <w:bCs/>
          <w:b/>
        </w:rPr>
        <w:t xml:space="preserve">11</w:t>
      </w:r>
      <w:r>
        <w:t xml:space="preserve">:407–420. doi:</w:t>
      </w:r>
      <w:hyperlink r:id="rId284">
        <w:r>
          <w:rPr>
            <w:rStyle w:val="Hyperlink"/>
          </w:rPr>
          <w:t xml:space="preserve">10.1016/j.ccr.2007.04.001</w:t>
        </w:r>
      </w:hyperlink>
    </w:p>
    <w:bookmarkEnd w:id="285"/>
    <w:bookmarkStart w:id="287" w:name="ref-zhang2009"/>
    <w:p>
      <w:pPr>
        <w:pStyle w:val="Bibliography"/>
      </w:pPr>
      <w:r>
        <w:t xml:space="preserve">Zhang J, Sattler M, Tonon G, Grabher C, Lababidi S, Zimmerhackl A, Raab MS, Vallet S, Zhou Y, Cartron M-A, Hideshima T, Tai Y-T, Chauhan D, Anderson KC, Podar K. 2009. Targeting angiogenesis via a c-</w:t>
      </w:r>
      <w:r>
        <w:t xml:space="preserve">Myc</w:t>
      </w:r>
      <w:r>
        <w:t xml:space="preserve">/hypoxia-inducible factor-1alpha-dependent pathway in multiple myeloma.</w:t>
      </w:r>
      <w:r>
        <w:t xml:space="preserve"> </w:t>
      </w:r>
      <w:r>
        <w:rPr>
          <w:iCs/>
          <w:i/>
        </w:rPr>
        <w:t xml:space="preserve">Cancer Res</w:t>
      </w:r>
      <w:r>
        <w:t xml:space="preserve"> </w:t>
      </w:r>
      <w:r>
        <w:rPr>
          <w:bCs/>
          <w:b/>
        </w:rPr>
        <w:t xml:space="preserve">69</w:t>
      </w:r>
      <w:r>
        <w:t xml:space="preserve">:5082–5090. doi:</w:t>
      </w:r>
      <w:hyperlink r:id="rId286">
        <w:r>
          <w:rPr>
            <w:rStyle w:val="Hyperlink"/>
          </w:rPr>
          <w:t xml:space="preserve">10.1158/0008-5472.CAN-08-4603</w:t>
        </w:r>
      </w:hyperlink>
    </w:p>
    <w:bookmarkEnd w:id="287"/>
    <w:bookmarkStart w:id="289" w:name="ref-zhang2017"/>
    <w:p>
      <w:pPr>
        <w:pStyle w:val="Bibliography"/>
      </w:pPr>
      <w:r>
        <w:t xml:space="preserve">Zhang W-F, Xiong Y-W, Zhu T-T, Xiong A-Z, Bao H-H, Cheng X-S. 2017.</w:t>
      </w:r>
      <w:r>
        <w:t xml:space="preserve"> </w:t>
      </w:r>
      <w:r>
        <w:t xml:space="preserve">MicroRNA</w:t>
      </w:r>
      <w:r>
        <w:t xml:space="preserve"> </w:t>
      </w:r>
      <w:r>
        <w:t xml:space="preserve">let-7g inhibited hypoxia-induced proliferation of</w:t>
      </w:r>
      <w:r>
        <w:t xml:space="preserve"> </w:t>
      </w:r>
      <w:r>
        <w:t xml:space="preserve">PASMCs</w:t>
      </w:r>
      <w:r>
        <w:t xml:space="preserve"> </w:t>
      </w:r>
      <w:r>
        <w:t xml:space="preserve">via</w:t>
      </w:r>
      <w:r>
        <w:t xml:space="preserve"> </w:t>
      </w:r>
      <w:r>
        <w:t xml:space="preserve">G0</w:t>
      </w:r>
      <w:r>
        <w:t xml:space="preserve">/</w:t>
      </w:r>
      <w:r>
        <w:t xml:space="preserve">G1</w:t>
      </w:r>
      <w:r>
        <w:t xml:space="preserve"> </w:t>
      </w:r>
      <w:r>
        <w:t xml:space="preserve">cell cycle arrest by targeting c-myc.</w:t>
      </w:r>
      <w:r>
        <w:t xml:space="preserve"> </w:t>
      </w:r>
      <w:r>
        <w:rPr>
          <w:iCs/>
          <w:i/>
        </w:rPr>
        <w:t xml:space="preserve">Life Sci</w:t>
      </w:r>
      <w:r>
        <w:t xml:space="preserve"> </w:t>
      </w:r>
      <w:r>
        <w:rPr>
          <w:bCs/>
          <w:b/>
        </w:rPr>
        <w:t xml:space="preserve">170</w:t>
      </w:r>
      <w:r>
        <w:t xml:space="preserve">:9–15. doi:</w:t>
      </w:r>
      <w:hyperlink r:id="rId288">
        <w:r>
          <w:rPr>
            <w:rStyle w:val="Hyperlink"/>
          </w:rPr>
          <w:t xml:space="preserve">10.1016/j.lfs.2016.11.020</w:t>
        </w:r>
      </w:hyperlink>
    </w:p>
    <w:bookmarkEnd w:id="289"/>
    <w:bookmarkEnd w:id="290"/>
    <w:p>
      <w:r>
        <w:br w:type="page"/>
      </w:r>
    </w:p>
    <w:bookmarkEnd w:id="291"/>
    <w:bookmarkStart w:id="382"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293" name="Picture"/>
                  <a:graphic>
                    <a:graphicData uri="http://schemas.openxmlformats.org/drawingml/2006/picture">
                      <pic:pic>
                        <pic:nvPicPr>
                          <pic:cNvPr descr="figs/Figure%2001.pdf" id="294" name="Picture"/>
                          <pic:cNvPicPr>
                            <a:picLocks noChangeArrowheads="1" noChangeAspect="1"/>
                          </pic:cNvPicPr>
                        </pic:nvPicPr>
                        <pic:blipFill>
                          <a:blip r:embed="rId292"/>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76700" cy="2933700"/>
                  <wp:effectExtent b="0" l="0" r="0" t="0"/>
                  <wp:docPr descr="" title="" id="296" name="Picture"/>
                  <a:graphic>
                    <a:graphicData uri="http://schemas.openxmlformats.org/drawingml/2006/picture">
                      <pic:pic>
                        <pic:nvPicPr>
                          <pic:cNvPr descr="figs/Figure%2001%20-%20figure%20supplement%201.pdf" id="297" name="Picture"/>
                          <pic:cNvPicPr>
                            <a:picLocks noChangeArrowheads="1" noChangeAspect="1"/>
                          </pic:cNvPicPr>
                        </pic:nvPicPr>
                        <pic:blipFill>
                          <a:blip r:embed="rId295"/>
                          <a:stretch>
                            <a:fillRect/>
                          </a:stretch>
                        </pic:blipFill>
                        <pic:spPr bwMode="auto">
                          <a:xfrm>
                            <a:off x="0" y="0"/>
                            <a:ext cx="4076700" cy="2933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191000" cy="1612900"/>
                  <wp:effectExtent b="0" l="0" r="0" t="0"/>
                  <wp:docPr descr="" title="" id="299" name="Picture"/>
                  <a:graphic>
                    <a:graphicData uri="http://schemas.openxmlformats.org/drawingml/2006/picture">
                      <pic:pic>
                        <pic:nvPicPr>
                          <pic:cNvPr descr="figs/Figure%2001%20-%20figure%20supplement%202.pdf" id="300" name="Picture"/>
                          <pic:cNvPicPr>
                            <a:picLocks noChangeArrowheads="1" noChangeAspect="1"/>
                          </pic:cNvPicPr>
                        </pic:nvPicPr>
                        <pic:blipFill>
                          <a:blip r:embed="rId298"/>
                          <a:stretch>
                            <a:fillRect/>
                          </a:stretch>
                        </pic:blipFill>
                        <pic:spPr bwMode="auto">
                          <a:xfrm>
                            <a:off x="0" y="0"/>
                            <a:ext cx="41910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10100" cy="5600700"/>
                  <wp:effectExtent b="0" l="0" r="0" t="0"/>
                  <wp:docPr descr="" title="" id="302" name="Picture"/>
                  <a:graphic>
                    <a:graphicData uri="http://schemas.openxmlformats.org/drawingml/2006/picture">
                      <pic:pic>
                        <pic:nvPicPr>
                          <pic:cNvPr descr="figs/Figure%2001%20-%20figure%20supplement%203.pdf" id="303" name="Picture"/>
                          <pic:cNvPicPr>
                            <a:picLocks noChangeArrowheads="1" noChangeAspect="1"/>
                          </pic:cNvPicPr>
                        </pic:nvPicPr>
                        <pic:blipFill>
                          <a:blip r:embed="rId301"/>
                          <a:stretch>
                            <a:fillRect/>
                          </a:stretch>
                        </pic:blipFill>
                        <pic:spPr bwMode="auto">
                          <a:xfrm>
                            <a:off x="0" y="0"/>
                            <a:ext cx="46101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72000" cy="5600700"/>
                  <wp:effectExtent b="0" l="0" r="0" t="0"/>
                  <wp:docPr descr="" title="" id="305" name="Picture"/>
                  <a:graphic>
                    <a:graphicData uri="http://schemas.openxmlformats.org/drawingml/2006/picture">
                      <pic:pic>
                        <pic:nvPicPr>
                          <pic:cNvPr descr="figs/Figure%2001%20-%20figure%20supplement%204.pdf" id="306" name="Picture"/>
                          <pic:cNvPicPr>
                            <a:picLocks noChangeArrowheads="1" noChangeAspect="1"/>
                          </pic:cNvPicPr>
                        </pic:nvPicPr>
                        <pic:blipFill>
                          <a:blip r:embed="rId304"/>
                          <a:stretch>
                            <a:fillRect/>
                          </a:stretch>
                        </pic:blipFill>
                        <pic:spPr bwMode="auto">
                          <a:xfrm>
                            <a:off x="0" y="0"/>
                            <a:ext cx="45720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308" name="Picture"/>
                  <a:graphic>
                    <a:graphicData uri="http://schemas.openxmlformats.org/drawingml/2006/picture">
                      <pic:pic>
                        <pic:nvPicPr>
                          <pic:cNvPr descr="figs/Figure%2002.pdf" id="309" name="Picture"/>
                          <pic:cNvPicPr>
                            <a:picLocks noChangeArrowheads="1" noChangeAspect="1"/>
                          </pic:cNvPicPr>
                        </pic:nvPicPr>
                        <pic:blipFill>
                          <a:blip r:embed="rId307"/>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19400" cy="1790700"/>
                  <wp:effectExtent b="0" l="0" r="0" t="0"/>
                  <wp:docPr descr="" title="" id="311" name="Picture"/>
                  <a:graphic>
                    <a:graphicData uri="http://schemas.openxmlformats.org/drawingml/2006/picture">
                      <pic:pic>
                        <pic:nvPicPr>
                          <pic:cNvPr descr="figs/Figure%2003.pdf" id="312" name="Picture"/>
                          <pic:cNvPicPr>
                            <a:picLocks noChangeArrowheads="1" noChangeAspect="1"/>
                          </pic:cNvPicPr>
                        </pic:nvPicPr>
                        <pic:blipFill>
                          <a:blip r:embed="rId310"/>
                          <a:stretch>
                            <a:fillRect/>
                          </a:stretch>
                        </pic:blipFill>
                        <pic:spPr bwMode="auto">
                          <a:xfrm>
                            <a:off x="0" y="0"/>
                            <a:ext cx="2819400" cy="179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203700" cy="3632200"/>
                  <wp:effectExtent b="0" l="0" r="0" t="0"/>
                  <wp:docPr descr="" title="" id="314" name="Picture"/>
                  <a:graphic>
                    <a:graphicData uri="http://schemas.openxmlformats.org/drawingml/2006/picture">
                      <pic:pic>
                        <pic:nvPicPr>
                          <pic:cNvPr descr="figs/Figure%2004.pdf" id="315" name="Picture"/>
                          <pic:cNvPicPr>
                            <a:picLocks noChangeArrowheads="1" noChangeAspect="1"/>
                          </pic:cNvPicPr>
                        </pic:nvPicPr>
                        <pic:blipFill>
                          <a:blip r:embed="rId313"/>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7" name="Picture"/>
                  <a:graphic>
                    <a:graphicData uri="http://schemas.openxmlformats.org/drawingml/2006/picture">
                      <pic:pic>
                        <pic:nvPicPr>
                          <pic:cNvPr descr="figs/Figure%2004%20-%20figure%20supplement%201.pdf" id="318" name="Picture"/>
                          <pic:cNvPicPr>
                            <a:picLocks noChangeArrowheads="1" noChangeAspect="1"/>
                          </pic:cNvPicPr>
                        </pic:nvPicPr>
                        <pic:blipFill>
                          <a:blip r:embed="rId316"/>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20" name="Picture"/>
                  <a:graphic>
                    <a:graphicData uri="http://schemas.openxmlformats.org/drawingml/2006/picture">
                      <pic:pic>
                        <pic:nvPicPr>
                          <pic:cNvPr descr="figs/Figure%2004%20-%20figure%20supplement%202.pdf" id="321" name="Picture"/>
                          <pic:cNvPicPr>
                            <a:picLocks noChangeArrowheads="1" noChangeAspect="1"/>
                          </pic:cNvPicPr>
                        </pic:nvPicPr>
                        <pic:blipFill>
                          <a:blip r:embed="rId319"/>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2990625"/>
                  <wp:effectExtent b="0" l="0" r="0" t="0"/>
                  <wp:docPr descr="" title="" id="323" name="Picture"/>
                  <a:graphic>
                    <a:graphicData uri="http://schemas.openxmlformats.org/drawingml/2006/picture">
                      <pic:pic>
                        <pic:nvPicPr>
                          <pic:cNvPr descr="figs/Figure%2005.pdf" id="324" name="Picture"/>
                          <pic:cNvPicPr>
                            <a:picLocks noChangeArrowheads="1" noChangeAspect="1"/>
                          </pic:cNvPicPr>
                        </pic:nvPicPr>
                        <pic:blipFill>
                          <a:blip r:embed="rId322"/>
                          <a:stretch>
                            <a:fillRect/>
                          </a:stretch>
                        </pic:blipFill>
                        <pic:spPr bwMode="auto">
                          <a:xfrm>
                            <a:off x="0" y="0"/>
                            <a:ext cx="6400800" cy="29906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3302000" cy="3441700"/>
                  <wp:effectExtent b="0" l="0" r="0" t="0"/>
                  <wp:docPr descr="" title="" id="326" name="Picture"/>
                  <a:graphic>
                    <a:graphicData uri="http://schemas.openxmlformats.org/drawingml/2006/picture">
                      <pic:pic>
                        <pic:nvPicPr>
                          <pic:cNvPr descr="figs/Figure%2005%20-%20figure%20supplement%201.pdf" id="327" name="Picture"/>
                          <pic:cNvPicPr>
                            <a:picLocks noChangeArrowheads="1" noChangeAspect="1"/>
                          </pic:cNvPicPr>
                        </pic:nvPicPr>
                        <pic:blipFill>
                          <a:blip r:embed="rId325"/>
                          <a:stretch>
                            <a:fillRect/>
                          </a:stretch>
                        </pic:blipFill>
                        <pic:spPr bwMode="auto">
                          <a:xfrm>
                            <a:off x="0" y="0"/>
                            <a:ext cx="3302000" cy="3441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161840"/>
                  <wp:effectExtent b="0" l="0" r="0" t="0"/>
                  <wp:docPr descr="" title="" id="329" name="Picture"/>
                  <a:graphic>
                    <a:graphicData uri="http://schemas.openxmlformats.org/drawingml/2006/picture">
                      <pic:pic>
                        <pic:nvPicPr>
                          <pic:cNvPr descr="figs/Figure%2005%20-%20figure%20supplement%202.pdf" id="330" name="Picture"/>
                          <pic:cNvPicPr>
                            <a:picLocks noChangeArrowheads="1" noChangeAspect="1"/>
                          </pic:cNvPicPr>
                        </pic:nvPicPr>
                        <pic:blipFill>
                          <a:blip r:embed="rId328"/>
                          <a:stretch>
                            <a:fillRect/>
                          </a:stretch>
                        </pic:blipFill>
                        <pic:spPr bwMode="auto">
                          <a:xfrm>
                            <a:off x="0" y="0"/>
                            <a:ext cx="6400800" cy="31618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429000"/>
                  <wp:effectExtent b="0" l="0" r="0" t="0"/>
                  <wp:docPr descr="" title="" id="332" name="Picture"/>
                  <a:graphic>
                    <a:graphicData uri="http://schemas.openxmlformats.org/drawingml/2006/picture">
                      <pic:pic>
                        <pic:nvPicPr>
                          <pic:cNvPr descr="figs/Figure%2005%20-%20figure%20supplement%203.pdf" id="333" name="Picture"/>
                          <pic:cNvPicPr>
                            <a:picLocks noChangeArrowheads="1" noChangeAspect="1"/>
                          </pic:cNvPicPr>
                        </pic:nvPicPr>
                        <pic:blipFill>
                          <a:blip r:embed="rId331"/>
                          <a:stretch>
                            <a:fillRect/>
                          </a:stretch>
                        </pic:blipFill>
                        <pic:spPr bwMode="auto">
                          <a:xfrm>
                            <a:off x="0" y="0"/>
                            <a:ext cx="4051300" cy="3429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5" name="Picture"/>
                  <a:graphic>
                    <a:graphicData uri="http://schemas.openxmlformats.org/drawingml/2006/picture">
                      <pic:pic>
                        <pic:nvPicPr>
                          <pic:cNvPr descr="figs/Figure%2005%20-%20figure%20supplement%204.pdf" id="336" name="Picture"/>
                          <pic:cNvPicPr>
                            <a:picLocks noChangeArrowheads="1" noChangeAspect="1"/>
                          </pic:cNvPicPr>
                        </pic:nvPicPr>
                        <pic:blipFill>
                          <a:blip r:embed="rId334"/>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8" name="Picture"/>
                  <a:graphic>
                    <a:graphicData uri="http://schemas.openxmlformats.org/drawingml/2006/picture">
                      <pic:pic>
                        <pic:nvPicPr>
                          <pic:cNvPr descr="figs/Figure%2005%20-%20figure%20supplement%205.pdf" id="339" name="Picture"/>
                          <pic:cNvPicPr>
                            <a:picLocks noChangeArrowheads="1" noChangeAspect="1"/>
                          </pic:cNvPicPr>
                        </pic:nvPicPr>
                        <pic:blipFill>
                          <a:blip r:embed="rId337"/>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06700" cy="1612900"/>
                  <wp:effectExtent b="0" l="0" r="0" t="0"/>
                  <wp:docPr descr="" title="" id="341" name="Picture"/>
                  <a:graphic>
                    <a:graphicData uri="http://schemas.openxmlformats.org/drawingml/2006/picture">
                      <pic:pic>
                        <pic:nvPicPr>
                          <pic:cNvPr descr="figs/Figure%2006.pdf" id="342" name="Picture"/>
                          <pic:cNvPicPr>
                            <a:picLocks noChangeArrowheads="1" noChangeAspect="1"/>
                          </pic:cNvPicPr>
                        </pic:nvPicPr>
                        <pic:blipFill>
                          <a:blip r:embed="rId340"/>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w:t>
            </w:r>
            <w:r>
              <w:rPr>
                <w:iCs/>
                <w:i/>
              </w:rPr>
              <w:t xml:space="preserve">blue</w:t>
            </w:r>
            <w:r>
              <w:t xml:space="preserve"> </w:t>
            </w:r>
            <w:r>
              <w:t xml:space="preserve">arrow). This yields M+5 citrate. (</w:t>
            </w:r>
            <w:r>
              <w:rPr>
                <w:bCs/>
                <w:b/>
              </w:rPr>
              <w:t xml:space="preserve">B</w:t>
            </w:r>
            <w:r>
              <w:t xml:space="preserve">) Exchange flux estimates for reductive carboxylation. Data show the model estimate with upper and lower bounds for LFs and PASMCs.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953000" cy="1892300"/>
                  <wp:effectExtent b="0" l="0" r="0" t="0"/>
                  <wp:docPr descr="" title="" id="344" name="Picture"/>
                  <a:graphic>
                    <a:graphicData uri="http://schemas.openxmlformats.org/drawingml/2006/picture">
                      <pic:pic>
                        <pic:nvPicPr>
                          <pic:cNvPr descr="figs/Figure%2007.pdf" id="345" name="Picture"/>
                          <pic:cNvPicPr>
                            <a:picLocks noChangeArrowheads="1" noChangeAspect="1"/>
                          </pic:cNvPicPr>
                        </pic:nvPicPr>
                        <pic:blipFill>
                          <a:blip r:embed="rId343"/>
                          <a:stretch>
                            <a:fillRect/>
                          </a:stretch>
                        </pic:blipFill>
                        <pic:spPr bwMode="auto">
                          <a:xfrm>
                            <a:off x="0" y="0"/>
                            <a:ext cx="4953000" cy="1892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7 - PHD inhibition increases lactate uptake and oxidation.</w:t>
            </w:r>
            <w:r>
              <w:t xml:space="preserve"> </w:t>
            </w:r>
            <w:r>
              <w:t xml:space="preserve">(</w:t>
            </w:r>
            <w:r>
              <w:rPr>
                <w:bCs/>
                <w:b/>
              </w:rPr>
              <w:t xml:space="preserve">A</w:t>
            </w:r>
            <w:r>
              <w:t xml:space="preserve">) Exchange flux estimates for lactate import presented as in (A). (</w:t>
            </w:r>
            <w:r>
              <w:rPr>
                <w:bCs/>
                <w:b/>
              </w:rPr>
              <w:t xml:space="preserve">C</w:t>
            </w:r>
            <w:r>
              <w:t xml:space="preserve">) Mass isotopomer distributions of lactate (LAC), fructose-bisphosphate (FBP), pyruvate (PYR), citrate (CIT), α-ketoglutarate (AKG), and malate (MAL) in LFs following 72 h labeling with [U-</w:t>
            </w:r>
            <w:r>
              <w:rPr>
                <w:vertAlign w:val="superscript"/>
              </w:rPr>
              <w:t xml:space="preserve">13</w:t>
            </w:r>
            <w:r>
              <w:t xml:space="preserve">C</w:t>
            </w:r>
            <w:r>
              <w:rPr>
                <w:vertAlign w:val="subscript"/>
              </w:rPr>
              <w:t xml:space="preserve">3</w:t>
            </w:r>
            <w:r>
              <w:t xml:space="preserve">] lactate. Data are mean ± SEM (n = 4, p &lt; 0.05 for the following comparisons: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495800" cy="1587500"/>
                  <wp:effectExtent b="0" l="0" r="0" t="0"/>
                  <wp:docPr descr="" title="" id="347" name="Picture"/>
                  <a:graphic>
                    <a:graphicData uri="http://schemas.openxmlformats.org/drawingml/2006/picture">
                      <pic:pic>
                        <pic:nvPicPr>
                          <pic:cNvPr descr="figs/Figure%2008.pdf" id="348" name="Picture"/>
                          <pic:cNvPicPr>
                            <a:picLocks noChangeArrowheads="1" noChangeAspect="1"/>
                          </pic:cNvPicPr>
                        </pic:nvPicPr>
                        <pic:blipFill>
                          <a:blip r:embed="rId346"/>
                          <a:stretch>
                            <a:fillRect/>
                          </a:stretch>
                        </pic:blipFill>
                        <pic:spPr bwMode="auto">
                          <a:xfrm>
                            <a:off x="0" y="0"/>
                            <a:ext cx="4495800" cy="1587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Hypoxia prevents BAY-stimulated increases in glycolysis.</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(n = 4, * p &lt; 0.05 BAY</w:t>
            </w:r>
            <w:r>
              <w:t xml:space="preserve"> </w:t>
            </w:r>
            <w:r>
              <w:rPr>
                <w:iCs/>
                <w:i/>
              </w:rPr>
              <w:t xml:space="preserve">v.</w:t>
            </w:r>
            <w:r>
              <w:t xml:space="preserve"> </w:t>
            </w:r>
            <w:r>
              <w:t xml:space="preserve">DMSO within a given oxygen exposure).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33900" cy="2971800"/>
                  <wp:effectExtent b="0" l="0" r="0" t="0"/>
                  <wp:docPr descr="" title="" id="350" name="Picture"/>
                  <a:graphic>
                    <a:graphicData uri="http://schemas.openxmlformats.org/drawingml/2006/picture">
                      <pic:pic>
                        <pic:nvPicPr>
                          <pic:cNvPr descr="figs/Figure%2008%20-%20figure%20supplement%201.pdf" id="351" name="Picture"/>
                          <pic:cNvPicPr>
                            <a:picLocks noChangeArrowheads="1" noChangeAspect="1"/>
                          </pic:cNvPicPr>
                        </pic:nvPicPr>
                        <pic:blipFill>
                          <a:blip r:embed="rId349"/>
                          <a:stretch>
                            <a:fillRect/>
                          </a:stretch>
                        </pic:blipFill>
                        <pic:spPr bwMode="auto">
                          <a:xfrm>
                            <a:off x="0" y="0"/>
                            <a:ext cx="45339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figure supplement 1 - Hypoxia attenuates siPHD2-stimulated increases in glycolysis.</w:t>
            </w:r>
            <w:r>
              <w:t xml:space="preserve"> </w:t>
            </w:r>
            <w:r>
              <w:t xml:space="preserve">LFs were treated with siRNA to knock down PHD2 expression. (</w:t>
            </w:r>
            <w:r>
              <w:rPr>
                <w:bCs/>
                <w:b/>
              </w:rPr>
              <w:t xml:space="preserve">A</w:t>
            </w:r>
            <w:r>
              <w:t xml:space="preserve">) Cell growth was not impacted by siPHD2 treatment. (</w:t>
            </w:r>
            <w:r>
              <w:rPr>
                <w:bCs/>
                <w:b/>
              </w:rPr>
              <w:t xml:space="preserve">B</w:t>
            </w:r>
            <w:r>
              <w:t xml:space="preserve">) Representative immunoblot of LF cell lysates at 72 h demonstrating substantial PHD2 knockdown associated with stabilization of HIF-1α. (</w:t>
            </w:r>
            <w:r>
              <w:rPr>
                <w:bCs/>
                <w:b/>
              </w:rPr>
              <w:t xml:space="preserve">C</w:t>
            </w:r>
            <w:r>
              <w:t xml:space="preserve">) Relative change in LDHA protein levels from (B) normalized to 21% siCTL (n = 4). (</w:t>
            </w:r>
            <w:r>
              <w:rPr>
                <w:bCs/>
                <w:b/>
              </w:rPr>
              <w:t xml:space="preserve">D</w:t>
            </w:r>
            <w:r>
              <w:t xml:space="preserve">) GLUT1 and (</w:t>
            </w:r>
            <w:r>
              <w:rPr>
                <w:bCs/>
                <w:b/>
              </w:rPr>
              <w:t xml:space="preserve">E</w:t>
            </w:r>
            <w:r>
              <w:t xml:space="preserve">) LDHA mRNA determined by RT-qPCR (n = 5). (</w:t>
            </w:r>
            <w:r>
              <w:rPr>
                <w:bCs/>
                <w:b/>
              </w:rPr>
              <w:t xml:space="preserve">F</w:t>
            </w:r>
            <w:r>
              <w:t xml:space="preserve">) Lactate efflux in siPHD2-treated cells (n = 5).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within a given treatment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499100" cy="3873500"/>
                  <wp:effectExtent b="0" l="0" r="0" t="0"/>
                  <wp:docPr descr="" title="" id="353" name="Picture"/>
                  <a:graphic>
                    <a:graphicData uri="http://schemas.openxmlformats.org/drawingml/2006/picture">
                      <pic:pic>
                        <pic:nvPicPr>
                          <pic:cNvPr descr="figs/Figure%2009.pdf" id="354" name="Picture"/>
                          <pic:cNvPicPr>
                            <a:picLocks noChangeArrowheads="1" noChangeAspect="1"/>
                          </pic:cNvPicPr>
                        </pic:nvPicPr>
                        <pic:blipFill>
                          <a:blip r:embed="rId352"/>
                          <a:stretch>
                            <a:fillRect/>
                          </a:stretch>
                        </pic:blipFill>
                        <pic:spPr bwMode="auto">
                          <a:xfrm>
                            <a:off x="0" y="0"/>
                            <a:ext cx="5499100" cy="3873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Metabolomic analysis of molidustat treatment in normoxia and hypoxia.</w:t>
            </w:r>
            <w:r>
              <w:t xml:space="preserve"> </w:t>
            </w:r>
            <w:r>
              <w:t xml:space="preserve">(</w:t>
            </w:r>
            <w:r>
              <w:rPr>
                <w:bCs/>
                <w:b/>
              </w:rPr>
              <w:t xml:space="preserve">A</w:t>
            </w:r>
            <w:r>
              <w:t xml:space="preserve">) Principal component analysis of intracellular metabolites following 72 h of treatment suggests a dominant effect of hypoxia over pharmacologic PHD inhibition on the metabolome (n = 7). (</w:t>
            </w:r>
            <w:r>
              <w:rPr>
                <w:bCs/>
                <w:b/>
              </w:rPr>
              <w:t xml:space="preserve">B</w:t>
            </w:r>
            <w:r>
              <w:t xml:space="preserve">) Volcano plot of intracellular metabolites of BAY-treated cells cultured in 21% or 0.5% oxygen. Filled circles indicate significantly increased (</w:t>
            </w:r>
            <w:r>
              <w:rPr>
                <w:iCs/>
                <w:i/>
              </w:rPr>
              <w:t xml:space="preserve">blue</w:t>
            </w:r>
            <w:r>
              <w:t xml:space="preserve">) and decreased (</w:t>
            </w:r>
            <w:r>
              <w:rPr>
                <w:iCs/>
                <w:i/>
              </w:rPr>
              <w:t xml:space="preserve">red</w:t>
            </w:r>
            <w:r>
              <w:t xml:space="preserve">) levels in hypoxia. (</w:t>
            </w:r>
            <w:r>
              <w:rPr>
                <w:bCs/>
                <w:b/>
              </w:rPr>
              <w:t xml:space="preserve">C</w:t>
            </w:r>
            <w:r>
              <w:t xml:space="preserve">) Metabolite set enrichment analysis of metabolites from (B). All KEGG pathways with p-values &lt; 0.05 are shown. (</w:t>
            </w:r>
            <w:r>
              <w:rPr>
                <w:bCs/>
                <w:b/>
              </w:rPr>
              <w:t xml:space="preserve">D</w:t>
            </w:r>
            <w:r>
              <w:t xml:space="preserve">) Leading edge analysis of the TCA cycle metabolite set. Negative values indicate the relative enrichment associated with BAY treatment alone compared to BAY plus hypoxia treatment. Abbreviations: PYR, pyruvate; SUC, succinate; PEP, phosphoenolpyruvate; CIT, citrate; AKG, α-ketoglutarate; MAL, malate; ACO, aconitate; FUM, fumarate.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70500" cy="5334000"/>
                  <wp:effectExtent b="0" l="0" r="0" t="0"/>
                  <wp:docPr descr="" title="" id="356" name="Picture"/>
                  <a:graphic>
                    <a:graphicData uri="http://schemas.openxmlformats.org/drawingml/2006/picture">
                      <pic:pic>
                        <pic:nvPicPr>
                          <pic:cNvPr descr="figs/Figure%2009%20-%20figure%20supplement%201.pdf" id="357" name="Picture"/>
                          <pic:cNvPicPr>
                            <a:picLocks noChangeArrowheads="1" noChangeAspect="1"/>
                          </pic:cNvPicPr>
                        </pic:nvPicPr>
                        <pic:blipFill>
                          <a:blip r:embed="rId355"/>
                          <a:stretch>
                            <a:fillRect/>
                          </a:stretch>
                        </pic:blipFill>
                        <pic:spPr bwMode="auto">
                          <a:xfrm>
                            <a:off x="0" y="0"/>
                            <a:ext cx="5270500" cy="533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1 - 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305300" cy="2971800"/>
                  <wp:effectExtent b="0" l="0" r="0" t="0"/>
                  <wp:docPr descr="" title="" id="359" name="Picture"/>
                  <a:graphic>
                    <a:graphicData uri="http://schemas.openxmlformats.org/drawingml/2006/picture">
                      <pic:pic>
                        <pic:nvPicPr>
                          <pic:cNvPr descr="figs/Figure%2009%20-%20figure%20supplement%202.pdf" id="360" name="Picture"/>
                          <pic:cNvPicPr>
                            <a:picLocks noChangeArrowheads="1" noChangeAspect="1"/>
                          </pic:cNvPicPr>
                        </pic:nvPicPr>
                        <pic:blipFill>
                          <a:blip r:embed="rId358"/>
                          <a:stretch>
                            <a:fillRect/>
                          </a:stretch>
                        </pic:blipFill>
                        <pic:spPr bwMode="auto">
                          <a:xfrm>
                            <a:off x="0" y="0"/>
                            <a:ext cx="43053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2 - Changes in NAD(H) and NADP(H) following hypoxia and BAY treamtent</w:t>
            </w:r>
            <w:r>
              <w:t xml:space="preserve"> </w:t>
            </w:r>
            <w:r>
              <w:t xml:space="preserve">(</w:t>
            </w:r>
            <w:r>
              <w:rPr>
                <w:bCs/>
                <w:b/>
              </w:rPr>
              <w:t xml:space="preserve">A</w:t>
            </w:r>
            <w:r>
              <w:t xml:space="preserve">) NAD</w:t>
            </w:r>
            <w:r>
              <w:rPr>
                <w:vertAlign w:val="superscript"/>
              </w:rPr>
              <w:t xml:space="preserve">+</w:t>
            </w:r>
            <w:r>
              <w:t xml:space="preserve">, (</w:t>
            </w:r>
            <w:r>
              <w:rPr>
                <w:bCs/>
                <w:b/>
              </w:rPr>
              <w:t xml:space="preserve">B</w:t>
            </w:r>
            <w:r>
              <w:t xml:space="preserve">) NADH, and (</w:t>
            </w:r>
            <w:r>
              <w:rPr>
                <w:bCs/>
                <w:b/>
              </w:rPr>
              <w:t xml:space="preserve">C</w:t>
            </w:r>
            <w:r>
              <w:t xml:space="preserve">) NADH/NAD</w:t>
            </w:r>
            <w:r>
              <w:rPr>
                <w:vertAlign w:val="superscript"/>
              </w:rPr>
              <w:t xml:space="preserve">+</w:t>
            </w:r>
            <w:r>
              <w:t xml:space="preserve"> </w:t>
            </w:r>
            <w:r>
              <w:t xml:space="preserve">from LFs cultured for 72 h in 0.5% oxygen ± BAY (n = 5). (</w:t>
            </w:r>
            <w:r>
              <w:rPr>
                <w:bCs/>
                <w:b/>
              </w:rPr>
              <w:t xml:space="preserve">D</w:t>
            </w:r>
            <w:r>
              <w:t xml:space="preserve">) NADP</w:t>
            </w:r>
            <w:r>
              <w:rPr>
                <w:vertAlign w:val="superscript"/>
              </w:rPr>
              <w:t xml:space="preserve">+</w:t>
            </w:r>
            <w:r>
              <w:t xml:space="preserve">, (</w:t>
            </w:r>
            <w:r>
              <w:rPr>
                <w:bCs/>
                <w:b/>
              </w:rPr>
              <w:t xml:space="preserve">E</w:t>
            </w:r>
            <w:r>
              <w:t xml:space="preserve">) NADPH, and (</w:t>
            </w:r>
            <w:r>
              <w:rPr>
                <w:bCs/>
                <w:b/>
              </w:rPr>
              <w:t xml:space="preserve">F</w:t>
            </w:r>
            <w:r>
              <w:t xml:space="preserve">) NADPH/NADP</w:t>
            </w:r>
            <w:r>
              <w:rPr>
                <w:vertAlign w:val="superscript"/>
              </w:rPr>
              <w:t xml:space="preserve">+</w:t>
            </w:r>
            <w:r>
              <w:t xml:space="preserve"> </w:t>
            </w:r>
            <w:r>
              <w:t xml:space="preserve">from LFs cultured for 72 h in 0.5% oxygen ± BAY (n = 4). Data are mean ± SEM (p &lt; 0.05 with</w:t>
            </w:r>
            <w:r>
              <w:t xml:space="preserve"> </w:t>
            </w:r>
            <w:r>
              <w:rPr>
                <w:iCs/>
                <w:i/>
              </w:rPr>
              <w:t xml:space="preserve">black</w:t>
            </w:r>
            <w:r>
              <w:t xml:space="preserve"> </w:t>
            </w:r>
            <w:r>
              <w:t xml:space="preserve">* indicating a significant effect of oxygen within a given treatment and</w:t>
            </w:r>
            <w:r>
              <w:t xml:space="preserve"> </w:t>
            </w:r>
            <w:r>
              <w:rPr>
                <w:iCs/>
                <w:i/>
              </w:rPr>
              <w:t xml:space="preserve">colored</w:t>
            </w:r>
            <w:r>
              <w:t xml:space="preserve"> </w:t>
            </w:r>
            <w:r>
              <w:t xml:space="preserve">* indicating a significant effect of treatment within a given oxygen tension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761873"/>
                  <wp:effectExtent b="0" l="0" r="0" t="0"/>
                  <wp:docPr descr="" title="" id="362" name="Picture"/>
                  <a:graphic>
                    <a:graphicData uri="http://schemas.openxmlformats.org/drawingml/2006/picture">
                      <pic:pic>
                        <pic:nvPicPr>
                          <pic:cNvPr descr="figs/Figure%2010.pdf" id="363" name="Picture"/>
                          <pic:cNvPicPr>
                            <a:picLocks noChangeArrowheads="1" noChangeAspect="1"/>
                          </pic:cNvPicPr>
                        </pic:nvPicPr>
                        <pic:blipFill>
                          <a:blip r:embed="rId361"/>
                          <a:stretch>
                            <a:fillRect/>
                          </a:stretch>
                        </pic:blipFill>
                        <pic:spPr bwMode="auto">
                          <a:xfrm>
                            <a:off x="0" y="0"/>
                            <a:ext cx="6400800" cy="37618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6641582"/>
                  <wp:effectExtent b="0" l="0" r="0" t="0"/>
                  <wp:docPr descr="" title="" id="365" name="Picture"/>
                  <a:graphic>
                    <a:graphicData uri="http://schemas.openxmlformats.org/drawingml/2006/picture">
                      <pic:pic>
                        <pic:nvPicPr>
                          <pic:cNvPr descr="figs/Figure%2010%20-%20figure%20supplement%201.pdf" id="366" name="Picture"/>
                          <pic:cNvPicPr>
                            <a:picLocks noChangeArrowheads="1" noChangeAspect="1"/>
                          </pic:cNvPicPr>
                        </pic:nvPicPr>
                        <pic:blipFill>
                          <a:blip r:embed="rId364"/>
                          <a:stretch>
                            <a:fillRect/>
                          </a:stretch>
                        </pic:blipFill>
                        <pic:spPr bwMode="auto">
                          <a:xfrm>
                            <a:off x="0" y="0"/>
                            <a:ext cx="6400800" cy="66415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1 - 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933700" cy="1549400"/>
                  <wp:effectExtent b="0" l="0" r="0" t="0"/>
                  <wp:docPr descr="" title="" id="368" name="Picture"/>
                  <a:graphic>
                    <a:graphicData uri="http://schemas.openxmlformats.org/drawingml/2006/picture">
                      <pic:pic>
                        <pic:nvPicPr>
                          <pic:cNvPr descr="figs/Figure%2010%20-%20figure%20supplement%202.pdf" id="369" name="Picture"/>
                          <pic:cNvPicPr>
                            <a:picLocks noChangeArrowheads="1" noChangeAspect="1"/>
                          </pic:cNvPicPr>
                        </pic:nvPicPr>
                        <pic:blipFill>
                          <a:blip r:embed="rId367"/>
                          <a:stretch>
                            <a:fillRect/>
                          </a:stretch>
                        </pic:blipFill>
                        <pic:spPr bwMode="auto">
                          <a:xfrm>
                            <a:off x="0" y="0"/>
                            <a:ext cx="29337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2 -</w:t>
            </w:r>
            <w:r>
              <w:rPr>
                <w:bCs/>
                <w:b/>
              </w:rPr>
              <w:t xml:space="preserve"> </w:t>
            </w:r>
            <w:r>
              <w:rPr>
                <w:iCs/>
                <w:i/>
                <w:bCs/>
                <w:b/>
              </w:rPr>
              <w:t xml:space="preserve">CDKN1A</w:t>
            </w:r>
            <w:r>
              <w:rPr>
                <w:bCs/>
                <w:b/>
              </w:rPr>
              <w:t xml:space="preserve"> </w:t>
            </w:r>
            <w:r>
              <w:rPr>
                <w:bCs/>
                <w:b/>
              </w:rPr>
              <w:t xml:space="preserve">expression in BAY- and siPHD2-treated cells.</w:t>
            </w:r>
            <w:r>
              <w:t xml:space="preserve"> </w:t>
            </w:r>
            <w:r>
              <w:t xml:space="preserve">(</w:t>
            </w:r>
            <w:r>
              <w:rPr>
                <w:bCs/>
                <w:b/>
              </w:rPr>
              <w:t xml:space="preserve">A</w:t>
            </w:r>
            <w:r>
              <w:t xml:space="preserve">) Normalized mRNA counts from RNA-seq analysis of LFs treated with hypoxia ± BAY (n = 4). (</w:t>
            </w:r>
            <w:r>
              <w:rPr>
                <w:bCs/>
                <w:b/>
              </w:rPr>
              <w:t xml:space="preserve">B</w:t>
            </w:r>
            <w:r>
              <w:t xml:space="preserve">) Relative</w:t>
            </w:r>
            <w:r>
              <w:t xml:space="preserve"> </w:t>
            </w:r>
            <w:r>
              <w:rPr>
                <w:iCs/>
                <w:i/>
              </w:rPr>
              <w:t xml:space="preserve">CDKN1A</w:t>
            </w:r>
            <w:r>
              <w:t xml:space="preserve"> </w:t>
            </w:r>
            <w:r>
              <w:t xml:space="preserve">expression by RT-qPCR in siPHD2-treated in normoxia and hypoxia (n = 4).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for a given treatment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07000" cy="4381500"/>
                  <wp:effectExtent b="0" l="0" r="0" t="0"/>
                  <wp:docPr descr="" title="" id="371" name="Picture"/>
                  <a:graphic>
                    <a:graphicData uri="http://schemas.openxmlformats.org/drawingml/2006/picture">
                      <pic:pic>
                        <pic:nvPicPr>
                          <pic:cNvPr descr="figs/Figure%2011.pdf" id="372" name="Picture"/>
                          <pic:cNvPicPr>
                            <a:picLocks noChangeArrowheads="1" noChangeAspect="1"/>
                          </pic:cNvPicPr>
                        </pic:nvPicPr>
                        <pic:blipFill>
                          <a:blip r:embed="rId370"/>
                          <a:stretch>
                            <a:fillRect/>
                          </a:stretch>
                        </pic:blipFill>
                        <pic:spPr bwMode="auto">
                          <a:xfrm>
                            <a:off x="0" y="0"/>
                            <a:ext cx="5207000" cy="4381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hypotheses: (1) Hypoxia-induced MYC antagonizes HIF-dependent metabolic and transcriptional events (</w:t>
            </w:r>
            <w:r>
              <w:rPr>
                <w:iCs/>
                <w:i/>
              </w:rPr>
              <w:t xml:space="preserve">upper panel</w:t>
            </w:r>
            <w:r>
              <w:t xml:space="preserve">). Silencing MYC with siRNA (siMYC) should therefore increase lactate efflux in hypoxia. (2) HIF activation in normoxia decreases MYC activity and increases glycolysis (</w:t>
            </w:r>
            <w:r>
              <w:rPr>
                <w:iCs/>
                <w:i/>
              </w:rPr>
              <w:t xml:space="preserve">lower panel</w:t>
            </w:r>
            <w:r>
              <w:t xml:space="preserve">). Therefore, overexpressing MYC (AdMYC) should restore MYC signaling and inhibit lactate efflux.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540000" cy="1549400"/>
                  <wp:effectExtent b="0" l="0" r="0" t="0"/>
                  <wp:docPr descr="" title="" id="374" name="Picture"/>
                  <a:graphic>
                    <a:graphicData uri="http://schemas.openxmlformats.org/drawingml/2006/picture">
                      <pic:pic>
                        <pic:nvPicPr>
                          <pic:cNvPr descr="figs/Figure%2011%20-%20figure%20supplement%201.pdf" id="375" name="Picture"/>
                          <pic:cNvPicPr>
                            <a:picLocks noChangeArrowheads="1" noChangeAspect="1"/>
                          </pic:cNvPicPr>
                        </pic:nvPicPr>
                        <pic:blipFill>
                          <a:blip r:embed="rId373"/>
                          <a:stretch>
                            <a:fillRect/>
                          </a:stretch>
                        </pic:blipFill>
                        <pic:spPr bwMode="auto">
                          <a:xfrm>
                            <a:off x="0" y="0"/>
                            <a:ext cx="25400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1 - Effects of hypoxia on MYC protein in siPHD2-treated cells.</w:t>
            </w:r>
            <w:r>
              <w:t xml:space="preserve"> </w:t>
            </w:r>
            <w:r>
              <w:t xml:space="preserve">(</w:t>
            </w:r>
            <w:r>
              <w:rPr>
                <w:bCs/>
                <w:b/>
              </w:rPr>
              <w:t xml:space="preserve">A</w:t>
            </w:r>
            <w:r>
              <w:t xml:space="preserve">) Representative immunoblot of MYC protein levels in LFs treated with siPHD2 (P) or siCTL (C) and exposed to 0.5% oxygen for 72 h. (</w:t>
            </w:r>
            <w:r>
              <w:rPr>
                <w:bCs/>
                <w:b/>
              </w:rPr>
              <w:t xml:space="preserve">B</w:t>
            </w:r>
            <w:r>
              <w:t xml:space="preserve">) Quantification of MYC band densities as in (A). Data are mean ± SEM (n = 3,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286500" cy="3175000"/>
                  <wp:effectExtent b="0" l="0" r="0" t="0"/>
                  <wp:docPr descr="" title="" id="377" name="Picture"/>
                  <a:graphic>
                    <a:graphicData uri="http://schemas.openxmlformats.org/drawingml/2006/picture">
                      <pic:pic>
                        <pic:nvPicPr>
                          <pic:cNvPr descr="figs/Figure%2011%20-%20figure%20supplement%202.pdf" id="378" name="Picture"/>
                          <pic:cNvPicPr>
                            <a:picLocks noChangeArrowheads="1" noChangeAspect="1"/>
                          </pic:cNvPicPr>
                        </pic:nvPicPr>
                        <pic:blipFill>
                          <a:blip r:embed="rId376"/>
                          <a:stretch>
                            <a:fillRect/>
                          </a:stretch>
                        </pic:blipFill>
                        <pic:spPr bwMode="auto">
                          <a:xfrm>
                            <a:off x="0" y="0"/>
                            <a:ext cx="6286500" cy="317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2 - Effects of MYC on HIF stabilization and target gene exprssion.</w:t>
            </w:r>
            <w:r>
              <w:t xml:space="preserve"> </w:t>
            </w:r>
            <w:r>
              <w:t xml:space="preserve">(</w:t>
            </w:r>
            <w:r>
              <w:rPr>
                <w:bCs/>
                <w:b/>
              </w:rPr>
              <w:t xml:space="preserve">A</w:t>
            </w:r>
            <w:r>
              <w:t xml:space="preserve">) Representative immunoblot of HIF-1α and LDHA protein levels in LFs treated with siMYC (M) or siCTL (C) and exposed to 0.5% oxygen for 72 h. (</w:t>
            </w:r>
            <w:r>
              <w:rPr>
                <w:bCs/>
                <w:b/>
              </w:rPr>
              <w:t xml:space="preserve">B</w:t>
            </w:r>
            <w:r>
              <w:t xml:space="preserve">) Quantification of HIF-1α band densities as in (A). (</w:t>
            </w:r>
            <w:r>
              <w:rPr>
                <w:bCs/>
                <w:b/>
              </w:rPr>
              <w:t xml:space="preserve">C</w:t>
            </w:r>
            <w:r>
              <w:t xml:space="preserve">) Quanitification of LDHA band densities as in (A). (</w:t>
            </w:r>
            <w:r>
              <w:rPr>
                <w:bCs/>
                <w:b/>
              </w:rPr>
              <w:t xml:space="preserve">D</w:t>
            </w:r>
            <w:r>
              <w:t xml:space="preserve">) GLUT1 mRNA levels were analyzed by RT-qPCR expressed as fold change relative to 21% siCTL cells. (</w:t>
            </w:r>
            <w:r>
              <w:rPr>
                <w:bCs/>
                <w:b/>
              </w:rPr>
              <w:t xml:space="preserve">E</w:t>
            </w:r>
            <w:r>
              <w:t xml:space="preserve">) LDHA mRNA levels by RT-qPCR. (</w:t>
            </w:r>
            <w:r>
              <w:rPr>
                <w:bCs/>
                <w:b/>
              </w:rPr>
              <w:t xml:space="preserve">F</w:t>
            </w:r>
            <w:r>
              <w:t xml:space="preserve">) Representative immunoblot of HIF-1α and LDHA protein levels in LFs treated with MYC (M) or YFP (Y) adenovirus in combination with BAY. (</w:t>
            </w:r>
            <w:r>
              <w:rPr>
                <w:bCs/>
                <w:b/>
              </w:rPr>
              <w:t xml:space="preserve">G</w:t>
            </w:r>
            <w:r>
              <w:t xml:space="preserve">) Quantification of HIF-1α band densities as in (F). (</w:t>
            </w:r>
            <w:r>
              <w:rPr>
                <w:bCs/>
                <w:b/>
              </w:rPr>
              <w:t xml:space="preserve">H</w:t>
            </w:r>
            <w:r>
              <w:t xml:space="preserve">) Quanitification of LDHA band densities as in (F). (</w:t>
            </w:r>
            <w:r>
              <w:rPr>
                <w:bCs/>
                <w:b/>
              </w:rPr>
              <w:t xml:space="preserve">I</w:t>
            </w:r>
            <w:r>
              <w:t xml:space="preserve">) GLUT1 mRNA levels were analyzed by RT-qPCR expressed as fold change relative to 21% siCTL cells. (</w:t>
            </w:r>
            <w:r>
              <w:rPr>
                <w:bCs/>
                <w:b/>
              </w:rPr>
              <w:t xml:space="preserve">J</w:t>
            </w:r>
            <w:r>
              <w:t xml:space="preserve">) LDHA mRNA levels by RT-qPCR. Data are mean ± SEM (n = 3-5,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705100" cy="1524000"/>
                  <wp:effectExtent b="0" l="0" r="0" t="0"/>
                  <wp:docPr descr="" title="" id="380" name="Picture"/>
                  <a:graphic>
                    <a:graphicData uri="http://schemas.openxmlformats.org/drawingml/2006/picture">
                      <pic:pic>
                        <pic:nvPicPr>
                          <pic:cNvPr descr="figs/Figure%2012.pdf" id="381" name="Picture"/>
                          <pic:cNvPicPr>
                            <a:picLocks noChangeArrowheads="1" noChangeAspect="1"/>
                          </pic:cNvPicPr>
                        </pic:nvPicPr>
                        <pic:blipFill>
                          <a:blip r:embed="rId379"/>
                          <a:stretch>
                            <a:fillRect/>
                          </a:stretch>
                        </pic:blipFill>
                        <pic:spPr bwMode="auto">
                          <a:xfrm>
                            <a:off x="0" y="0"/>
                            <a:ext cx="2705100" cy="152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12 - Total DNA as a surrogate for cell count.</w:t>
            </w:r>
            <w:r>
              <w:t xml:space="preserve"> </w:t>
            </w:r>
            <w:r>
              <w:t xml:space="preserve">(</w:t>
            </w:r>
            <w:r>
              <w:rPr>
                <w:bCs/>
                <w:b/>
              </w:rPr>
              <w:t xml:space="preserve">A</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B</w:t>
            </w:r>
            <w:r>
              <w:t xml:space="preserve">) Standard curve of PASMC cell count</w:t>
            </w:r>
            <w:r>
              <w:t xml:space="preserve"> </w:t>
            </w:r>
            <w:r>
              <w:rPr>
                <w:iCs/>
                <w:i/>
              </w:rPr>
              <w:t xml:space="preserve">v.</w:t>
            </w:r>
            <w:r>
              <w:t xml:space="preserve"> </w:t>
            </w:r>
            <w:r>
              <w:t xml:space="preserve">total DNA as in (A).</w:t>
            </w:r>
          </w:p>
        </w:tc>
      </w:tr>
    </w:tbl>
    <w:p>
      <w:r>
        <w:br w:type="page"/>
      </w:r>
    </w:p>
    <w:bookmarkEnd w:id="382"/>
    <w:bookmarkStart w:id="38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383"/>
    <w:bookmarkStart w:id="384" w:name="source-data-files"/>
    <w:p>
      <w:pPr>
        <w:pStyle w:val="Heading1"/>
      </w:pPr>
      <w:r>
        <w:t xml:space="preserve">Source data files</w:t>
      </w:r>
    </w:p>
    <w:p>
      <w:pPr>
        <w:pStyle w:val="FirstParagraph"/>
      </w:pPr>
      <w:r>
        <w:rPr>
          <w:bCs/>
          <w:b/>
        </w:rPr>
        <w:t xml:space="preserve">Figure 1 - source data 1</w:t>
      </w:r>
      <w:r>
        <w:t xml:space="preserve"> </w:t>
      </w:r>
      <w:r>
        <w:t xml:space="preserve">Uncropped blot images for Figure 1.</w:t>
      </w:r>
    </w:p>
    <w:p>
      <w:pPr>
        <w:pStyle w:val="BodyText"/>
      </w:pPr>
      <w:r>
        <w:rPr>
          <w:bCs/>
          <w:b/>
        </w:rPr>
        <w:t xml:space="preserve">Figure 1 - source data 2</w:t>
      </w:r>
      <w:r>
        <w:t xml:space="preserve"> </w:t>
      </w:r>
      <w:r>
        <w:t xml:space="preserve">Uncropped blot images for Figure 1 - figure supplement 3.</w:t>
      </w:r>
    </w:p>
    <w:p>
      <w:pPr>
        <w:pStyle w:val="BodyText"/>
      </w:pPr>
      <w:r>
        <w:rPr>
          <w:bCs/>
          <w:b/>
        </w:rPr>
        <w:t xml:space="preserve">Figure 1 - source data 3</w:t>
      </w:r>
      <w:r>
        <w:t xml:space="preserve"> </w:t>
      </w:r>
      <w:r>
        <w:t xml:space="preserve">Uncropped blot images for Figure 1 - figure supplement 4.</w:t>
      </w:r>
    </w:p>
    <w:p>
      <w:pPr>
        <w:pStyle w:val="BodyText"/>
      </w:pPr>
      <w:r>
        <w:rPr>
          <w:bCs/>
          <w:b/>
        </w:rPr>
        <w:t xml:space="preserve">Figure 2 - source data 1</w:t>
      </w:r>
      <w:r>
        <w:t xml:space="preserve"> </w:t>
      </w:r>
      <w:r>
        <w:t xml:space="preserve">Uncropped blot images for Figure 2.</w:t>
      </w:r>
    </w:p>
    <w:p>
      <w:pPr>
        <w:pStyle w:val="BodyText"/>
      </w:pPr>
      <w:r>
        <w:rPr>
          <w:bCs/>
          <w:b/>
        </w:rPr>
        <w:t xml:space="preserve">Figure 8 - source data 1</w:t>
      </w:r>
      <w:r>
        <w:t xml:space="preserve"> </w:t>
      </w:r>
      <w:r>
        <w:t xml:space="preserve">Uncropped blot images for Figure 8 - figure supplement 1.</w:t>
      </w:r>
    </w:p>
    <w:p>
      <w:pPr>
        <w:pStyle w:val="BodyText"/>
      </w:pPr>
      <w:r>
        <w:rPr>
          <w:bCs/>
          <w:b/>
        </w:rPr>
        <w:t xml:space="preserve">Figure 11 - source data 1</w:t>
      </w:r>
      <w:r>
        <w:t xml:space="preserve"> </w:t>
      </w:r>
      <w:r>
        <w:t xml:space="preserve">Uncropped blot images for Figure 11A.</w:t>
      </w:r>
    </w:p>
    <w:p>
      <w:pPr>
        <w:pStyle w:val="BodyText"/>
      </w:pPr>
      <w:r>
        <w:rPr>
          <w:bCs/>
          <w:b/>
        </w:rPr>
        <w:t xml:space="preserve">Figure 11 - source data 2</w:t>
      </w:r>
      <w:r>
        <w:t xml:space="preserve"> </w:t>
      </w:r>
      <w:r>
        <w:t xml:space="preserve">Uncropped blot images for Figures 11D and 11G.</w:t>
      </w:r>
    </w:p>
    <w:p>
      <w:pPr>
        <w:pStyle w:val="BodyText"/>
      </w:pPr>
      <w:r>
        <w:rPr>
          <w:bCs/>
          <w:b/>
        </w:rPr>
        <w:t xml:space="preserve">Figure 11 - source data 3</w:t>
      </w:r>
      <w:r>
        <w:t xml:space="preserve"> </w:t>
      </w:r>
      <w:r>
        <w:t xml:space="preserve">Uncropped blot images for Figure 11 - figure supplement 1.</w:t>
      </w:r>
    </w:p>
    <w:p>
      <w:pPr>
        <w:pStyle w:val="BodyText"/>
      </w:pPr>
      <w:r>
        <w:rPr>
          <w:bCs/>
          <w:b/>
        </w:rPr>
        <w:t xml:space="preserve">Figure 11 - source data 4</w:t>
      </w:r>
      <w:r>
        <w:t xml:space="preserve"> </w:t>
      </w:r>
      <w:r>
        <w:t xml:space="preserve">Uncropped blot images for Figure 11 - figure supplement 2.</w:t>
      </w:r>
    </w:p>
    <w:bookmarkEnd w:id="384"/>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85"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5" Target="media/rId295.pdf" /><Relationship Type="http://schemas.openxmlformats.org/officeDocument/2006/relationships/image" Id="rId298" Target="media/rId298.pdf" /><Relationship Type="http://schemas.openxmlformats.org/officeDocument/2006/relationships/image" Id="rId301" Target="media/rId301.pdf" /><Relationship Type="http://schemas.openxmlformats.org/officeDocument/2006/relationships/image" Id="rId304" Target="media/rId304.pdf" /><Relationship Type="http://schemas.openxmlformats.org/officeDocument/2006/relationships/image" Id="rId292" Target="media/rId292.pdf" /><Relationship Type="http://schemas.openxmlformats.org/officeDocument/2006/relationships/image" Id="rId307" Target="media/rId307.pdf" /><Relationship Type="http://schemas.openxmlformats.org/officeDocument/2006/relationships/image" Id="rId310" Target="media/rId310.pdf" /><Relationship Type="http://schemas.openxmlformats.org/officeDocument/2006/relationships/image" Id="rId316" Target="media/rId316.pdf" /><Relationship Type="http://schemas.openxmlformats.org/officeDocument/2006/relationships/image" Id="rId319" Target="media/rId319.pdf" /><Relationship Type="http://schemas.openxmlformats.org/officeDocument/2006/relationships/image" Id="rId313" Target="media/rId313.pdf" /><Relationship Type="http://schemas.openxmlformats.org/officeDocument/2006/relationships/image" Id="rId325" Target="media/rId325.pdf" /><Relationship Type="http://schemas.openxmlformats.org/officeDocument/2006/relationships/image" Id="rId328" Target="media/rId328.pdf" /><Relationship Type="http://schemas.openxmlformats.org/officeDocument/2006/relationships/image" Id="rId331" Target="media/rId331.pdf" /><Relationship Type="http://schemas.openxmlformats.org/officeDocument/2006/relationships/image" Id="rId334" Target="media/rId334.pdf" /><Relationship Type="http://schemas.openxmlformats.org/officeDocument/2006/relationships/image" Id="rId337" Target="media/rId337.pdf" /><Relationship Type="http://schemas.openxmlformats.org/officeDocument/2006/relationships/image" Id="rId322" Target="media/rId322.pdf" /><Relationship Type="http://schemas.openxmlformats.org/officeDocument/2006/relationships/image" Id="rId340" Target="media/rId340.pdf" /><Relationship Type="http://schemas.openxmlformats.org/officeDocument/2006/relationships/image" Id="rId343" Target="media/rId343.pdf" /><Relationship Type="http://schemas.openxmlformats.org/officeDocument/2006/relationships/image" Id="rId349" Target="media/rId349.pdf" /><Relationship Type="http://schemas.openxmlformats.org/officeDocument/2006/relationships/image" Id="rId346" Target="media/rId346.pdf" /><Relationship Type="http://schemas.openxmlformats.org/officeDocument/2006/relationships/image" Id="rId355" Target="media/rId355.pdf" /><Relationship Type="http://schemas.openxmlformats.org/officeDocument/2006/relationships/image" Id="rId358" Target="media/rId358.pdf" /><Relationship Type="http://schemas.openxmlformats.org/officeDocument/2006/relationships/image" Id="rId352" Target="media/rId352.pdf" /><Relationship Type="http://schemas.openxmlformats.org/officeDocument/2006/relationships/image" Id="rId364" Target="media/rId364.pdf" /><Relationship Type="http://schemas.openxmlformats.org/officeDocument/2006/relationships/image" Id="rId367" Target="media/rId367.pdf" /><Relationship Type="http://schemas.openxmlformats.org/officeDocument/2006/relationships/image" Id="rId361" Target="media/rId361.pdf" /><Relationship Type="http://schemas.openxmlformats.org/officeDocument/2006/relationships/image" Id="rId373" Target="media/rId373.pdf" /><Relationship Type="http://schemas.openxmlformats.org/officeDocument/2006/relationships/image" Id="rId376" Target="media/rId376.pdf" /><Relationship Type="http://schemas.openxmlformats.org/officeDocument/2006/relationships/image" Id="rId370" Target="media/rId370.pdf" /><Relationship Type="http://schemas.openxmlformats.org/officeDocument/2006/relationships/image" Id="rId379" Target="media/rId379.pdf" /><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6" Target="https://doi.org/10.1007/978-1-62703-661-0_7" TargetMode="External" /><Relationship Type="http://schemas.openxmlformats.org/officeDocument/2006/relationships/hyperlink" Id="rId280" Target="https://doi.org/10.1007/s00109-019-01751-7" TargetMode="External" /><Relationship Type="http://schemas.openxmlformats.org/officeDocument/2006/relationships/hyperlink" Id="rId249"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4" Target="https://doi.org/10.1016/j.ccr.2007.04.001" TargetMode="External" /><Relationship Type="http://schemas.openxmlformats.org/officeDocument/2006/relationships/hyperlink" Id="rId241"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8" Target="https://doi.org/10.1016/j.jbiotec.2010.09.944" TargetMode="External" /><Relationship Type="http://schemas.openxmlformats.org/officeDocument/2006/relationships/hyperlink" Id="rId288"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2"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4"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3"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31"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8"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7"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2"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70" Target="https://doi.org/10.1089/ars.2017.7216" TargetMode="External" /><Relationship Type="http://schemas.openxmlformats.org/officeDocument/2006/relationships/hyperlink" Id="rId274" Target="https://doi.org/10.1093/bioinformatics/btu015" TargetMode="External" /><Relationship Type="http://schemas.openxmlformats.org/officeDocument/2006/relationships/hyperlink" Id="rId235"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3"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9"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5"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2"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2"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6"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7" Target="https://doi.org/10.1158/2159-8290.CD-15-0507" TargetMode="External" /><Relationship Type="http://schemas.openxmlformats.org/officeDocument/2006/relationships/hyperlink" Id="rId256"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6"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8"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4" Target="https://doi.org/10.1529/biophysj.106.099895" TargetMode="External" /><Relationship Type="http://schemas.openxmlformats.org/officeDocument/2006/relationships/hyperlink" Id="rId260"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29"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6" Target="https://doi.org/10.1007/978-1-62703-661-0_7" TargetMode="External" /><Relationship Type="http://schemas.openxmlformats.org/officeDocument/2006/relationships/hyperlink" Id="rId280" Target="https://doi.org/10.1007/s00109-019-01751-7" TargetMode="External" /><Relationship Type="http://schemas.openxmlformats.org/officeDocument/2006/relationships/hyperlink" Id="rId249"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4" Target="https://doi.org/10.1016/j.ccr.2007.04.001" TargetMode="External" /><Relationship Type="http://schemas.openxmlformats.org/officeDocument/2006/relationships/hyperlink" Id="rId241"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8" Target="https://doi.org/10.1016/j.jbiotec.2010.09.944" TargetMode="External" /><Relationship Type="http://schemas.openxmlformats.org/officeDocument/2006/relationships/hyperlink" Id="rId288"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2"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4"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3"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31"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8"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7"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2"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70" Target="https://doi.org/10.1089/ars.2017.7216" TargetMode="External" /><Relationship Type="http://schemas.openxmlformats.org/officeDocument/2006/relationships/hyperlink" Id="rId274" Target="https://doi.org/10.1093/bioinformatics/btu015" TargetMode="External" /><Relationship Type="http://schemas.openxmlformats.org/officeDocument/2006/relationships/hyperlink" Id="rId235"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3"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9"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5"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2"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2"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6"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7" Target="https://doi.org/10.1158/2159-8290.CD-15-0507" TargetMode="External" /><Relationship Type="http://schemas.openxmlformats.org/officeDocument/2006/relationships/hyperlink" Id="rId256"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6"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8"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4" Target="https://doi.org/10.1529/biophysj.106.099895" TargetMode="External" /><Relationship Type="http://schemas.openxmlformats.org/officeDocument/2006/relationships/hyperlink" Id="rId260"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29"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2023-05-17T00:22:27Z</dcterms:created>
  <dcterms:modified xsi:type="dcterms:W3CDTF">2023-05-17T00:22:27Z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