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27.pdf" ContentType="application/pdf"/>
  <Override PartName="/word/media/rId130.pdf" ContentType="application/pdf"/>
  <Override PartName="/word/media/rId133.pdf" ContentType="application/pdf"/>
  <Override PartName="/word/media/rId124.pdf" ContentType="application/pdf"/>
  <Override PartName="/word/media/rId136.pdf" ContentType="application/pdf"/>
  <Override PartName="/word/media/rId139.pdf" ContentType="application/pdf"/>
  <Override PartName="/word/media/rId142.pdf" ContentType="application/pdf"/>
  <Override PartName="/word/media/rId145.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human lung fibroblasts and pulmonary artery smooth muscle cells proliferating in hypoxia. Unexpectedly, hypoxia decreased glycolysis despite activation of hypoxia-inducible factor 1α (HIF-1α) and increased glycolytic enzyme expression. While HIF-1α activation by prolyl hydroxylase (PHD) inhibition did increase glycolysis in normoxia, this effect was abrogated by hypoxia. Multi-omic profiling revealed distinct molecular responses to hypoxia and PHD inhibition, suggesting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(Kaelin and Ratcliffe, 2008)</w:t>
      </w:r>
      <w:r>
        <w:t xml:space="preserve">.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and how these adaptations are regulated are active areas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0"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From this starting point, we identified the optimal cell seeding density and time course to capture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 calculations incorporated cell growth rate, extracellular metabolite concentrations, metabolite degradation rates, and medium evaporation rate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increased in HIF-1α, GLUT1, and LDHA, to a similar degree, the glycolytic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overall, changes in extracellular fluxes were modest, with hypoxia generally decreasing the fluxes of all measured metabolites. These findings were similar with 0.2% oxygen exposure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Approximately 10% of cytoplasmic pyruvate enters the TCA cycle with the balance converted to lactate. Consistent with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on decreasing serine and glutamine uptake as hypoxia.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generally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Figure 2B-C</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(Wiechert, 2007)</w:t>
      </w:r>
      <w:r>
        <w:t xml:space="preserve">, two observations are worth highlighting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Figure 7A</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(Contreras-Baeza et al., 2019)</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 As predicted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Figure 4 - figure supplement 2</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Figure 8</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demonstrate that hypoxia antagonizes the effects of HIF-1α activation on glycolytic flux in these cells.</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increaes in glycolysis (</w:t>
      </w:r>
      <w:r>
        <w:rPr>
          <w:bCs/>
          <w:b/>
        </w:rPr>
        <w:t xml:space="preserve">Figure 8 - figure supplement 1F</w:t>
      </w:r>
      <w:r>
        <w:t xml:space="preserve">). These data indicate that the metabolic consequences of PHD2 inhibition in normoxia and hypoxia are not simply a consequence of off-target effects of BAY treatment.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Figure 9 - figure supplement 1</w:t>
      </w:r>
      <w:r>
        <w:t xml:space="preserve">). Of 133 total metabolites, 98 were differentially regulated by hypoxia and 54 were differentially regulated by BAY. Of these, 44 were modulated by both 0.5% oxygen and BAY treatment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 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r>
        <w:br w:type="page"/>
      </w:r>
    </w:p>
    <w:bookmarkEnd w:id="29"/>
    <w:bookmarkEnd w:id="30"/>
    <w:bookmarkStart w:id="31"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31"/>
    <w:bookmarkStart w:id="32"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32"/>
    <w:bookmarkStart w:id="33"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33"/>
    <w:bookmarkStart w:id="123" w:name="references"/>
    <w:p>
      <w:pPr>
        <w:pStyle w:val="Heading1"/>
      </w:pPr>
      <w:r>
        <w:t xml:space="preserve">References</w:t>
      </w:r>
    </w:p>
    <w:bookmarkStart w:id="122" w:name="refs"/>
    <w:bookmarkStart w:id="35"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34">
        <w:r>
          <w:rPr>
            <w:rStyle w:val="Hyperlink"/>
          </w:rPr>
          <w:t xml:space="preserve">10.1016/j.ymben.2011.07.002</w:t>
        </w:r>
      </w:hyperlink>
    </w:p>
    <w:bookmarkEnd w:id="35"/>
    <w:bookmarkStart w:id="37"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36">
        <w:r>
          <w:rPr>
            <w:rStyle w:val="Hyperlink"/>
          </w:rPr>
          <w:t xml:space="preserve">10.1038/s12276-018-0060-y</w:t>
        </w:r>
      </w:hyperlink>
    </w:p>
    <w:bookmarkEnd w:id="37"/>
    <w:bookmarkStart w:id="39"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38">
        <w:r>
          <w:rPr>
            <w:rStyle w:val="Hyperlink"/>
          </w:rPr>
          <w:t xml:space="preserve">10.1016/j.copbio.2015.02.003</w:t>
        </w:r>
      </w:hyperlink>
    </w:p>
    <w:bookmarkEnd w:id="39"/>
    <w:bookmarkStart w:id="41"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40">
        <w:r>
          <w:rPr>
            <w:rStyle w:val="Hyperlink"/>
          </w:rPr>
          <w:t xml:space="preserve">10.1152/ajplung.00183.2009</w:t>
        </w:r>
      </w:hyperlink>
    </w:p>
    <w:bookmarkEnd w:id="41"/>
    <w:bookmarkStart w:id="43" w:name="ref-contreras-baeza2019"/>
    <w:p>
      <w:pPr>
        <w:pStyle w:val="Bibliography"/>
      </w:pPr>
      <w:r>
        <w:t xml:space="preserve">Contreras-Baeza Y, Sandoval PY, Alarcón R, Galaz A, Cortés-Molina F, Alegría K, Baeza-Lehnert F, Arce-Molina R, Guequén A, Flores CA, San Martín A, Barros LF. 2019. Monocarboxylate transporter 4 (</w:t>
      </w:r>
      <w:r>
        <w:t xml:space="preserve">MCT4</w:t>
      </w:r>
      <w:r>
        <w:t xml:space="preserve">) is a high affinity transporter capable of exporting lactate in high-lactate microenvironments.</w:t>
      </w:r>
      <w:r>
        <w:t xml:space="preserve"> </w:t>
      </w:r>
      <w:r>
        <w:rPr>
          <w:iCs/>
          <w:i/>
        </w:rPr>
        <w:t xml:space="preserve">J Biol Chem</w:t>
      </w:r>
      <w:r>
        <w:t xml:space="preserve"> </w:t>
      </w:r>
      <w:r>
        <w:rPr>
          <w:bCs/>
          <w:b/>
        </w:rPr>
        <w:t xml:space="preserve">294</w:t>
      </w:r>
      <w:r>
        <w:t xml:space="preserve">:20135–20147. doi:</w:t>
      </w:r>
      <w:hyperlink r:id="rId42">
        <w:r>
          <w:rPr>
            <w:rStyle w:val="Hyperlink"/>
          </w:rPr>
          <w:t xml:space="preserve">10.1074/jbc.RA119.009093</w:t>
        </w:r>
      </w:hyperlink>
    </w:p>
    <w:bookmarkEnd w:id="43"/>
    <w:bookmarkStart w:id="45"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44">
        <w:r>
          <w:rPr>
            <w:rStyle w:val="Hyperlink"/>
          </w:rPr>
          <w:t xml:space="preserve">10.1371/journal.pone.0145850</w:t>
        </w:r>
      </w:hyperlink>
    </w:p>
    <w:bookmarkEnd w:id="45"/>
    <w:bookmarkStart w:id="4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46">
        <w:r>
          <w:rPr>
            <w:rStyle w:val="Hyperlink"/>
          </w:rPr>
          <w:t xml:space="preserve">10.1038/msb.2013.65</w:t>
        </w:r>
      </w:hyperlink>
    </w:p>
    <w:bookmarkEnd w:id="47"/>
    <w:bookmarkStart w:id="49"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48">
        <w:r>
          <w:rPr>
            <w:rStyle w:val="Hyperlink"/>
          </w:rPr>
          <w:t xml:space="preserve">10.1016/j.cell.2017.09.019</w:t>
        </w:r>
      </w:hyperlink>
    </w:p>
    <w:bookmarkEnd w:id="49"/>
    <w:bookmarkStart w:id="51"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50">
        <w:r>
          <w:rPr>
            <w:rStyle w:val="Hyperlink"/>
          </w:rPr>
          <w:t xml:space="preserve">10.1016/j.cmet.2012.10.017</w:t>
        </w:r>
      </w:hyperlink>
    </w:p>
    <w:bookmarkEnd w:id="51"/>
    <w:bookmarkStart w:id="5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52">
        <w:r>
          <w:rPr>
            <w:rStyle w:val="Hyperlink"/>
          </w:rPr>
          <w:t xml:space="preserve">10.1371/journal.pone.0111838</w:t>
        </w:r>
      </w:hyperlink>
    </w:p>
    <w:bookmarkEnd w:id="53"/>
    <w:bookmarkStart w:id="55"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54">
        <w:r>
          <w:rPr>
            <w:rStyle w:val="Hyperlink"/>
          </w:rPr>
          <w:t xml:space="preserve">10.1016/j.cmet.2013.02.002</w:t>
        </w:r>
      </w:hyperlink>
    </w:p>
    <w:bookmarkEnd w:id="55"/>
    <w:bookmarkStart w:id="57"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56">
        <w:r>
          <w:rPr>
            <w:rStyle w:val="Hyperlink"/>
          </w:rPr>
          <w:t xml:space="preserve">10.1038/s41556-018-0118-z</w:t>
        </w:r>
      </w:hyperlink>
    </w:p>
    <w:bookmarkEnd w:id="57"/>
    <w:bookmarkStart w:id="59"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58">
        <w:r>
          <w:rPr>
            <w:rStyle w:val="Hyperlink"/>
          </w:rPr>
          <w:t xml:space="preserve">10.1074/jbc.M010189200</w:t>
        </w:r>
      </w:hyperlink>
    </w:p>
    <w:bookmarkEnd w:id="59"/>
    <w:bookmarkStart w:id="61"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60">
        <w:r>
          <w:rPr>
            <w:rStyle w:val="Hyperlink"/>
          </w:rPr>
          <w:t xml:space="preserve">10.1152/ajpcell.00279.2015</w:t>
        </w:r>
      </w:hyperlink>
    </w:p>
    <w:bookmarkEnd w:id="61"/>
    <w:bookmarkStart w:id="63"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62">
        <w:r>
          <w:rPr>
            <w:rStyle w:val="Hyperlink"/>
          </w:rPr>
          <w:t xml:space="preserve">10.1016/j.cmet.2020.07.013</w:t>
        </w:r>
      </w:hyperlink>
    </w:p>
    <w:bookmarkEnd w:id="63"/>
    <w:bookmarkStart w:id="65"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64">
        <w:r>
          <w:rPr>
            <w:rStyle w:val="Hyperlink"/>
          </w:rPr>
          <w:t xml:space="preserve">10.1038/nature24057</w:t>
        </w:r>
      </w:hyperlink>
    </w:p>
    <w:bookmarkEnd w:id="65"/>
    <w:bookmarkStart w:id="67"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66">
        <w:r>
          <w:rPr>
            <w:rStyle w:val="Hyperlink"/>
          </w:rPr>
          <w:t xml:space="preserve">10.1016/j.cell.2020.03.029</w:t>
        </w:r>
      </w:hyperlink>
    </w:p>
    <w:bookmarkEnd w:id="67"/>
    <w:bookmarkStart w:id="69"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68">
        <w:r>
          <w:rPr>
            <w:rStyle w:val="Hyperlink"/>
          </w:rPr>
          <w:t xml:space="preserve">10.1007/978-1-62703-299-5_18</w:t>
        </w:r>
      </w:hyperlink>
    </w:p>
    <w:bookmarkEnd w:id="69"/>
    <w:bookmarkStart w:id="71"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70">
        <w:r>
          <w:rPr>
            <w:rStyle w:val="Hyperlink"/>
          </w:rPr>
          <w:t xml:space="preserve">10.1038/nature17393</w:t>
        </w:r>
      </w:hyperlink>
    </w:p>
    <w:bookmarkEnd w:id="71"/>
    <w:bookmarkStart w:id="73" w:name="ref-kaelin2008"/>
    <w:p>
      <w:pPr>
        <w:pStyle w:val="Bibliography"/>
      </w:pPr>
      <w:r>
        <w:t xml:space="preserve">Kaelin WG, Ratcliffe PJ. 2008. Oxygen sensing by metazoans: The central role of the</w:t>
      </w:r>
      <w:r>
        <w:t xml:space="preserve"> </w:t>
      </w:r>
      <w:r>
        <w:t xml:space="preserve">HIF</w:t>
      </w:r>
      <w:r>
        <w:t xml:space="preserve"> </w:t>
      </w:r>
      <w:r>
        <w:t xml:space="preserve">hydroxylase pathway.</w:t>
      </w:r>
      <w:r>
        <w:t xml:space="preserve"> </w:t>
      </w:r>
      <w:r>
        <w:rPr>
          <w:iCs/>
          <w:i/>
        </w:rPr>
        <w:t xml:space="preserve">Mol Cell</w:t>
      </w:r>
      <w:r>
        <w:t xml:space="preserve"> </w:t>
      </w:r>
      <w:r>
        <w:rPr>
          <w:bCs/>
          <w:b/>
        </w:rPr>
        <w:t xml:space="preserve">30</w:t>
      </w:r>
      <w:r>
        <w:t xml:space="preserve">:393–402. doi:</w:t>
      </w:r>
      <w:hyperlink r:id="rId72">
        <w:r>
          <w:rPr>
            <w:rStyle w:val="Hyperlink"/>
          </w:rPr>
          <w:t xml:space="preserve">10.1016/j.molcel.2008.04.009</w:t>
        </w:r>
      </w:hyperlink>
    </w:p>
    <w:bookmarkEnd w:id="73"/>
    <w:bookmarkStart w:id="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74">
        <w:r>
          <w:rPr>
            <w:rStyle w:val="Hyperlink"/>
          </w:rPr>
          <w:t xml:space="preserve">10.1038/sj.emboj.7600196</w:t>
        </w:r>
      </w:hyperlink>
    </w:p>
    <w:bookmarkEnd w:id="75"/>
    <w:bookmarkStart w:id="77"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76">
        <w:r>
          <w:rPr>
            <w:rStyle w:val="Hyperlink"/>
          </w:rPr>
          <w:t xml:space="preserve">10.1016/j.cmet.2011.12.009</w:t>
        </w:r>
      </w:hyperlink>
    </w:p>
    <w:bookmarkEnd w:id="77"/>
    <w:bookmarkStart w:id="79"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78">
        <w:r>
          <w:rPr>
            <w:rStyle w:val="Hyperlink"/>
          </w:rPr>
          <w:t xml:space="preserve">10.1038/s12276-019-0235-1</w:t>
        </w:r>
      </w:hyperlink>
    </w:p>
    <w:bookmarkEnd w:id="79"/>
    <w:bookmarkStart w:id="81"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80">
        <w:r>
          <w:rPr>
            <w:rStyle w:val="Hyperlink"/>
          </w:rPr>
          <w:t xml:space="preserve">10.1038/s41580-020-0227-y</w:t>
        </w:r>
      </w:hyperlink>
    </w:p>
    <w:bookmarkEnd w:id="81"/>
    <w:bookmarkStart w:id="83"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82">
        <w:r>
          <w:rPr>
            <w:rStyle w:val="Hyperlink"/>
          </w:rPr>
          <w:t xml:space="preserve">10.1038/s41467-019-09352-1</w:t>
        </w:r>
      </w:hyperlink>
    </w:p>
    <w:bookmarkEnd w:id="83"/>
    <w:bookmarkStart w:id="85"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84">
        <w:r>
          <w:rPr>
            <w:rStyle w:val="Hyperlink"/>
          </w:rPr>
          <w:t xml:space="preserve">10.1152/ajpendo.2001.280.1.E75</w:t>
        </w:r>
      </w:hyperlink>
    </w:p>
    <w:bookmarkEnd w:id="85"/>
    <w:bookmarkStart w:id="87"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86">
        <w:r>
          <w:rPr>
            <w:rStyle w:val="Hyperlink"/>
          </w:rPr>
          <w:t xml:space="preserve">10.3390/ijms141224029</w:t>
        </w:r>
      </w:hyperlink>
    </w:p>
    <w:bookmarkEnd w:id="87"/>
    <w:bookmarkStart w:id="89"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88">
        <w:r>
          <w:rPr>
            <w:rStyle w:val="Hyperlink"/>
          </w:rPr>
          <w:t xml:space="preserve">10.3389/fphys.2021.702826</w:t>
        </w:r>
      </w:hyperlink>
    </w:p>
    <w:bookmarkEnd w:id="89"/>
    <w:bookmarkStart w:id="91"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90">
        <w:r>
          <w:rPr>
            <w:rStyle w:val="Hyperlink"/>
          </w:rPr>
          <w:t xml:space="preserve">10.1016/j.celrep.2019.01.106</w:t>
        </w:r>
      </w:hyperlink>
    </w:p>
    <w:bookmarkEnd w:id="91"/>
    <w:bookmarkStart w:id="93"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92">
        <w:r>
          <w:rPr>
            <w:rStyle w:val="Hyperlink"/>
          </w:rPr>
          <w:t xml:space="preserve">10.1038/nature10602</w:t>
        </w:r>
      </w:hyperlink>
    </w:p>
    <w:bookmarkEnd w:id="93"/>
    <w:bookmarkStart w:id="95"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94">
        <w:r>
          <w:rPr>
            <w:rStyle w:val="Hyperlink"/>
          </w:rPr>
          <w:t xml:space="preserve">10.1002/bit.24836</w:t>
        </w:r>
      </w:hyperlink>
    </w:p>
    <w:bookmarkEnd w:id="95"/>
    <w:bookmarkStart w:id="97"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96">
        <w:r>
          <w:rPr>
            <w:rStyle w:val="Hyperlink"/>
          </w:rPr>
          <w:t xml:space="preserve">10.1016/j.cmet.2015.06.021</w:t>
        </w:r>
      </w:hyperlink>
    </w:p>
    <w:bookmarkEnd w:id="97"/>
    <w:bookmarkStart w:id="99"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98">
        <w:r>
          <w:rPr>
            <w:rStyle w:val="Hyperlink"/>
          </w:rPr>
          <w:t xml:space="preserve">10.1016/j.biochi.2020.02.002</w:t>
        </w:r>
      </w:hyperlink>
    </w:p>
    <w:bookmarkEnd w:id="99"/>
    <w:bookmarkStart w:id="101"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100">
        <w:r>
          <w:rPr>
            <w:rStyle w:val="Hyperlink"/>
          </w:rPr>
          <w:t xml:space="preserve">10.3389/fonc.2012.00018</w:t>
        </w:r>
      </w:hyperlink>
    </w:p>
    <w:bookmarkEnd w:id="101"/>
    <w:bookmarkStart w:id="103"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102">
        <w:r>
          <w:rPr>
            <w:rStyle w:val="Hyperlink"/>
          </w:rPr>
          <w:t xml:space="preserve">10.1074/jbc.M111.282046</w:t>
        </w:r>
      </w:hyperlink>
    </w:p>
    <w:bookmarkEnd w:id="103"/>
    <w:bookmarkStart w:id="105"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104">
        <w:r>
          <w:rPr>
            <w:rStyle w:val="Hyperlink"/>
          </w:rPr>
          <w:t xml:space="preserve">10.1016/j.cell.2012.01.021</w:t>
        </w:r>
      </w:hyperlink>
    </w:p>
    <w:bookmarkEnd w:id="105"/>
    <w:bookmarkStart w:id="107"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106">
        <w:r>
          <w:rPr>
            <w:rStyle w:val="Hyperlink"/>
          </w:rPr>
          <w:t xml:space="preserve">10.1007/s11010-017-3069-y</w:t>
        </w:r>
      </w:hyperlink>
    </w:p>
    <w:bookmarkEnd w:id="107"/>
    <w:bookmarkStart w:id="10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108">
        <w:r>
          <w:rPr>
            <w:rStyle w:val="Hyperlink"/>
          </w:rPr>
          <w:t xml:space="preserve">10.2147/HP.S92198</w:t>
        </w:r>
      </w:hyperlink>
    </w:p>
    <w:bookmarkEnd w:id="109"/>
    <w:bookmarkStart w:id="11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110">
        <w:r>
          <w:rPr>
            <w:rStyle w:val="Hyperlink"/>
          </w:rPr>
          <w:t xml:space="preserve">10.1152/ajpcell.00485.2010</w:t>
        </w:r>
      </w:hyperlink>
    </w:p>
    <w:bookmarkEnd w:id="111"/>
    <w:bookmarkStart w:id="11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112">
        <w:r>
          <w:rPr>
            <w:rStyle w:val="Hyperlink"/>
          </w:rPr>
          <w:t xml:space="preserve">10.1529/biophysj.106.099895</w:t>
        </w:r>
      </w:hyperlink>
    </w:p>
    <w:bookmarkEnd w:id="113"/>
    <w:bookmarkStart w:id="115"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114">
        <w:r>
          <w:rPr>
            <w:rStyle w:val="Hyperlink"/>
          </w:rPr>
          <w:t xml:space="preserve">10.1073/pnas.1117773108</w:t>
        </w:r>
      </w:hyperlink>
    </w:p>
    <w:bookmarkEnd w:id="115"/>
    <w:bookmarkStart w:id="117"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116">
        <w:r>
          <w:rPr>
            <w:rStyle w:val="Hyperlink"/>
          </w:rPr>
          <w:t xml:space="preserve">10.1152/ajplung.00117.2016</w:t>
        </w:r>
      </w:hyperlink>
    </w:p>
    <w:bookmarkEnd w:id="117"/>
    <w:bookmarkStart w:id="119"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118">
        <w:r>
          <w:rPr>
            <w:rStyle w:val="Hyperlink"/>
          </w:rPr>
          <w:t xml:space="preserve">10.1093/bioinformatics/btu015</w:t>
        </w:r>
      </w:hyperlink>
    </w:p>
    <w:bookmarkEnd w:id="119"/>
    <w:bookmarkStart w:id="121"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120">
        <w:r>
          <w:rPr>
            <w:rStyle w:val="Hyperlink"/>
          </w:rPr>
          <w:t xml:space="preserve">10.1007/978-1-62703-661-0_7</w:t>
        </w:r>
      </w:hyperlink>
    </w:p>
    <w:bookmarkEnd w:id="121"/>
    <w:bookmarkEnd w:id="122"/>
    <w:p>
      <w:r>
        <w:br w:type="page"/>
      </w:r>
    </w:p>
    <w:bookmarkEnd w:id="123"/>
    <w:bookmarkStart w:id="148" w:name="figures"/>
    <w:p>
      <w:pPr>
        <w:pStyle w:val="Heading1"/>
      </w:pPr>
      <w:r>
        <w:t xml:space="preserve">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25" name="Picture"/>
                  <a:graphic>
                    <a:graphicData uri="http://schemas.openxmlformats.org/drawingml/2006/picture">
                      <pic:pic>
                        <pic:nvPicPr>
                          <pic:cNvPr descr="figs/Figure%201.pdf" id="126" name="Picture"/>
                          <pic:cNvPicPr>
                            <a:picLocks noChangeArrowheads="1" noChangeAspect="1"/>
                          </pic:cNvPicPr>
                        </pic:nvPicPr>
                        <pic:blipFill>
                          <a:blip r:embed="rId124"/>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140200" cy="2971800"/>
                  <wp:effectExtent b="0" l="0" r="0" t="0"/>
                  <wp:docPr descr="" title="" id="128" name="Picture"/>
                  <a:graphic>
                    <a:graphicData uri="http://schemas.openxmlformats.org/drawingml/2006/picture">
                      <pic:pic>
                        <pic:nvPicPr>
                          <pic:cNvPr descr="figs/Figure%201%20-%20figure%20supplement%201.pdf" id="129" name="Picture"/>
                          <pic:cNvPicPr>
                            <a:picLocks noChangeArrowheads="1" noChangeAspect="1"/>
                          </pic:cNvPicPr>
                        </pic:nvPicPr>
                        <pic:blipFill>
                          <a:blip r:embed="rId127"/>
                          <a:stretch>
                            <a:fillRect/>
                          </a:stretch>
                        </pic:blipFill>
                        <pic:spPr bwMode="auto">
                          <a:xfrm>
                            <a:off x="0" y="0"/>
                            <a:ext cx="41402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w:t>
            </w:r>
            <w:r>
              <w:rPr>
                <w:iCs/>
                <w:i/>
              </w:rPr>
              <w:t xml:space="preserve">) based on a probability value &lt; 0.05 using Student’s one-sample</w:t>
            </w:r>
            <w:r>
              <w:rPr>
                <w:iCs/>
                <w:i/>
              </w:rPr>
              <w:t xml:space="preserve"> </w:t>
            </w:r>
            <w:r>
              <w:t xml:space="preserve">t*-test were incorporated into flux calculations.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1" name="Picture"/>
                  <a:graphic>
                    <a:graphicData uri="http://schemas.openxmlformats.org/drawingml/2006/picture">
                      <pic:pic>
                        <pic:nvPicPr>
                          <pic:cNvPr descr="figs/Figure%201%20-%20figure%20supplement%203.pdf" id="132" name="Picture"/>
                          <pic:cNvPicPr>
                            <a:picLocks noChangeArrowheads="1" noChangeAspect="1"/>
                          </pic:cNvPicPr>
                        </pic:nvPicPr>
                        <pic:blipFill>
                          <a:blip r:embed="rId130"/>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10100" cy="5676900"/>
                  <wp:effectExtent b="0" l="0" r="0" t="0"/>
                  <wp:docPr descr="" title="" id="134" name="Picture"/>
                  <a:graphic>
                    <a:graphicData uri="http://schemas.openxmlformats.org/drawingml/2006/picture">
                      <pic:pic>
                        <pic:nvPicPr>
                          <pic:cNvPr descr="figs/Figure%201%20-%20figure%20supplement%204.pdf" id="135" name="Picture"/>
                          <pic:cNvPicPr>
                            <a:picLocks noChangeArrowheads="1" noChangeAspect="1"/>
                          </pic:cNvPicPr>
                        </pic:nvPicPr>
                        <pic:blipFill>
                          <a:blip r:embed="rId133"/>
                          <a:stretch>
                            <a:fillRect/>
                          </a:stretch>
                        </pic:blipFill>
                        <pic:spPr bwMode="auto">
                          <a:xfrm>
                            <a:off x="0" y="0"/>
                            <a:ext cx="46101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7" name="Picture"/>
                  <a:graphic>
                    <a:graphicData uri="http://schemas.openxmlformats.org/drawingml/2006/picture">
                      <pic:pic>
                        <pic:nvPicPr>
                          <pic:cNvPr descr="figs/Figure%202.pdf" id="138" name="Picture"/>
                          <pic:cNvPicPr>
                            <a:picLocks noChangeArrowheads="1" noChangeAspect="1"/>
                          </pic:cNvPicPr>
                        </pic:nvPicPr>
                        <pic:blipFill>
                          <a:blip r:embed="rId136"/>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1816100"/>
                  <wp:effectExtent b="0" l="0" r="0" t="0"/>
                  <wp:docPr descr="" title="" id="140" name="Picture"/>
                  <a:graphic>
                    <a:graphicData uri="http://schemas.openxmlformats.org/drawingml/2006/picture">
                      <pic:pic>
                        <pic:nvPicPr>
                          <pic:cNvPr descr="figs/Figure%203.pdf" id="141" name="Picture"/>
                          <pic:cNvPicPr>
                            <a:picLocks noChangeArrowheads="1" noChangeAspect="1"/>
                          </pic:cNvPicPr>
                        </pic:nvPicPr>
                        <pic:blipFill>
                          <a:blip r:embed="rId139"/>
                          <a:stretch>
                            <a:fillRect/>
                          </a:stretch>
                        </pic:blipFill>
                        <pic:spPr bwMode="auto">
                          <a:xfrm>
                            <a:off x="0" y="0"/>
                            <a:ext cx="2857500" cy="18161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03700" cy="3632200"/>
                  <wp:effectExtent b="0" l="0" r="0" t="0"/>
                  <wp:docPr descr="" title="" id="143" name="Picture"/>
                  <a:graphic>
                    <a:graphicData uri="http://schemas.openxmlformats.org/drawingml/2006/picture">
                      <pic:pic>
                        <pic:nvPicPr>
                          <pic:cNvPr descr="figs/Figure%204.pdf" id="144" name="Picture"/>
                          <pic:cNvPicPr>
                            <a:picLocks noChangeArrowheads="1" noChangeAspect="1"/>
                          </pic:cNvPicPr>
                        </pic:nvPicPr>
                        <pic:blipFill>
                          <a:blip r:embed="rId142"/>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06700" cy="1612900"/>
                  <wp:effectExtent b="0" l="0" r="0" t="0"/>
                  <wp:docPr descr="" title="" id="146" name="Picture"/>
                  <a:graphic>
                    <a:graphicData uri="http://schemas.openxmlformats.org/drawingml/2006/picture">
                      <pic:pic>
                        <pic:nvPicPr>
                          <pic:cNvPr descr="figs/Figure%206.pdf" id="147" name="Picture"/>
                          <pic:cNvPicPr>
                            <a:picLocks noChangeArrowheads="1" noChangeAspect="1"/>
                          </pic:cNvPicPr>
                        </pic:nvPicPr>
                        <pic:blipFill>
                          <a:blip r:embed="rId145"/>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This yields M+5 citrate. (</w:t>
            </w:r>
            <w:r>
              <w:rPr>
                <w:bCs/>
                <w:b/>
              </w:rPr>
              <w:t xml:space="preserve">B</w:t>
            </w:r>
            <w:r>
              <w:t xml:space="preserve">) Exchange flux estimates for reductive carboxylation. Data show the model estimate with upper and lower bounds for LFs and PASMCs.</w:t>
            </w:r>
          </w:p>
        </w:tc>
      </w:tr>
    </w:tbl>
    <w:p>
      <w:r>
        <w:br w:type="page"/>
      </w:r>
    </w:p>
    <w:bookmarkEnd w:id="148"/>
    <w:bookmarkStart w:id="149"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149"/>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27" Target="media/rId127.pdf" /><Relationship Type="http://schemas.openxmlformats.org/officeDocument/2006/relationships/image" Id="rId130" Target="media/rId130.pdf" /><Relationship Type="http://schemas.openxmlformats.org/officeDocument/2006/relationships/image" Id="rId133" Target="media/rId133.pdf" /><Relationship Type="http://schemas.openxmlformats.org/officeDocument/2006/relationships/image" Id="rId124" Target="media/rId124.pdf" /><Relationship Type="http://schemas.openxmlformats.org/officeDocument/2006/relationships/image" Id="rId136" Target="media/rId136.pdf" /><Relationship Type="http://schemas.openxmlformats.org/officeDocument/2006/relationships/image" Id="rId139" Target="media/rId139.pdf" /><Relationship Type="http://schemas.openxmlformats.org/officeDocument/2006/relationships/image" Id="rId142" Target="media/rId142.pdf" /><Relationship Type="http://schemas.openxmlformats.org/officeDocument/2006/relationships/image" Id="rId145" Target="media/rId145.pdf" /><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bit.24836" TargetMode="External" /><Relationship Type="http://schemas.openxmlformats.org/officeDocument/2006/relationships/hyperlink" Id="rId68" Target="https://doi.org/10.1007/978-1-62703-299-5_18" TargetMode="External" /><Relationship Type="http://schemas.openxmlformats.org/officeDocument/2006/relationships/hyperlink" Id="rId120" Target="https://doi.org/10.1007/978-1-62703-661-0_7" TargetMode="External" /><Relationship Type="http://schemas.openxmlformats.org/officeDocument/2006/relationships/hyperlink" Id="rId106" Target="https://doi.org/10.1007/s11010-017-3069-y" TargetMode="External" /><Relationship Type="http://schemas.openxmlformats.org/officeDocument/2006/relationships/hyperlink" Id="rId98" Target="https://doi.org/10.1016/j.biochi.2020.02.002" TargetMode="External" /><Relationship Type="http://schemas.openxmlformats.org/officeDocument/2006/relationships/hyperlink" Id="rId104" Target="https://doi.org/10.1016/j.cell.2012.01.021" TargetMode="External" /><Relationship Type="http://schemas.openxmlformats.org/officeDocument/2006/relationships/hyperlink" Id="rId48" Target="https://doi.org/10.1016/j.cell.2017.09.019" TargetMode="External" /><Relationship Type="http://schemas.openxmlformats.org/officeDocument/2006/relationships/hyperlink" Id="rId66" Target="https://doi.org/10.1016/j.cell.2020.03.029" TargetMode="External" /><Relationship Type="http://schemas.openxmlformats.org/officeDocument/2006/relationships/hyperlink" Id="rId90" Target="https://doi.org/10.1016/j.celrep.2019.01.106" TargetMode="External" /><Relationship Type="http://schemas.openxmlformats.org/officeDocument/2006/relationships/hyperlink" Id="rId76" Target="https://doi.org/10.1016/j.cmet.2011.12.009" TargetMode="External" /><Relationship Type="http://schemas.openxmlformats.org/officeDocument/2006/relationships/hyperlink" Id="rId50" Target="https://doi.org/10.1016/j.cmet.2012.10.017" TargetMode="External" /><Relationship Type="http://schemas.openxmlformats.org/officeDocument/2006/relationships/hyperlink" Id="rId54" Target="https://doi.org/10.1016/j.cmet.2013.02.002" TargetMode="External" /><Relationship Type="http://schemas.openxmlformats.org/officeDocument/2006/relationships/hyperlink" Id="rId96" Target="https://doi.org/10.1016/j.cmet.2015.06.021" TargetMode="External" /><Relationship Type="http://schemas.openxmlformats.org/officeDocument/2006/relationships/hyperlink" Id="rId62" Target="https://doi.org/10.1016/j.cmet.2020.07.013" TargetMode="External" /><Relationship Type="http://schemas.openxmlformats.org/officeDocument/2006/relationships/hyperlink" Id="rId38" Target="https://doi.org/10.1016/j.copbio.2015.02.003" TargetMode="External" /><Relationship Type="http://schemas.openxmlformats.org/officeDocument/2006/relationships/hyperlink" Id="rId72" Target="https://doi.org/10.1016/j.molcel.2008.04.009" TargetMode="External" /><Relationship Type="http://schemas.openxmlformats.org/officeDocument/2006/relationships/hyperlink" Id="rId34" Target="https://doi.org/10.1016/j.ymben.2011.07.002" TargetMode="External" /><Relationship Type="http://schemas.openxmlformats.org/officeDocument/2006/relationships/hyperlink" Id="rId46" Target="https://doi.org/10.1038/msb.2013.65" TargetMode="External" /><Relationship Type="http://schemas.openxmlformats.org/officeDocument/2006/relationships/hyperlink" Id="rId92" Target="https://doi.org/10.1038/nature10602" TargetMode="External" /><Relationship Type="http://schemas.openxmlformats.org/officeDocument/2006/relationships/hyperlink" Id="rId70" Target="https://doi.org/10.1038/nature17393" TargetMode="External" /><Relationship Type="http://schemas.openxmlformats.org/officeDocument/2006/relationships/hyperlink" Id="rId64" Target="https://doi.org/10.1038/nature24057" TargetMode="External" /><Relationship Type="http://schemas.openxmlformats.org/officeDocument/2006/relationships/hyperlink" Id="rId36" Target="https://doi.org/10.1038/s12276-018-0060-y" TargetMode="External" /><Relationship Type="http://schemas.openxmlformats.org/officeDocument/2006/relationships/hyperlink" Id="rId78" Target="https://doi.org/10.1038/s12276-019-0235-1" TargetMode="External" /><Relationship Type="http://schemas.openxmlformats.org/officeDocument/2006/relationships/hyperlink" Id="rId82" Target="https://doi.org/10.1038/s41467-019-09352-1" TargetMode="External" /><Relationship Type="http://schemas.openxmlformats.org/officeDocument/2006/relationships/hyperlink" Id="rId56" Target="https://doi.org/10.1038/s41556-018-0118-z" TargetMode="External" /><Relationship Type="http://schemas.openxmlformats.org/officeDocument/2006/relationships/hyperlink" Id="rId80" Target="https://doi.org/10.1038/s41580-020-0227-y" TargetMode="External" /><Relationship Type="http://schemas.openxmlformats.org/officeDocument/2006/relationships/hyperlink" Id="rId74" Target="https://doi.org/10.1038/sj.emboj.7600196" TargetMode="External" /><Relationship Type="http://schemas.openxmlformats.org/officeDocument/2006/relationships/hyperlink" Id="rId114" Target="https://doi.org/10.1073/pnas.1117773108" TargetMode="External" /><Relationship Type="http://schemas.openxmlformats.org/officeDocument/2006/relationships/hyperlink" Id="rId58" Target="https://doi.org/10.1074/jbc.M010189200" TargetMode="External" /><Relationship Type="http://schemas.openxmlformats.org/officeDocument/2006/relationships/hyperlink" Id="rId102" Target="https://doi.org/10.1074/jbc.M111.282046" TargetMode="External" /><Relationship Type="http://schemas.openxmlformats.org/officeDocument/2006/relationships/hyperlink" Id="rId42" Target="https://doi.org/10.1074/jbc.RA119.009093" TargetMode="External" /><Relationship Type="http://schemas.openxmlformats.org/officeDocument/2006/relationships/hyperlink" Id="rId118" Target="https://doi.org/10.1093/bioinformatics/btu015" TargetMode="External" /><Relationship Type="http://schemas.openxmlformats.org/officeDocument/2006/relationships/hyperlink" Id="rId60" Target="https://doi.org/10.1152/ajpcell.00279.2015" TargetMode="External" /><Relationship Type="http://schemas.openxmlformats.org/officeDocument/2006/relationships/hyperlink" Id="rId110" Target="https://doi.org/10.1152/ajpcell.00485.2010" TargetMode="External" /><Relationship Type="http://schemas.openxmlformats.org/officeDocument/2006/relationships/hyperlink" Id="rId84" Target="https://doi.org/10.1152/ajpendo.2001.280.1.E75" TargetMode="External" /><Relationship Type="http://schemas.openxmlformats.org/officeDocument/2006/relationships/hyperlink" Id="rId116" Target="https://doi.org/10.1152/ajplung.00117.2016" TargetMode="External" /><Relationship Type="http://schemas.openxmlformats.org/officeDocument/2006/relationships/hyperlink" Id="rId40" Target="https://doi.org/10.1152/ajplung.00183.2009" TargetMode="External" /><Relationship Type="http://schemas.openxmlformats.org/officeDocument/2006/relationships/hyperlink" Id="rId52" Target="https://doi.org/10.1371/journal.pone.0111838" TargetMode="External" /><Relationship Type="http://schemas.openxmlformats.org/officeDocument/2006/relationships/hyperlink" Id="rId44" Target="https://doi.org/10.1371/journal.pone.0145850" TargetMode="External" /><Relationship Type="http://schemas.openxmlformats.org/officeDocument/2006/relationships/hyperlink" Id="rId112" Target="https://doi.org/10.1529/biophysj.106.099895" TargetMode="External" /><Relationship Type="http://schemas.openxmlformats.org/officeDocument/2006/relationships/hyperlink" Id="rId108" Target="https://doi.org/10.2147/HP.S92198" TargetMode="External" /><Relationship Type="http://schemas.openxmlformats.org/officeDocument/2006/relationships/hyperlink" Id="rId100" Target="https://doi.org/10.3389/fonc.2012.00018" TargetMode="External" /><Relationship Type="http://schemas.openxmlformats.org/officeDocument/2006/relationships/hyperlink" Id="rId88" Target="https://doi.org/10.3389/fphys.2021.702826" TargetMode="External" /><Relationship Type="http://schemas.openxmlformats.org/officeDocument/2006/relationships/hyperlink" Id="rId86" Target="https://doi.org/10.3390/ijms141224029"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2023-04-27T13:30:41Z</dcterms:created>
  <dcterms:modified xsi:type="dcterms:W3CDTF">2023-04-27T13:30:41Z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