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82.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(J. W.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and Ratcliffe,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W. D. Lee et al., 2019; Meléndez-Rodríguez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5"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LFs cultured in 0.5% oxygen grew more slowly than LFs cultured in 21% oxygen (</w:t>
      </w:r>
      <w:r>
        <w:rPr>
          <w:bCs/>
          <w:b/>
        </w:rPr>
        <w:t xml:space="preserve">Figure 1C</w:t>
      </w:r>
      <w:r>
        <w:t xml:space="preserve">), but slower growth was not associated with decreased cell viability (</w:t>
      </w:r>
      <w:r>
        <w:rPr>
          <w:bCs/>
          <w:b/>
        </w:rPr>
        <w:t xml:space="preserve">Figure 1 - figure supplement 1</w:t>
      </w:r>
      <w:r>
        <w:t xml:space="preserve">). As anticipated, hypoxic cells demonstrated robust stabilization of HIF-1α protein associated with up-regulation of downstream targets, such as glucose transporter 1 (GLUT1) and lactate dehydrogenase A (LDHA) (</w:t>
      </w:r>
      <w:r>
        <w:rPr>
          <w:bCs/>
          <w:b/>
        </w:rPr>
        <w:t xml:space="preserve">Figure 2</w:t>
      </w:r>
      <w:r>
        <w:t xml:space="preserve">). These changes persisted for the duration of the experimental time course.</w:t>
      </w:r>
    </w:p>
    <w:p>
      <w:r>
        <w:br w:type="page"/>
      </w:r>
    </w:p>
    <w:bookmarkEnd w:id="24"/>
    <w:bookmarkEnd w:id="25"/>
    <w:bookmarkStart w:id="26"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6"/>
    <w:bookmarkStart w:id="27"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7"/>
    <w:bookmarkStart w:id="28"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8"/>
    <w:bookmarkStart w:id="78" w:name="references"/>
    <w:p>
      <w:pPr>
        <w:pStyle w:val="Heading1"/>
      </w:pPr>
      <w:r>
        <w:t xml:space="preserve">References</w:t>
      </w:r>
    </w:p>
    <w:bookmarkStart w:id="77" w:name="refs"/>
    <w:bookmarkStart w:id="30" w:name="ref-ahn2011"/>
    <w:p>
      <w:pPr>
        <w:pStyle w:val="Bibliography"/>
      </w:pPr>
      <w:r>
        <w:t xml:space="preserve">Ahn WS, Antoniewicz MR. 2011. Metabolic flux analysis of CHO 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29">
        <w:r>
          <w:rPr>
            <w:rStyle w:val="Hyperlink"/>
          </w:rPr>
          <w:t xml:space="preserve">10.1016/j.ymben.2011.07.002</w:t>
        </w:r>
      </w:hyperlink>
    </w:p>
    <w:bookmarkEnd w:id="30"/>
    <w:bookmarkStart w:id="32" w:name="ref-antoniewicz2018"/>
    <w:p>
      <w:pPr>
        <w:pStyle w:val="Bibliography"/>
      </w:pPr>
      <w:r>
        <w:t xml:space="preserve">Antoniewicz MR. 2018. A guide to 13C metabolic flux analysis for the cancer biologist.</w:t>
      </w:r>
      <w:r>
        <w:t xml:space="preserve"> </w:t>
      </w:r>
      <w:r>
        <w:rPr>
          <w:iCs/>
          <w:i/>
        </w:rPr>
        <w:t xml:space="preserve">Exp Mol Med</w:t>
      </w:r>
      <w:r>
        <w:t xml:space="preserve"> </w:t>
      </w:r>
      <w:r>
        <w:rPr>
          <w:bCs/>
          <w:b/>
        </w:rPr>
        <w:t xml:space="preserve">50</w:t>
      </w:r>
      <w:r>
        <w:t xml:space="preserve">:1–13. doi:</w:t>
      </w:r>
      <w:hyperlink r:id="rId31">
        <w:r>
          <w:rPr>
            <w:rStyle w:val="Hyperlink"/>
          </w:rPr>
          <w:t xml:space="preserve">10.1038/s12276-018-0060-y</w:t>
        </w:r>
      </w:hyperlink>
    </w:p>
    <w:bookmarkEnd w:id="32"/>
    <w:bookmarkStart w:id="34"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ODK, Malloy C, Metallo CM, Meuillet EJ, Munger J, Nöh K, Rabinowitz JD, Ralser M, Sauer U, Stephanopoulos G, St-Pierre J, Tennant DA, Wittmann C, Vander Heiden MG, Vazquez A, Vousden K, Young JD, Zamboni N, Fendt S-M. 2015. A roadmap for interpreting (13)C metabolite labeling patterns from cells.</w:t>
      </w:r>
      <w:r>
        <w:t xml:space="preserve"> </w:t>
      </w:r>
      <w:r>
        <w:rPr>
          <w:iCs/>
          <w:i/>
        </w:rPr>
        <w:t xml:space="preserve">Curr Opin Biotechnol</w:t>
      </w:r>
      <w:r>
        <w:t xml:space="preserve"> </w:t>
      </w:r>
      <w:r>
        <w:rPr>
          <w:bCs/>
          <w:b/>
        </w:rPr>
        <w:t xml:space="preserve">34</w:t>
      </w:r>
      <w:r>
        <w:t xml:space="preserve">:189–201. doi:</w:t>
      </w:r>
      <w:hyperlink r:id="rId33">
        <w:r>
          <w:rPr>
            <w:rStyle w:val="Hyperlink"/>
          </w:rPr>
          <w:t xml:space="preserve">10.1016/j.copbio.2015.02.003</w:t>
        </w:r>
      </w:hyperlink>
    </w:p>
    <w:bookmarkEnd w:id="34"/>
    <w:bookmarkStart w:id="36" w:name="ref-flamme2014"/>
    <w:p>
      <w:pPr>
        <w:pStyle w:val="Bibliography"/>
      </w:pPr>
      <w:r>
        <w:t xml:space="preserve">Flamme I, Oehme F, Ellinghaus P, Jeske M, Keldenich J, Thuss U. 2014. Mimicking hypoxia to treat anemia: HIF-stabilizer BAY 85-3934 (Molidustat)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35">
        <w:r>
          <w:rPr>
            <w:rStyle w:val="Hyperlink"/>
          </w:rPr>
          <w:t xml:space="preserve">10.1371/journal.pone.0111838</w:t>
        </w:r>
      </w:hyperlink>
    </w:p>
    <w:bookmarkEnd w:id="36"/>
    <w:bookmarkStart w:id="38" w:name="ref-gameiro2013"/>
    <w:p>
      <w:pPr>
        <w:pStyle w:val="Bibliography"/>
      </w:pPr>
      <w:r>
        <w:t xml:space="preserve">Gameiro PA, Yang J, Metelo AM, Pérez-Carro R, Baker R, Wang Z, Arreola A, Rathmell WK, Olumi A, López-Larrubia P, Stephanopoulos G, Iliopoulos O. 2013. In vivo HIF-mediated reductive carboxylation is regulated by citrate levels and sensitizes VHL-deficient cells to glutamine deprivation.</w:t>
      </w:r>
      <w:r>
        <w:t xml:space="preserve"> </w:t>
      </w:r>
      <w:r>
        <w:rPr>
          <w:iCs/>
          <w:i/>
        </w:rPr>
        <w:t xml:space="preserve">Cell Metab</w:t>
      </w:r>
      <w:r>
        <w:t xml:space="preserve"> </w:t>
      </w:r>
      <w:r>
        <w:rPr>
          <w:bCs/>
          <w:b/>
        </w:rPr>
        <w:t xml:space="preserve">17</w:t>
      </w:r>
      <w:r>
        <w:t xml:space="preserve">:372–385. doi:</w:t>
      </w:r>
      <w:hyperlink r:id="rId37">
        <w:r>
          <w:rPr>
            <w:rStyle w:val="Hyperlink"/>
          </w:rPr>
          <w:t xml:space="preserve">10.1016/j.cmet.2013.02.002</w:t>
        </w:r>
      </w:hyperlink>
    </w:p>
    <w:bookmarkEnd w:id="38"/>
    <w:bookmarkStart w:id="4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39">
        <w:r>
          <w:rPr>
            <w:rStyle w:val="Hyperlink"/>
          </w:rPr>
          <w:t xml:space="preserve">10.1038/s41556-018-0118-z</w:t>
        </w:r>
      </w:hyperlink>
    </w:p>
    <w:bookmarkEnd w:id="40"/>
    <w:bookmarkStart w:id="42" w:name="ref-gardner2001"/>
    <w:p>
      <w:pPr>
        <w:pStyle w:val="Bibliography"/>
      </w:pPr>
      <w:r>
        <w:t xml:space="preserve">Gardner LB, Li Q, Park MS, Flanagan WM, Semenza GL, Dang CV. 2001. Hypoxia inhibits G1/S transition through regulation of p27 expression.</w:t>
      </w:r>
      <w:r>
        <w:t xml:space="preserve"> </w:t>
      </w:r>
      <w:r>
        <w:rPr>
          <w:iCs/>
          <w:i/>
        </w:rPr>
        <w:t xml:space="preserve">J Biol Chem</w:t>
      </w:r>
      <w:r>
        <w:t xml:space="preserve"> </w:t>
      </w:r>
      <w:r>
        <w:rPr>
          <w:bCs/>
          <w:b/>
        </w:rPr>
        <w:t xml:space="preserve">276</w:t>
      </w:r>
      <w:r>
        <w:t xml:space="preserve">:7919–7926. doi:</w:t>
      </w:r>
      <w:hyperlink r:id="rId41">
        <w:r>
          <w:rPr>
            <w:rStyle w:val="Hyperlink"/>
          </w:rPr>
          <w:t xml:space="preserve">10.1074/jbc.M010189200</w:t>
        </w:r>
      </w:hyperlink>
    </w:p>
    <w:bookmarkEnd w:id="42"/>
    <w:bookmarkStart w:id="4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:C775–782. doi:</w:t>
      </w:r>
      <w:hyperlink r:id="rId43">
        <w:r>
          <w:rPr>
            <w:rStyle w:val="Hyperlink"/>
          </w:rPr>
          <w:t xml:space="preserve">10.1152/ajpcell.00279.2015</w:t>
        </w:r>
      </w:hyperlink>
    </w:p>
    <w:bookmarkEnd w:id="44"/>
    <w:bookmarkStart w:id="46" w:name="ref-jain2020"/>
    <w:p>
      <w:pPr>
        <w:pStyle w:val="Bibliography"/>
      </w:pPr>
      <w:r>
        <w:t xml:space="preserve">Jain IH, Calvo SE, Markhard AL, Skinner OS, To T-L, Ast T, Mootha VK. 2020. Genetic Screen for Cell Fitness in High or Low Oxygen Highlights Mitochondrial and Lipid Metabolism.</w:t>
      </w:r>
      <w:r>
        <w:t xml:space="preserve"> </w:t>
      </w:r>
      <w:r>
        <w:rPr>
          <w:iCs/>
          <w:i/>
        </w:rPr>
        <w:t xml:space="preserve">Cell</w:t>
      </w:r>
      <w:r>
        <w:t xml:space="preserve"> </w:t>
      </w:r>
      <w:r>
        <w:rPr>
          <w:bCs/>
          <w:b/>
        </w:rPr>
        <w:t xml:space="preserve">181</w:t>
      </w:r>
      <w:r>
        <w:t xml:space="preserve">:716–727.e11. doi:</w:t>
      </w:r>
      <w:hyperlink r:id="rId45">
        <w:r>
          <w:rPr>
            <w:rStyle w:val="Hyperlink"/>
          </w:rPr>
          <w:t xml:space="preserve">10.1016/j.cell.2020.03.029</w:t>
        </w:r>
      </w:hyperlink>
    </w:p>
    <w:bookmarkEnd w:id="46"/>
    <w:bookmarkStart w:id="48"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:255–258. doi:</w:t>
      </w:r>
      <w:hyperlink r:id="rId47">
        <w:r>
          <w:rPr>
            <w:rStyle w:val="Hyperlink"/>
          </w:rPr>
          <w:t xml:space="preserve">10.1038/nature17393</w:t>
        </w:r>
      </w:hyperlink>
    </w:p>
    <w:bookmarkEnd w:id="48"/>
    <w:bookmarkStart w:id="50" w:name="ref-kaelin2008"/>
    <w:p>
      <w:pPr>
        <w:pStyle w:val="Bibliography"/>
      </w:pPr>
      <w:r>
        <w:t xml:space="preserve">Kaelin WG, Ratcliffe PJ. 2008. Oxygen sensing by metazoans: the central role of the HIF hydroxylase pathway.</w:t>
      </w:r>
      <w:r>
        <w:t xml:space="preserve"> </w:t>
      </w:r>
      <w:r>
        <w:rPr>
          <w:iCs/>
          <w:i/>
        </w:rPr>
        <w:t xml:space="preserve">Mol Cell</w:t>
      </w:r>
      <w:r>
        <w:t xml:space="preserve"> </w:t>
      </w:r>
      <w:r>
        <w:rPr>
          <w:bCs/>
          <w:b/>
        </w:rPr>
        <w:t xml:space="preserve">30</w:t>
      </w:r>
      <w:r>
        <w:t xml:space="preserve">:393–402. doi:</w:t>
      </w:r>
      <w:hyperlink r:id="rId49">
        <w:r>
          <w:rPr>
            <w:rStyle w:val="Hyperlink"/>
          </w:rPr>
          <w:t xml:space="preserve">10.1016/j.molcel.2008.04.009</w:t>
        </w:r>
      </w:hyperlink>
    </w:p>
    <w:bookmarkEnd w:id="50"/>
    <w:bookmarkStart w:id="52" w:name="ref-koshiji2004"/>
    <w:p>
      <w:pPr>
        <w:pStyle w:val="Bibliography"/>
      </w:pPr>
      <w:r>
        <w:t xml:space="preserve">Koshiji M, Kageyama Y, Pete EA, Horikawa I, Barrett JC, Huang LE. 2004. HIF-1alpha induces cell cycle arrest by functionally counteracting Myc.</w:t>
      </w:r>
      <w:r>
        <w:t xml:space="preserve"> </w:t>
      </w:r>
      <w:r>
        <w:rPr>
          <w:iCs/>
          <w:i/>
        </w:rPr>
        <w:t xml:space="preserve">EMBO J</w:t>
      </w:r>
      <w:r>
        <w:t xml:space="preserve"> </w:t>
      </w:r>
      <w:r>
        <w:rPr>
          <w:bCs/>
          <w:b/>
        </w:rPr>
        <w:t xml:space="preserve">23</w:t>
      </w:r>
      <w:r>
        <w:t xml:space="preserve">:1949–1956. doi:</w:t>
      </w:r>
      <w:hyperlink r:id="rId51">
        <w:r>
          <w:rPr>
            <w:rStyle w:val="Hyperlink"/>
          </w:rPr>
          <w:t xml:space="preserve">10.1038/sj.emboj.7600196</w:t>
        </w:r>
      </w:hyperlink>
    </w:p>
    <w:bookmarkEnd w:id="52"/>
    <w:bookmarkStart w:id="54" w:name="ref-lee2019"/>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53">
        <w:r>
          <w:rPr>
            <w:rStyle w:val="Hyperlink"/>
          </w:rPr>
          <w:t xml:space="preserve">10.1038/s12276-019-0235-1</w:t>
        </w:r>
      </w:hyperlink>
    </w:p>
    <w:bookmarkEnd w:id="54"/>
    <w:bookmarkStart w:id="56" w:name="ref-lee2020"/>
    <w:p>
      <w:pPr>
        <w:pStyle w:val="Bibliography"/>
      </w:pPr>
      <w:r>
        <w:t xml:space="preserve">Lee P, Chandel NS, Simon MC. 2020. Cellular adaptation to hypoxia through hypoxia inducible factors and beyond.</w:t>
      </w:r>
      <w:r>
        <w:t xml:space="preserve"> </w:t>
      </w:r>
      <w:r>
        <w:rPr>
          <w:iCs/>
          <w:i/>
        </w:rPr>
        <w:t xml:space="preserve">Nat Rev Mol Cell Biol</w:t>
      </w:r>
      <w:r>
        <w:t xml:space="preserve"> </w:t>
      </w:r>
      <w:r>
        <w:rPr>
          <w:bCs/>
          <w:b/>
        </w:rPr>
        <w:t xml:space="preserve">21</w:t>
      </w:r>
      <w:r>
        <w:t xml:space="preserve">:268–283. doi:</w:t>
      </w:r>
      <w:hyperlink r:id="rId55">
        <w:r>
          <w:rPr>
            <w:rStyle w:val="Hyperlink"/>
          </w:rPr>
          <w:t xml:space="preserve">10.1038/s41580-020-0227-y</w:t>
        </w:r>
      </w:hyperlink>
    </w:p>
    <w:bookmarkEnd w:id="56"/>
    <w:bookmarkStart w:id="58" w:name="ref-lee2019a"/>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57">
        <w:r>
          <w:rPr>
            <w:rStyle w:val="Hyperlink"/>
          </w:rPr>
          <w:t xml:space="preserve">10.1038/s41467-019-09352-1</w:t>
        </w:r>
      </w:hyperlink>
    </w:p>
    <w:bookmarkEnd w:id="58"/>
    <w:bookmarkStart w:id="60" w:name="ref-melendez-rodriguez2019"/>
    <w:p>
      <w:pPr>
        <w:pStyle w:val="Bibliography"/>
      </w:pPr>
      <w:r>
        <w:t xml:space="preserve">Meléndez-Rodríguez F, Urrutia AA, Lorendeau D, Rinaldi G, Roche O, Böğürcü-Seidel N, Ortega Muelas M, Mesa-Ciller C, Turiel G, Bouthelier A, Hernansanz-Agustín P, Elorza A, Escasany E, Li QOY, Torres-Capelli M, Tello D, Fuertes E, Fraga E, Martínez-Ruiz A, Pérez B, Giménez-Bachs JM, Salinas-Sánchez AS, Acker T, Sánchez Prieto R, Fendt S-M, De Bock K, Aragonés J. 2019. HIF1α Suppresses Tumor Cell Proliferation through Inhibition of Aspartate Biosynthesis.</w:t>
      </w:r>
      <w:r>
        <w:t xml:space="preserve"> </w:t>
      </w:r>
      <w:r>
        <w:rPr>
          <w:iCs/>
          <w:i/>
        </w:rPr>
        <w:t xml:space="preserve">Cell Rep</w:t>
      </w:r>
      <w:r>
        <w:t xml:space="preserve"> </w:t>
      </w:r>
      <w:r>
        <w:rPr>
          <w:bCs/>
          <w:b/>
        </w:rPr>
        <w:t xml:space="preserve">26</w:t>
      </w:r>
      <w:r>
        <w:t xml:space="preserve">:2257–2265.e4. doi:</w:t>
      </w:r>
      <w:hyperlink r:id="rId59">
        <w:r>
          <w:rPr>
            <w:rStyle w:val="Hyperlink"/>
          </w:rPr>
          <w:t xml:space="preserve">10.1016/j.celrep.2019.01.106</w:t>
        </w:r>
      </w:hyperlink>
    </w:p>
    <w:bookmarkEnd w:id="60"/>
    <w:bookmarkStart w:id="62" w:name="ref-metallo2011"/>
    <w:p>
      <w:pPr>
        <w:pStyle w:val="Bibliography"/>
      </w:pPr>
      <w:r>
        <w:t xml:space="preserve">Metallo CM, Gameiro PA, Bell EL, Mattaini KR, Yang J, Hiller K, Jewell CM, Johnson ZR, Irvine DJ, Guarente L, Kelleher JK, Vander Heiden MG, Iliopoulos O, Stephanopoulos G. 2011. Reductive glutamine metabolism by IDH1 mediates lipogenesis under hypoxia.</w:t>
      </w:r>
      <w:r>
        <w:t xml:space="preserve"> </w:t>
      </w:r>
      <w:r>
        <w:rPr>
          <w:iCs/>
          <w:i/>
        </w:rPr>
        <w:t xml:space="preserve">Nature</w:t>
      </w:r>
      <w:r>
        <w:t xml:space="preserve"> </w:t>
      </w:r>
      <w:r>
        <w:rPr>
          <w:bCs/>
          <w:b/>
        </w:rPr>
        <w:t xml:space="preserve">481</w:t>
      </w:r>
      <w:r>
        <w:t xml:space="preserve">:380–384. doi:</w:t>
      </w:r>
      <w:hyperlink r:id="rId61">
        <w:r>
          <w:rPr>
            <w:rStyle w:val="Hyperlink"/>
          </w:rPr>
          <w:t xml:space="preserve">10.1038/nature10602</w:t>
        </w:r>
      </w:hyperlink>
    </w:p>
    <w:bookmarkEnd w:id="62"/>
    <w:bookmarkStart w:id="64" w:name="ref-oldham2015"/>
    <w:p>
      <w:pPr>
        <w:pStyle w:val="Bibliography"/>
      </w:pPr>
      <w:r>
        <w:t xml:space="preserve">Oldham WM, Clish CB, Yang Y, Loscalzo J. 2015. Hypoxia-Mediated Increases in L-2-hydroxyglutarate Coordinate the Metabolic Response to Reductive Stress.</w:t>
      </w:r>
      <w:r>
        <w:t xml:space="preserve"> </w:t>
      </w:r>
      <w:r>
        <w:rPr>
          <w:iCs/>
          <w:i/>
        </w:rPr>
        <w:t xml:space="preserve">Cell Metab</w:t>
      </w:r>
      <w:r>
        <w:t xml:space="preserve"> </w:t>
      </w:r>
      <w:r>
        <w:rPr>
          <w:bCs/>
          <w:b/>
        </w:rPr>
        <w:t xml:space="preserve">22</w:t>
      </w:r>
      <w:r>
        <w:t xml:space="preserve">:291–303. doi:</w:t>
      </w:r>
      <w:hyperlink r:id="rId63">
        <w:r>
          <w:rPr>
            <w:rStyle w:val="Hyperlink"/>
          </w:rPr>
          <w:t xml:space="preserve">10.1016/j.cmet.2015.06.021</w:t>
        </w:r>
      </w:hyperlink>
    </w:p>
    <w:bookmarkEnd w:id="64"/>
    <w:bookmarkStart w:id="66" w:name="ref-scott2011"/>
    <w:p>
      <w:pPr>
        <w:pStyle w:val="Bibliography"/>
      </w:pPr>
      <w:r>
        <w:t xml:space="preserve">Scott DA, Richardson AD, Filipp FV, Knutzen CA, Chiang GG, Ronai ZA, Osterman AL, Smith JW. 2011. Comparative metabolic flux profiling of melanoma cell lines: beyond the Warburg effect.</w:t>
      </w:r>
      <w:r>
        <w:t xml:space="preserve"> </w:t>
      </w:r>
      <w:r>
        <w:rPr>
          <w:iCs/>
          <w:i/>
        </w:rPr>
        <w:t xml:space="preserve">J Biol Chem</w:t>
      </w:r>
      <w:r>
        <w:t xml:space="preserve"> </w:t>
      </w:r>
      <w:r>
        <w:rPr>
          <w:bCs/>
          <w:b/>
        </w:rPr>
        <w:t xml:space="preserve">286</w:t>
      </w:r>
      <w:r>
        <w:t xml:space="preserve">:42626–42634. doi:</w:t>
      </w:r>
      <w:hyperlink r:id="rId65">
        <w:r>
          <w:rPr>
            <w:rStyle w:val="Hyperlink"/>
          </w:rPr>
          <w:t xml:space="preserve">10.1074/jbc.M111.282046</w:t>
        </w:r>
      </w:hyperlink>
    </w:p>
    <w:bookmarkEnd w:id="66"/>
    <w:bookmarkStart w:id="68" w:name="ref-semenza2012"/>
    <w:p>
      <w:pPr>
        <w:pStyle w:val="Bibliography"/>
      </w:pPr>
      <w:r>
        <w:t xml:space="preserve">Semenza GL. 2012. Hypoxia-inducible factors in physiology and medicine.</w:t>
      </w:r>
      <w:r>
        <w:t xml:space="preserve"> </w:t>
      </w:r>
      <w:r>
        <w:rPr>
          <w:iCs/>
          <w:i/>
        </w:rPr>
        <w:t xml:space="preserve">Cell</w:t>
      </w:r>
      <w:r>
        <w:t xml:space="preserve"> </w:t>
      </w:r>
      <w:r>
        <w:rPr>
          <w:bCs/>
          <w:b/>
        </w:rPr>
        <w:t xml:space="preserve">148</w:t>
      </w:r>
      <w:r>
        <w:t xml:space="preserve">:399–408. doi:</w:t>
      </w:r>
      <w:hyperlink r:id="rId67">
        <w:r>
          <w:rPr>
            <w:rStyle w:val="Hyperlink"/>
          </w:rPr>
          <w:t xml:space="preserve">10.1016/j.cell.2012.01.021</w:t>
        </w:r>
      </w:hyperlink>
    </w:p>
    <w:bookmarkEnd w:id="68"/>
    <w:bookmarkStart w:id="70"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69">
        <w:r>
          <w:rPr>
            <w:rStyle w:val="Hyperlink"/>
          </w:rPr>
          <w:t xml:space="preserve">10.2147/HP.S92198</w:t>
        </w:r>
      </w:hyperlink>
    </w:p>
    <w:bookmarkEnd w:id="70"/>
    <w:bookmarkStart w:id="72" w:name="ref-wheaton2011"/>
    <w:p>
      <w:pPr>
        <w:pStyle w:val="Bibliography"/>
      </w:pPr>
      <w:r>
        <w:t xml:space="preserve">Wheaton WW, Chandel NS. 2011. Hypoxia. 2. Hypoxia regulates cellular metabolism.</w:t>
      </w:r>
      <w:r>
        <w:t xml:space="preserve"> </w:t>
      </w:r>
      <w:r>
        <w:rPr>
          <w:iCs/>
          <w:i/>
        </w:rPr>
        <w:t xml:space="preserve">Am J Physiol Cell Physiol</w:t>
      </w:r>
      <w:r>
        <w:t xml:space="preserve"> </w:t>
      </w:r>
      <w:r>
        <w:rPr>
          <w:bCs/>
          <w:b/>
        </w:rPr>
        <w:t xml:space="preserve">300</w:t>
      </w:r>
      <w:r>
        <w:t xml:space="preserve">:C385–393. doi:</w:t>
      </w:r>
      <w:hyperlink r:id="rId71">
        <w:r>
          <w:rPr>
            <w:rStyle w:val="Hyperlink"/>
          </w:rPr>
          <w:t xml:space="preserve">10.1152/ajpcell.00485.2010</w:t>
        </w:r>
      </w:hyperlink>
    </w:p>
    <w:bookmarkEnd w:id="72"/>
    <w:bookmarkStart w:id="74" w:name="ref-wise2011"/>
    <w:p>
      <w:pPr>
        <w:pStyle w:val="Bibliography"/>
      </w:pPr>
      <w:r>
        <w:t xml:space="preserve">Wise DR, Ward PS, Shay JES, Cross JR, Gruber JJ, Sachdeva UM, Platt JM, DeMatteo RG, Simon MC, Thompson CB. 2011. Hypoxia promotes isocitrate dehydrogenase-dependent carboxylation of α-ketoglutarate to citrate to support cell growth and viability.</w:t>
      </w:r>
      <w:r>
        <w:t xml:space="preserve"> </w:t>
      </w:r>
      <w:r>
        <w:rPr>
          <w:iCs/>
          <w:i/>
        </w:rPr>
        <w:t xml:space="preserve">Proc Natl Acad Sci U S A</w:t>
      </w:r>
      <w:r>
        <w:t xml:space="preserve"> </w:t>
      </w:r>
      <w:r>
        <w:rPr>
          <w:bCs/>
          <w:b/>
        </w:rPr>
        <w:t xml:space="preserve">108</w:t>
      </w:r>
      <w:r>
        <w:t xml:space="preserve">:19611–19616. doi:</w:t>
      </w:r>
      <w:hyperlink r:id="rId73">
        <w:r>
          <w:rPr>
            <w:rStyle w:val="Hyperlink"/>
          </w:rPr>
          <w:t xml:space="preserve">10.1073/pnas.1117773108</w:t>
        </w:r>
      </w:hyperlink>
    </w:p>
    <w:bookmarkEnd w:id="74"/>
    <w:bookmarkStart w:id="76" w:name="ref-young2014"/>
    <w:p>
      <w:pPr>
        <w:pStyle w:val="Bibliography"/>
      </w:pPr>
      <w:r>
        <w:t xml:space="preserve">Young JD. 2014. INCA: a computational platform for isotopically non-stationary metabolic flux analysis.</w:t>
      </w:r>
      <w:r>
        <w:t xml:space="preserve"> </w:t>
      </w:r>
      <w:r>
        <w:rPr>
          <w:iCs/>
          <w:i/>
        </w:rPr>
        <w:t xml:space="preserve">Bioinformatics</w:t>
      </w:r>
      <w:r>
        <w:t xml:space="preserve"> </w:t>
      </w:r>
      <w:r>
        <w:rPr>
          <w:bCs/>
          <w:b/>
        </w:rPr>
        <w:t xml:space="preserve">30</w:t>
      </w:r>
      <w:r>
        <w:t xml:space="preserve">:1333–1335. doi:</w:t>
      </w:r>
      <w:hyperlink r:id="rId75">
        <w:r>
          <w:rPr>
            <w:rStyle w:val="Hyperlink"/>
          </w:rPr>
          <w:t xml:space="preserve">10.1093/bioinformatics/btu015</w:t>
        </w:r>
      </w:hyperlink>
    </w:p>
    <w:bookmarkEnd w:id="76"/>
    <w:bookmarkEnd w:id="77"/>
    <w:p>
      <w:r>
        <w:br w:type="page"/>
      </w:r>
    </w:p>
    <w:bookmarkEnd w:id="78"/>
    <w:bookmarkStart w:id="85"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4381" cy="1437351"/>
                  <wp:effectExtent b="0" l="0" r="0" t="0"/>
                  <wp:docPr descr="" title="" id="80" name="Picture"/>
                  <a:graphic>
                    <a:graphicData uri="http://schemas.openxmlformats.org/drawingml/2006/picture">
                      <pic:pic>
                        <pic:nvPicPr>
                          <pic:cNvPr descr="figs/Figure%201.png" id="81" name="Picture"/>
                          <pic:cNvPicPr>
                            <a:picLocks noChangeArrowheads="1" noChangeAspect="1"/>
                          </pic:cNvPicPr>
                        </pic:nvPicPr>
                        <pic:blipFill>
                          <a:blip r:embed="rId79"/>
                          <a:stretch>
                            <a:fillRect/>
                          </a:stretch>
                        </pic:blipFill>
                        <pic:spPr bwMode="auto">
                          <a:xfrm>
                            <a:off x="0" y="0"/>
                            <a:ext cx="4434381" cy="143735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1330314" cy="1324197"/>
                  <wp:effectExtent b="0" l="0" r="0" t="0"/>
                  <wp:docPr descr="" title="" id="83" name="Picture"/>
                  <a:graphic>
                    <a:graphicData uri="http://schemas.openxmlformats.org/drawingml/2006/picture">
                      <pic:pic>
                        <pic:nvPicPr>
                          <pic:cNvPr descr="figs/Figure%201%20-%20figure%20supplement%201.png" id="84" name="Picture"/>
                          <pic:cNvPicPr>
                            <a:picLocks noChangeArrowheads="1" noChangeAspect="1"/>
                          </pic:cNvPicPr>
                        </pic:nvPicPr>
                        <pic:blipFill>
                          <a:blip r:embed="rId82"/>
                          <a:stretch>
                            <a:fillRect/>
                          </a:stretch>
                        </pic:blipFill>
                        <pic:spPr bwMode="auto">
                          <a:xfrm>
                            <a:off x="0" y="0"/>
                            <a:ext cx="1330314" cy="1324197"/>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bookmarkEnd w:id="85"/>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hyperlink" Id="rId67" Target="https://doi.org/10.1016/j.cell.2012.01.021"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37" Target="https://doi.org/10.1016/j.cmet.2013.02.002"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49" Target="https://doi.org/10.1016/j.molcel.2008.04.009"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31" Target="https://doi.org/10.1038/s12276-018-0060-y" TargetMode="External" /><Relationship Type="http://schemas.openxmlformats.org/officeDocument/2006/relationships/hyperlink" Id="rId53"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5" Target="https://doi.org/10.1038/s41580-020-0227-y"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75" Target="https://doi.org/10.1093/bioinformatics/btu015"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j.cell.2012.01.021"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37" Target="https://doi.org/10.1016/j.cmet.2013.02.002"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49" Target="https://doi.org/10.1016/j.molcel.2008.04.009"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31" Target="https://doi.org/10.1038/s12276-018-0060-y" TargetMode="External" /><Relationship Type="http://schemas.openxmlformats.org/officeDocument/2006/relationships/hyperlink" Id="rId53"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5" Target="https://doi.org/10.1038/s41580-020-0227-y"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75" Target="https://doi.org/10.1093/bioinformatics/btu015"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2023-04-04T14:41:20Z</dcterms:created>
  <dcterms:modified xsi:type="dcterms:W3CDTF">2023-04-04T14:41:20Z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