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3.pdf" ContentType="application/pdf"/>
  <Override PartName="/word/media/rId296.pdf" ContentType="application/pdf"/>
  <Override PartName="/word/media/rId299.pdf" ContentType="application/pdf"/>
  <Override PartName="/word/media/rId302.pdf" ContentType="application/pdf"/>
  <Override PartName="/word/media/rId290.pdf" ContentType="application/pdf"/>
  <Override PartName="/word/media/rId305.pdf" ContentType="application/pdf"/>
  <Override PartName="/word/media/rId308.pdf" ContentType="application/pdf"/>
  <Override PartName="/word/media/rId314.pdf" ContentType="application/pdf"/>
  <Override PartName="/word/media/rId317.pdf" ContentType="application/pdf"/>
  <Override PartName="/word/media/rId311.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20.pdf" ContentType="application/pdf"/>
  <Override PartName="/word/media/rId338.pdf" ContentType="application/pdf"/>
  <Override PartName="/word/media/rId341.pdf" ContentType="application/pdf"/>
  <Override PartName="/word/media/rId347.pdf" ContentType="application/pdf"/>
  <Override PartName="/word/media/rId344.pdf" ContentType="application/pdf"/>
  <Override PartName="/word/media/rId353.pdf" ContentType="application/pdf"/>
  <Override PartName="/word/media/rId356.pdf" ContentType="application/pdf"/>
  <Override PartName="/word/media/rId350.pdf" ContentType="application/pdf"/>
  <Override PartName="/word/media/rId362.pdf" ContentType="application/pdf"/>
  <Override PartName="/word/media/rId365.pdf" ContentType="application/pdf"/>
  <Override PartName="/word/media/rId359.pdf" ContentType="application/pdf"/>
  <Override PartName="/word/media/rId371.pdf" ContentType="application/pdf"/>
  <Override PartName="/word/media/rId374.pdf" ContentType="application/pdf"/>
  <Override PartName="/word/media/rId368.pdf" ContentType="application/pdf"/>
  <Override PartName="/word/media/rId377.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how primary cell metabolism responds to hypoxia. Thus, we developed metabolic flux models for human lung fibroblast and pulmonary artery smooth muscle cells proliferating in hypoxia. Unexpectedly, we found that hypoxia decreased glycolysis despite activation of hypoxia-inducible factor 1α (HIF-1α) and increased glycolytic enzyme expression. While HIF-1α activation in normoxia by prolyl hydroxylase (PHD) inhibition did increase glycolysis, hypoxia blocked this effect. Multi-omic profiling revealed distinct molecular responses to hypoxia and PHD inhibition, and suggested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and lactate dehydrogenase,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flux and lactate production while decreasing TCA cycle flux and oxidative phosphorylation.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is an active area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features prominently,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increases in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We identified the optimal cell seeding density and time course for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Fluxes calculations incorporated cell growth rate, extracellular metabolite concentrations, metabolite degradation rates, and medium evaporation rate (</w:t>
      </w:r>
      <w:r>
        <w:rPr>
          <w:iCs/>
          <w:i/>
        </w:rPr>
        <w:t xml:space="preserve">see Materials and Methods</w:t>
      </w:r>
      <w:r>
        <w:t xml:space="preserv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both increased HIF-1α, GLUT1, and LDHA to a similar degree, the glycolytic metabolic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changes in extracellular fluxes were modest overall, with hypoxia generally decreasing the fluxes of all measured metabolites. These findings were similar with 0.2% oxygen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lipid biosynthesis. Glutamine has also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an increased contribution from an unlabeled carbon source, such as extracellular pyruvate, lactate, or alanine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Compared to glucose, glutamine labeled a smaller fraction of citrate, and this labeling was decreased substantially by hypoxia or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In normoxia, approximately 10% of cytoplasmic pyruvate enters the TCA cycle with the balance converted to lactate. Consistent with the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as hypoxia on decreasing serine and glutamine uptake.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proteins and the glycolytic potential of these cells demonstrated by BAY treatment in normoxia. BAY treatment decreased cell proliferation rate (</w:t>
      </w:r>
      <w:r>
        <w:rPr>
          <w:bCs/>
          <w:b/>
        </w:rPr>
        <w:t xml:space="preserve">Figure 2B-C</w:t>
      </w:r>
      <w:r>
        <w:t xml:space="preserve">), indicating that, unlike hypoxia, PHD inhibition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One important feature of metabolic flux analysis is its ability to determine the individual forward and backward fluxes of bidirectional reactions, or the so-called exchange fluxes. Although the metabolite exchange fluxes for bidirectional reactions tend to be poorly resolved by this method</w:t>
      </w:r>
      <w:r>
        <w:t xml:space="preserve"> </w:t>
      </w:r>
      <w:r>
        <w:t xml:space="preserve">(Wiechert, 2007)</w:t>
      </w:r>
      <w:r>
        <w:t xml:space="preserve">, two observations from our models are noteworthy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increases lactate transport exchange flux in LFs from ~ 0 to 1,500 and 700 fmol/cell/h with 0.5% oxygen and BAY treatment, respectively, with similar results in PASMCs (</w:t>
      </w:r>
      <w:r>
        <w:rPr>
          <w:bCs/>
          <w:b/>
        </w:rPr>
        <w:t xml:space="preserve">Figure 7A</w:t>
      </w:r>
      <w:r>
        <w:t xml:space="preserve">). This observation suggests increased lactate uptake with hypoxia or BAY treatment.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(α-ketoglutarate, malate, aspartate) in both LFs and PASMCs, indicating that lactate may be an important respiratory fuel source in these cells even though lactate efflux is high. Although increased labeling of pyruvate was observed in hypoxic PASMCs, this increase did not flow through to TCA metabolites as observed in LFs (</w:t>
      </w:r>
      <w:r>
        <w:rPr>
          <w:bCs/>
          <w:b/>
        </w:rPr>
        <w:t xml:space="preserve">Figure 4 - figure supplement 2</w:t>
      </w:r>
      <w:r>
        <w:t xml:space="preserve">).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and also reveal increased lactate uptake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PHD inhibition by hypoxia and BAY, we next addressed whether hypoxia could suppress BAY-stimulated glucose and lactate fluxes (</w:t>
      </w:r>
      <w:r>
        <w:rPr>
          <w:bCs/>
          <w:b/>
        </w:rPr>
        <w:t xml:space="preserve">Figure 8</w:t>
      </w:r>
      <w:r>
        <w:t xml:space="preserve">). LFs cultured in standard growth medium were treated with BAY and placed in either 21% or 0.5% oxygen. Similar to previous experiments, BAY decreased cell growth rate, increased glucose uptake, and increased lactate efflux in 21% oxygen. However, when combined with 0.5% oxygen, BAY did not enhance lactate efflux. These data demonstrate that hypoxia antagonizes the effects of HIF-1α activation on glycolytic flux.</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increases in glycolysis (</w:t>
      </w:r>
      <w:r>
        <w:rPr>
          <w:bCs/>
          <w:b/>
        </w:rPr>
        <w:t xml:space="preserve">Figure 8 - figure supplement 1F</w:t>
      </w:r>
      <w:r>
        <w:t xml:space="preserve">). These data indicate that the metabolic consequences of BAY treatment are a direct consequence of PHD inhibition and not simply an off-target effect.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metabolites (</w:t>
      </w:r>
      <w:r>
        <w:rPr>
          <w:bCs/>
          <w:b/>
        </w:rPr>
        <w:t xml:space="preserve">Figure 9 - figure supplement 1</w:t>
      </w:r>
      <w:r>
        <w:t xml:space="preserve">). Of 133 total metabolites, 98 were differentially regulated by hypoxia and 54 were differentially regulated by BAY. Of these, 44 were modulated by both treatments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consistent with our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BAY-treated cells, primarily through decreasing NADPH. This finding is consistent with prior studies of bovine coronary artery smooth muscle cells</w:t>
      </w:r>
      <w:r>
        <w:t xml:space="preserve"> </w:t>
      </w:r>
      <w:r>
        <w:t xml:space="preserve">(Gupte and Wolin, 2006)</w:t>
      </w:r>
      <w:r>
        <w:t xml:space="preserve">. In hypoxia, NADPH is generated primarily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66fff211460f0329462c14d146a3a711571304d"/>
    <w:p>
      <w:pPr>
        <w:pStyle w:val="Heading2"/>
      </w:pPr>
      <w:r>
        <w:t xml:space="preserve">Transcriptomic analysis identifies metabolic regulators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targets associated with hypoxia, but not BAY treatment (</w:t>
      </w:r>
      <w:r>
        <w:rPr>
          <w:bCs/>
          <w:b/>
        </w:rPr>
        <w:t xml:space="preserve">Figure 10F, Figure 10 - figure supplement 1G-H</w:t>
      </w:r>
      <w:r>
        <w:t xml:space="preserve">).</w:t>
      </w:r>
    </w:p>
    <w:p>
      <w:pPr>
        <w:pStyle w:val="BodyText"/>
      </w:pPr>
      <w:r>
        <w:t xml:space="preserve">As one example of MYC-dependent transcriptional regulation, MYC represses the transcription of</w:t>
      </w:r>
      <w:r>
        <w:t xml:space="preserve"> </w:t>
      </w:r>
      <w:r>
        <w:rPr>
          <w:iCs/>
          <w:i/>
        </w:rPr>
        <w:t xml:space="preserve">CDKN1A</w:t>
      </w:r>
      <w:r>
        <w:t xml:space="preserve">, which encodes the cyclin-dependent kinase and cell-cycle inhibitor p21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 consistent with MYC transcriptional activity.</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by immunoblot. Consistent with our bioinformatic results, we observed increased MYC in hypoxia-treated cells, but not with BAY-treatment alone, where MYC was decreased (</w:t>
      </w:r>
      <w:r>
        <w:rPr>
          <w:bCs/>
          <w:b/>
        </w:rPr>
        <w:t xml:space="preserve">Figure 11A-B</w:t>
      </w:r>
      <w:r>
        <w:t xml:space="preserve">). These findings were similar in siPHD2-treated cells (</w:t>
      </w:r>
      <w:r>
        <w:rPr>
          <w:bCs/>
          <w:b/>
        </w:rPr>
        <w:t xml:space="preserve">Figure 11 - figure supplement 1</w:t>
      </w:r>
      <w:r>
        <w:t xml:space="preserve">). Together, these data suggest a model whereby hypoxia activates MYC and inhibits HIF-driven increases in glycolysis (</w:t>
      </w:r>
      <w:r>
        <w:rPr>
          <w:bCs/>
          <w:b/>
        </w:rPr>
        <w:t xml:space="preserve">Figure 11C, top</w:t>
      </w:r>
      <w:r>
        <w:t xml:space="preserve">). Inhibiting MYC in hypoxia, therefore, should increase glycolysis. Conversely, HIF-dependent glycolysis after BAY treatment in normoxia should be sensitive to inhibition by MYC over-expression (</w:t>
      </w:r>
      <w:r>
        <w:rPr>
          <w:bCs/>
          <w:b/>
        </w:rPr>
        <w:t xml:space="preserve">Figure 11C, bottom</w:t>
      </w:r>
      <w:r>
        <w:t xml:space="preserve">).</w:t>
      </w:r>
    </w:p>
    <w:p>
      <w:pPr>
        <w:pStyle w:val="BodyText"/>
      </w:pPr>
      <w:r>
        <w:t xml:space="preserve">To test the hypothesis that hypoxia-induced MYC expression inhibits glycolysis in primary cells, we first combined MYC knockdown with hypoxia treatment (</w:t>
      </w:r>
      <w:r>
        <w:rPr>
          <w:bCs/>
          <w:b/>
        </w:rPr>
        <w:t xml:space="preserve">Figure 11C, top</w:t>
      </w:r>
      <w:r>
        <w:t xml:space="preserve">).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2A-E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t>
      </w:r>
      <w:r>
        <w:rPr>
          <w:bCs/>
          <w:b/>
        </w:rPr>
        <w:t xml:space="preserve">Figure 11C, bottom</w:t>
      </w:r>
      <w:r>
        <w:t xml:space="preserve">).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2F-J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HIF-1α transcriptional program and up-regulation of glycolytic genes. The LFs studied here are certainly capable of augmenting glycolysis in response to HIF-1α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enriched in BAY-treated cells cultured in hypoxia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Given the importance of MYC in regulating many aspects of cell biology, its intracellular concentration is closely regulated at multiple levels</w:t>
      </w:r>
      <w:r>
        <w:t xml:space="preserve"> </w:t>
      </w:r>
      <w:r>
        <w:t xml:space="preserve">(Stine et al., 2015)</w:t>
      </w:r>
      <w:r>
        <w:t xml:space="preserve">, including chromatin decompaction</w:t>
      </w:r>
      <w:r>
        <w:t xml:space="preserve"> </w:t>
      </w:r>
      <w:r>
        <w:t xml:space="preserve">(Devaiah et al., 2016)</w:t>
      </w:r>
      <w:r>
        <w:t xml:space="preserve">; gene transcription</w:t>
      </w:r>
      <w:r>
        <w:t xml:space="preserve"> </w:t>
      </w:r>
      <w:r>
        <w:t xml:space="preserve">(Spencer and Groudine, 1990; Vita and Henriksson, 2006)</w:t>
      </w:r>
      <w:r>
        <w:t xml:space="preserve">; mRNA stability</w:t>
      </w:r>
      <w:r>
        <w:t xml:space="preserve"> </w:t>
      </w:r>
      <w:r>
        <w:t xml:space="preserve">(Bernstein et al., 1992; Lemm and Ross, 2002; Weidensdorfer et al., 2009)</w:t>
      </w:r>
      <w:r>
        <w:t xml:space="preserve"> </w:t>
      </w:r>
      <w:r>
        <w:t xml:space="preserve">and translation</w:t>
      </w:r>
      <w:r>
        <w:t xml:space="preserve"> </w:t>
      </w:r>
      <w:r>
        <w:t xml:space="preserve">(Wall et al., 2008)</w:t>
      </w:r>
      <w:r>
        <w:t xml:space="preserve">; and protein degradation</w:t>
      </w:r>
      <w:r>
        <w:t xml:space="preserve"> </w:t>
      </w:r>
      <w:r>
        <w:t xml:space="preserve">(Adhikary and Eilers, 2005; Farrell and Sears, 2014)</w:t>
      </w:r>
      <w:r>
        <w:t xml:space="preserve">. MYC mRNA has a short half-life of less than 20 min</w:t>
      </w:r>
      <w:r>
        <w:t xml:space="preserve"> </w:t>
      </w:r>
      <w:r>
        <w:t xml:space="preserve">(Dani et al., 1984)</w:t>
      </w:r>
      <w:r>
        <w:t xml:space="preserve"> </w:t>
      </w:r>
      <w:r>
        <w:t xml:space="preserve">and hypoxia decreases MYC mRNA decay in immortalized cells by varied mechanisms</w:t>
      </w:r>
      <w:r>
        <w:t xml:space="preserve"> </w:t>
      </w:r>
      <w:r>
        <w:t xml:space="preserve">(Carraway et al., 2017; Fortenbery et al., 2018; Fry et al., 2017; Zhang et al., 2019; Zhang et al., 2017)</w:t>
      </w:r>
      <w:r>
        <w:t xml:space="preserve">. In HEK293T cells, 1% oxygen culture increased the half-life of MYC mRNA</w:t>
      </w:r>
      <w:r>
        <w:t xml:space="preserve"> </w:t>
      </w:r>
      <w:r>
        <w:t xml:space="preserve">(Fortenbery et al., 2018)</w:t>
      </w:r>
      <w:r>
        <w:t xml:space="preserve">. The authors also show that stabilizing HIF with pharmacologic prolyl hydroxylase inhibitors did not reproduce this effect. This differential effect of hypoxic and pharmacologic PHD inhibition resembles our data here describing metabolic differences between these conditions. Electron transport chain inhibitors and ebselen, an antioxidant and mimic of glutathione peroxidase, prevented the hypoxia-mediated increase in MYC mRNA half-life. These experiments suggest an important role for mitochondrially derived reactive oxygen species (ROS) in regulating MYC mRNA stability. Hypoxia also increases N6-methyladenosine modification of MYC mRNA, which decreases ribonucleoprotein binding. Less ribonucleoprotein binding may also contribute to MYC mRNA stabilization</w:t>
      </w:r>
      <w:r>
        <w:t xml:space="preserve"> </w:t>
      </w:r>
      <w:r>
        <w:t xml:space="preserve">(Carraway et al., 2017; Fortenbery et al., 2018)</w:t>
      </w:r>
      <w:r>
        <w:t xml:space="preserve">. MYC mRNA stability may also be enhanced by the hypoxia-induced down-regulation of micro RNAs miR-449a-5p and let-7g, which contribute to hypoxia-induced proliferation of PASMCs</w:t>
      </w:r>
      <w:r>
        <w:t xml:space="preserve"> </w:t>
      </w:r>
      <w:r>
        <w:rPr>
          <w:iCs/>
          <w:i/>
        </w:rPr>
        <w:t xml:space="preserve">in vitro</w:t>
      </w:r>
      <w:r>
        <w:t xml:space="preserve"> </w:t>
      </w:r>
      <w:r>
        <w:t xml:space="preserve">and pulmonary hypertension</w:t>
      </w:r>
      <w:r>
        <w:t xml:space="preserve"> </w:t>
      </w:r>
      <w:r>
        <w:rPr>
          <w:iCs/>
          <w:i/>
        </w:rPr>
        <w:t xml:space="preserve">in vivo</w:t>
      </w:r>
      <w:r>
        <w:t xml:space="preserve"> </w:t>
      </w:r>
      <w:r>
        <w:t xml:space="preserve">(Zhang et al., 2019; Zhang et al., 2017)</w:t>
      </w:r>
      <w:r>
        <w:t xml:space="preserve">. MYC protein also has a short half-life of less than 30 min</w:t>
      </w:r>
      <w:r>
        <w:t xml:space="preserve"> </w:t>
      </w:r>
      <w:r>
        <w:t xml:space="preserve">(Salghetti et al., 1999)</w:t>
      </w:r>
      <w:r>
        <w:t xml:space="preserve"> </w:t>
      </w:r>
      <w:r>
        <w:t xml:space="preserve">and is degraded by the proteasome</w:t>
      </w:r>
      <w:r>
        <w:t xml:space="preserve"> </w:t>
      </w:r>
      <w:r>
        <w:t xml:space="preserve">(Lutterbach and Hann, 1994)</w:t>
      </w:r>
      <w:r>
        <w:t xml:space="preserve">. Two phosphorylation sites, S62 and T58, regulate its stability MYC stability. S62 phosphorylation promotes MYC stability</w:t>
      </w:r>
      <w:r>
        <w:t xml:space="preserve"> </w:t>
      </w:r>
      <w:r>
        <w:t xml:space="preserve">(Lutterbach and Hann, 1994; Sears et al., 2000)</w:t>
      </w:r>
      <w:r>
        <w:t xml:space="preserve"> </w:t>
      </w:r>
      <w:r>
        <w:t xml:space="preserve">and T58 phosphorylation by GSK-3β or BRD4</w:t>
      </w:r>
      <w:r>
        <w:t xml:space="preserve"> </w:t>
      </w:r>
      <w:r>
        <w:t xml:space="preserve">(Devaiah et al., 2020; Gregory et al., 2003)</w:t>
      </w:r>
      <w:r>
        <w:t xml:space="preserve"> </w:t>
      </w:r>
      <w:r>
        <w:t xml:space="preserve">leading to S62 dephosphorylation, ubiquitination, and proteolysis. Identifying which of these many regulatory mechanisms are most important for sustaining MYC signaling in hypoxia will be critically important for understanding primary cell biology in variety of physiologic and pathophysiologic contexts.</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driven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1"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9" w:name="flux-calculations"/>
    <w:p>
      <w:pPr>
        <w:pStyle w:val="Heading2"/>
      </w:pPr>
      <w:r>
        <w:t xml:space="preserve">Flux calculations</w:t>
      </w:r>
    </w:p>
    <w:p>
      <w:pPr>
        <w:pStyle w:val="FirstParagraph"/>
      </w:pPr>
      <w:r>
        <w:t xml:space="preserve">The growth rate (</w:t>
      </w:r>
      <m:oMath>
        <m:r>
          <m:t>μ</m:t>
        </m:r>
      </m:oMath>
      <w:r>
        <w:t xml:space="preserve">) and flux (</w:t>
      </w:r>
      <m:oMath>
        <m:r>
          <m:t>v</m:t>
        </m:r>
      </m:oMath>
      <w:r>
        <w:t xml:space="preserve">) for each measured metabolite were defined as follows</w:t>
      </w:r>
      <w:r>
        <w:t xml:space="preserve"> </w:t>
      </w:r>
      <w:r>
        <w:t xml:space="preserve">(Murphy and Young, 2013)</w:t>
      </w:r>
      <w:r>
        <w:t xml:space="preserve">:</w:t>
      </w:r>
    </w:p>
    <w:p>
      <w:pPr>
        <w:pStyle w:val="BodyText"/>
      </w:pPr>
      <w:bookmarkStart w:id="45" w:name="eq-eq1"/>
      <m:oMathPara>
        <m:oMathParaPr>
          <m:jc m:val="center"/>
        </m:oMathParaPr>
        <m:oMath>
          <m:f>
            <m:fPr>
              <m:type m:val="bar"/>
            </m:fPr>
            <m:num>
              <m:r>
                <m:t>d</m:t>
              </m:r>
              <m:r>
                <m:t>X</m:t>
              </m:r>
            </m:num>
            <m:den>
              <m:r>
                <m:t>d</m:t>
              </m:r>
              <m:r>
                <m:t>t</m:t>
              </m:r>
            </m:den>
          </m:f>
          <m:r>
            <m:rPr>
              <m:sty m:val="p"/>
            </m:rPr>
            <m:t>=</m:t>
          </m:r>
          <m:r>
            <m:t>μ</m:t>
          </m:r>
          <m:r>
            <m:t>X</m:t>
          </m:r>
          <m:r>
            <m:t>  </m:t>
          </m:r>
          <m:d>
            <m:dPr>
              <m:begChr m:val="("/>
              <m:endChr m:val=")"/>
              <m:sepChr m:val=""/>
              <m:grow/>
            </m:dPr>
            <m:e>
              <m:r>
                <m:t>1</m:t>
              </m:r>
            </m:e>
          </m:d>
        </m:oMath>
      </m:oMathPara>
      <w:bookmarkEnd w:id="45"/>
    </w:p>
    <w:p>
      <w:pPr>
        <w:pStyle w:val="FirstParagraph"/>
      </w:pPr>
      <w:bookmarkStart w:id="46" w:name="eq-eq2"/>
      <m:oMathPara>
        <m:oMathParaPr>
          <m:jc m:val="center"/>
        </m:oMathParaPr>
        <m:oMath>
          <m:f>
            <m:fPr>
              <m:type m:val="bar"/>
            </m:fPr>
            <m:num>
              <m:r>
                <m:t>d</m:t>
              </m:r>
              <m:r>
                <m:t>M</m:t>
              </m:r>
            </m:num>
            <m:den>
              <m:r>
                <m:t>d</m:t>
              </m:r>
              <m:r>
                <m:t>t</m:t>
              </m:r>
            </m:den>
          </m:f>
          <m:r>
            <m:rPr>
              <m:sty m:val="p"/>
            </m:rPr>
            <m:t>=</m:t>
          </m:r>
          <m:r>
            <m:rPr>
              <m:sty m:val="p"/>
            </m:rPr>
            <m:t>−</m:t>
          </m:r>
          <m:r>
            <m:t>k</m:t>
          </m:r>
          <m:r>
            <m:t>M</m:t>
          </m:r>
          <m:r>
            <m:rPr>
              <m:sty m:val="p"/>
            </m:rPr>
            <m:t>+</m:t>
          </m:r>
          <m:r>
            <m:t>v</m:t>
          </m:r>
          <m:r>
            <m:t>X</m:t>
          </m:r>
          <m:r>
            <m:t>  </m:t>
          </m:r>
          <m:d>
            <m:dPr>
              <m:begChr m:val="("/>
              <m:endChr m:val=")"/>
              <m:sepChr m:val=""/>
              <m:grow/>
            </m:dPr>
            <m:e>
              <m:r>
                <m:t>2</m:t>
              </m:r>
            </m:e>
          </m:d>
        </m:oMath>
      </m:oMathPara>
      <w:bookmarkEnd w:id="46"/>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bookmarkStart w:id="47" w:name="eq-eq3"/>
      <m:oMathPara>
        <m:oMathParaPr>
          <m:jc m:val="center"/>
        </m:oMathParaPr>
        <m:oMath>
          <m:r>
            <m:t>X</m:t>
          </m:r>
          <m:r>
            <m:rPr>
              <m:sty m:val="p"/>
            </m:rPr>
            <m:t>=</m:t>
          </m:r>
          <m:sSub>
            <m:e>
              <m:r>
                <m:t>X</m:t>
              </m:r>
            </m:e>
            <m:sub>
              <m:r>
                <m:t>0</m:t>
              </m:r>
            </m:sub>
          </m:sSub>
          <m:sSup>
            <m:e>
              <m:r>
                <m:t>e</m:t>
              </m:r>
            </m:e>
            <m:sup>
              <m:r>
                <m:t>μ</m:t>
              </m:r>
              <m:r>
                <m:t>t</m:t>
              </m:r>
            </m:sup>
          </m:sSup>
          <m:r>
            <m:t>  </m:t>
          </m:r>
          <m:d>
            <m:dPr>
              <m:begChr m:val="("/>
              <m:endChr m:val=")"/>
              <m:sepChr m:val=""/>
              <m:grow/>
            </m:dPr>
            <m:e>
              <m:r>
                <m:t>3</m:t>
              </m:r>
            </m:e>
          </m:d>
        </m:oMath>
      </m:oMathPara>
      <w:bookmarkEnd w:id="47"/>
    </w:p>
    <w:p>
      <w:pPr>
        <w:pStyle w:val="FirstParagraph"/>
      </w:pPr>
      <w:bookmarkStart w:id="48" w:name="eq-eq4"/>
      <m:oMathPara>
        <m:oMathParaPr>
          <m:jc m:val="center"/>
        </m:oMathParaPr>
        <m:oMath>
          <m:r>
            <m:t>M</m:t>
          </m:r>
          <m:sSup>
            <m:e>
              <m:r>
                <m:t>e</m:t>
              </m:r>
            </m:e>
            <m:sup>
              <m:r>
                <m:t>k</m:t>
              </m:r>
              <m:r>
                <m:t>t</m:t>
              </m:r>
            </m:sup>
          </m:sSup>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oMath>
      </m:oMathPara>
      <w:bookmarkEnd w:id="48"/>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w:t>
      </w:r>
      <w:r>
        <w:t xml:space="preserve"> </w:t>
      </w:r>
      <w:r>
        <w:rPr>
          <w:bCs/>
          <w:b/>
        </w:rPr>
        <w:t xml:space="preserve">Equation 4</w:t>
      </w:r>
      <w:r>
        <w:t xml:space="preserve">.</w:t>
      </w:r>
    </w:p>
    <w:bookmarkEnd w:id="49"/>
    <w:bookmarkStart w:id="54" w:name="metabolomics"/>
    <w:p>
      <w:pPr>
        <w:pStyle w:val="Heading2"/>
      </w:pPr>
      <w:r>
        <w:t xml:space="preserve">Metabolomics</w:t>
      </w:r>
    </w:p>
    <w:bookmarkStart w:id="50"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50"/>
    <w:bookmarkStart w:id="51"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51"/>
    <w:bookmarkStart w:id="52"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52"/>
    <w:bookmarkStart w:id="53"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53"/>
    <w:bookmarkEnd w:id="54"/>
    <w:bookmarkStart w:id="55"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5"/>
    <w:bookmarkStart w:id="56"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6"/>
    <w:bookmarkStart w:id="57"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7"/>
    <w:bookmarkStart w:id="58"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8"/>
    <w:bookmarkStart w:id="59"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w:t>
      </w:r>
      <w:r>
        <w:rPr>
          <w:bCs/>
          <w:b/>
        </w:rPr>
        <w:t xml:space="preserve">R-base?</w:t>
      </w:r>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9"/>
    <w:bookmarkStart w:id="60"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60"/>
    <w:bookmarkEnd w:id="61"/>
    <w:bookmarkStart w:id="62"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2"/>
    <w:bookmarkStart w:id="63"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3"/>
    <w:bookmarkStart w:id="64"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4"/>
    <w:bookmarkStart w:id="289" w:name="references"/>
    <w:p>
      <w:pPr>
        <w:pStyle w:val="Heading1"/>
      </w:pPr>
      <w:r>
        <w:t xml:space="preserve">References</w:t>
      </w:r>
    </w:p>
    <w:bookmarkStart w:id="288" w:name="refs"/>
    <w:bookmarkStart w:id="66" w:name="ref-adhikary2005"/>
    <w:p>
      <w:pPr>
        <w:pStyle w:val="Bibliography"/>
      </w:pPr>
      <w:r>
        <w:t xml:space="preserve">Adhikary S, Eilers M. 2005. Transcriptional regulation and transformation by</w:t>
      </w:r>
      <w:r>
        <w:t xml:space="preserve"> </w:t>
      </w:r>
      <w:r>
        <w:t xml:space="preserve">Myc</w:t>
      </w:r>
      <w:r>
        <w:t xml:space="preserve"> </w:t>
      </w:r>
      <w:r>
        <w:t xml:space="preserve">proteins.</w:t>
      </w:r>
      <w:r>
        <w:t xml:space="preserve"> </w:t>
      </w:r>
      <w:r>
        <w:rPr>
          <w:iCs/>
          <w:i/>
        </w:rPr>
        <w:t xml:space="preserve">Nat Rev Mol Cell Biol</w:t>
      </w:r>
      <w:r>
        <w:t xml:space="preserve"> </w:t>
      </w:r>
      <w:r>
        <w:rPr>
          <w:bCs/>
          <w:b/>
        </w:rPr>
        <w:t xml:space="preserve">6</w:t>
      </w:r>
      <w:r>
        <w:t xml:space="preserve">:635–645. doi:</w:t>
      </w:r>
      <w:hyperlink r:id="rId65">
        <w:r>
          <w:rPr>
            <w:rStyle w:val="Hyperlink"/>
          </w:rPr>
          <w:t xml:space="preserve">10.1038/nrm1703</w:t>
        </w:r>
      </w:hyperlink>
    </w:p>
    <w:bookmarkEnd w:id="66"/>
    <w:bookmarkStart w:id="68"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7">
        <w:r>
          <w:rPr>
            <w:rStyle w:val="Hyperlink"/>
          </w:rPr>
          <w:t xml:space="preserve">10.1016/j.ymben.2011.07.002</w:t>
        </w:r>
      </w:hyperlink>
    </w:p>
    <w:bookmarkEnd w:id="68"/>
    <w:bookmarkStart w:id="70"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9">
        <w:r>
          <w:rPr>
            <w:rStyle w:val="Hyperlink"/>
          </w:rPr>
          <w:t xml:space="preserve">10.1038/s12276-018-0060-y</w:t>
        </w:r>
      </w:hyperlink>
    </w:p>
    <w:bookmarkEnd w:id="70"/>
    <w:bookmarkStart w:id="72"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71">
        <w:r>
          <w:rPr>
            <w:rStyle w:val="Hyperlink"/>
          </w:rPr>
          <w:t xml:space="preserve">10.1016/j.ymben.2006.01.004</w:t>
        </w:r>
      </w:hyperlink>
    </w:p>
    <w:bookmarkEnd w:id="72"/>
    <w:bookmarkStart w:id="74"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73">
        <w:r>
          <w:rPr>
            <w:rStyle w:val="Hyperlink"/>
          </w:rPr>
          <w:t xml:space="preserve">10.1126/science.aau5870</w:t>
        </w:r>
      </w:hyperlink>
    </w:p>
    <w:bookmarkEnd w:id="74"/>
    <w:bookmarkStart w:id="76" w:name="ref-bernstein1992"/>
    <w:p>
      <w:pPr>
        <w:pStyle w:val="Bibliography"/>
      </w:pPr>
      <w:r>
        <w:t xml:space="preserve">Bernstein PL, Herrick DJ, Prokipcak RD, Ross J. 1992. Control of c-myc</w:t>
      </w:r>
      <w:r>
        <w:t xml:space="preserve"> </w:t>
      </w:r>
      <w:r>
        <w:t xml:space="preserve">mRNA</w:t>
      </w:r>
      <w:r>
        <w:t xml:space="preserve"> </w:t>
      </w:r>
      <w:r>
        <w:t xml:space="preserve">half-life in vitro by a protein capable of binding to a coding region stability determinant.</w:t>
      </w:r>
      <w:r>
        <w:t xml:space="preserve"> </w:t>
      </w:r>
      <w:r>
        <w:rPr>
          <w:iCs/>
          <w:i/>
        </w:rPr>
        <w:t xml:space="preserve">Genes Dev</w:t>
      </w:r>
      <w:r>
        <w:t xml:space="preserve"> </w:t>
      </w:r>
      <w:r>
        <w:rPr>
          <w:bCs/>
          <w:b/>
        </w:rPr>
        <w:t xml:space="preserve">6</w:t>
      </w:r>
      <w:r>
        <w:t xml:space="preserve">:642–654. doi:</w:t>
      </w:r>
      <w:hyperlink r:id="rId75">
        <w:r>
          <w:rPr>
            <w:rStyle w:val="Hyperlink"/>
          </w:rPr>
          <w:t xml:space="preserve">10.1101/gad.6.4.642</w:t>
        </w:r>
      </w:hyperlink>
    </w:p>
    <w:bookmarkEnd w:id="76"/>
    <w:bookmarkStart w:id="78"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77">
        <w:r>
          <w:rPr>
            <w:rStyle w:val="Hyperlink"/>
          </w:rPr>
          <w:t xml:space="preserve">10.1007/s11306-018-1367-3</w:t>
        </w:r>
      </w:hyperlink>
    </w:p>
    <w:bookmarkEnd w:id="78"/>
    <w:bookmarkStart w:id="80"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9">
        <w:r>
          <w:rPr>
            <w:rStyle w:val="Hyperlink"/>
          </w:rPr>
          <w:t xml:space="preserve">10.1016/j.copbio.2015.02.003</w:t>
        </w:r>
      </w:hyperlink>
    </w:p>
    <w:bookmarkEnd w:id="80"/>
    <w:bookmarkStart w:id="82" w:name="ref-carraway2017"/>
    <w:p>
      <w:pPr>
        <w:pStyle w:val="Bibliography"/>
      </w:pPr>
      <w:r>
        <w:t xml:space="preserve">Carraway KR, Johnson EM, Kauffmann TC, Fry NJ, Mansfield KD. 2017. Hypoxia and</w:t>
      </w:r>
      <w:r>
        <w:t xml:space="preserve"> </w:t>
      </w:r>
      <w:r>
        <w:t xml:space="preserve">Hypoglycemia</w:t>
      </w:r>
      <w:r>
        <w:t xml:space="preserve"> </w:t>
      </w:r>
      <w:r>
        <w:t xml:space="preserve">synergistically regulate</w:t>
      </w:r>
      <w:r>
        <w:t xml:space="preserve"> </w:t>
      </w:r>
      <w:r>
        <w:t xml:space="preserve">mRNA</w:t>
      </w:r>
      <w:r>
        <w:t xml:space="preserve"> </w:t>
      </w:r>
      <w:r>
        <w:t xml:space="preserve">stability.</w:t>
      </w:r>
      <w:r>
        <w:t xml:space="preserve"> </w:t>
      </w:r>
      <w:r>
        <w:rPr>
          <w:iCs/>
          <w:i/>
        </w:rPr>
        <w:t xml:space="preserve">RNA Biol</w:t>
      </w:r>
      <w:r>
        <w:t xml:space="preserve"> </w:t>
      </w:r>
      <w:r>
        <w:rPr>
          <w:bCs/>
          <w:b/>
        </w:rPr>
        <w:t xml:space="preserve">14</w:t>
      </w:r>
      <w:r>
        <w:t xml:space="preserve">:938–951. doi:</w:t>
      </w:r>
      <w:hyperlink r:id="rId81">
        <w:r>
          <w:rPr>
            <w:rStyle w:val="Hyperlink"/>
          </w:rPr>
          <w:t xml:space="preserve">10.1080/15476286.2017.1311456</w:t>
        </w:r>
      </w:hyperlink>
    </w:p>
    <w:bookmarkEnd w:id="82"/>
    <w:bookmarkStart w:id="8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83"/>
    <w:bookmarkStart w:id="8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84">
        <w:r>
          <w:rPr>
            <w:rStyle w:val="Hyperlink"/>
          </w:rPr>
          <w:t xml:space="preserve">10.1073/pnas.95.20.11715</w:t>
        </w:r>
      </w:hyperlink>
    </w:p>
    <w:bookmarkEnd w:id="85"/>
    <w:bookmarkStart w:id="8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86">
        <w:r>
          <w:rPr>
            <w:rStyle w:val="Hyperlink"/>
          </w:rPr>
          <w:t xml:space="preserve">10.1152/ajplung.00183.2009</w:t>
        </w:r>
      </w:hyperlink>
    </w:p>
    <w:bookmarkEnd w:id="87"/>
    <w:bookmarkStart w:id="8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88">
        <w:r>
          <w:rPr>
            <w:rStyle w:val="Hyperlink"/>
          </w:rPr>
          <w:t xml:space="preserve">10.1016/j.bbrc.2012.12.006</w:t>
        </w:r>
      </w:hyperlink>
    </w:p>
    <w:bookmarkEnd w:id="89"/>
    <w:bookmarkStart w:id="91"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90">
        <w:r>
          <w:rPr>
            <w:rStyle w:val="Hyperlink"/>
          </w:rPr>
          <w:t xml:space="preserve">10.1371/journal.pone.0145850</w:t>
        </w:r>
      </w:hyperlink>
    </w:p>
    <w:bookmarkEnd w:id="91"/>
    <w:bookmarkStart w:id="93"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92">
        <w:r>
          <w:rPr>
            <w:rStyle w:val="Hyperlink"/>
          </w:rPr>
          <w:t xml:space="preserve">10.1016/j.cell.2012.03.003</w:t>
        </w:r>
      </w:hyperlink>
    </w:p>
    <w:bookmarkEnd w:id="93"/>
    <w:bookmarkStart w:id="95"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94">
        <w:r>
          <w:rPr>
            <w:rStyle w:val="Hyperlink"/>
          </w:rPr>
          <w:t xml:space="preserve">10.1016/j.semcancer.2006.07.014</w:t>
        </w:r>
      </w:hyperlink>
    </w:p>
    <w:bookmarkEnd w:id="95"/>
    <w:bookmarkStart w:id="97" w:name="ref-dani1984"/>
    <w:p>
      <w:pPr>
        <w:pStyle w:val="Bibliography"/>
      </w:pPr>
      <w:r>
        <w:t xml:space="preserve">Dani C, Blanchard JM, Piechaczyk M, El Sabouty S, Marty L, Jeanteur P. 1984. Extreme instability of myc</w:t>
      </w:r>
      <w:r>
        <w:t xml:space="preserve"> </w:t>
      </w:r>
      <w:r>
        <w:t xml:space="preserve">mRNA</w:t>
      </w:r>
      <w:r>
        <w:t xml:space="preserve"> </w:t>
      </w:r>
      <w:r>
        <w:t xml:space="preserve">in normal and transformed human cells.</w:t>
      </w:r>
      <w:r>
        <w:t xml:space="preserve"> </w:t>
      </w:r>
      <w:r>
        <w:rPr>
          <w:iCs/>
          <w:i/>
        </w:rPr>
        <w:t xml:space="preserve">Proc Natl Acad Sci U S A</w:t>
      </w:r>
      <w:r>
        <w:t xml:space="preserve"> </w:t>
      </w:r>
      <w:r>
        <w:rPr>
          <w:bCs/>
          <w:b/>
        </w:rPr>
        <w:t xml:space="preserve">81</w:t>
      </w:r>
      <w:r>
        <w:t xml:space="preserve">:7046–7050. doi:</w:t>
      </w:r>
      <w:hyperlink r:id="rId96">
        <w:r>
          <w:rPr>
            <w:rStyle w:val="Hyperlink"/>
          </w:rPr>
          <w:t xml:space="preserve">10.1073/pnas.81.22.7046</w:t>
        </w:r>
      </w:hyperlink>
    </w:p>
    <w:bookmarkEnd w:id="97"/>
    <w:bookmarkStart w:id="99" w:name="ref-devaiah2016"/>
    <w:p>
      <w:pPr>
        <w:pStyle w:val="Bibliography"/>
      </w:pPr>
      <w:r>
        <w:t xml:space="preserve">Devaiah BN, Case-Borden C, Gegonne A, Hsu CH, Chen Q, Meerzaman D, Dey A, Ozato K, Singer DS. 2016.</w:t>
      </w:r>
      <w:r>
        <w:t xml:space="preserve"> </w:t>
      </w:r>
      <w:r>
        <w:t xml:space="preserve">BRD4</w:t>
      </w:r>
      <w:r>
        <w:t xml:space="preserve"> </w:t>
      </w:r>
      <w:r>
        <w:t xml:space="preserve">is a histone acetyltransferase that evicts nucleosomes from chromatin.</w:t>
      </w:r>
      <w:r>
        <w:t xml:space="preserve"> </w:t>
      </w:r>
      <w:r>
        <w:rPr>
          <w:iCs/>
          <w:i/>
        </w:rPr>
        <w:t xml:space="preserve">Nat Struct Mol Biol</w:t>
      </w:r>
      <w:r>
        <w:t xml:space="preserve"> </w:t>
      </w:r>
      <w:r>
        <w:rPr>
          <w:bCs/>
          <w:b/>
        </w:rPr>
        <w:t xml:space="preserve">23</w:t>
      </w:r>
      <w:r>
        <w:t xml:space="preserve">:540–548. doi:</w:t>
      </w:r>
      <w:hyperlink r:id="rId98">
        <w:r>
          <w:rPr>
            <w:rStyle w:val="Hyperlink"/>
          </w:rPr>
          <w:t xml:space="preserve">10.1038/nsmb.3228</w:t>
        </w:r>
      </w:hyperlink>
    </w:p>
    <w:bookmarkEnd w:id="99"/>
    <w:bookmarkStart w:id="101" w:name="ref-devaiah2020"/>
    <w:p>
      <w:pPr>
        <w:pStyle w:val="Bibliography"/>
      </w:pPr>
      <w:r>
        <w:t xml:space="preserve">Devaiah BN, Mu J, Akman B, Uppal S, Weissman JD, Cheng D, Baranello L, Nie Z, Levens D, Singer DS. 2020.</w:t>
      </w:r>
      <w:r>
        <w:t xml:space="preserve"> </w:t>
      </w:r>
      <w:r>
        <w:t xml:space="preserve">MYC</w:t>
      </w:r>
      <w:r>
        <w:t xml:space="preserve"> </w:t>
      </w:r>
      <w:r>
        <w:t xml:space="preserve">protein stability is negatively regulated by</w:t>
      </w:r>
      <w:r>
        <w:t xml:space="preserve"> </w:t>
      </w:r>
      <w:r>
        <w:t xml:space="preserve">BRD4</w:t>
      </w:r>
      <w:r>
        <w:t xml:space="preserve">.</w:t>
      </w:r>
      <w:r>
        <w:t xml:space="preserve"> </w:t>
      </w:r>
      <w:r>
        <w:rPr>
          <w:iCs/>
          <w:i/>
        </w:rPr>
        <w:t xml:space="preserve">Proc Natl Acad Sci U S A</w:t>
      </w:r>
      <w:r>
        <w:t xml:space="preserve"> </w:t>
      </w:r>
      <w:r>
        <w:rPr>
          <w:bCs/>
          <w:b/>
        </w:rPr>
        <w:t xml:space="preserve">117</w:t>
      </w:r>
      <w:r>
        <w:t xml:space="preserve">:13457–13467. doi:</w:t>
      </w:r>
      <w:hyperlink r:id="rId100">
        <w:r>
          <w:rPr>
            <w:rStyle w:val="Hyperlink"/>
          </w:rPr>
          <w:t xml:space="preserve">10.1073/pnas.1919507117</w:t>
        </w:r>
      </w:hyperlink>
    </w:p>
    <w:bookmarkEnd w:id="101"/>
    <w:bookmarkStart w:id="103"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102">
        <w:r>
          <w:rPr>
            <w:rStyle w:val="Hyperlink"/>
          </w:rPr>
          <w:t xml:space="preserve">10.1021/ac051632c</w:t>
        </w:r>
      </w:hyperlink>
    </w:p>
    <w:bookmarkEnd w:id="103"/>
    <w:bookmarkStart w:id="105"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104">
        <w:r>
          <w:rPr>
            <w:rStyle w:val="Hyperlink"/>
          </w:rPr>
          <w:t xml:space="preserve">10.1158/0008-5472.CAN-11-2371</w:t>
        </w:r>
      </w:hyperlink>
    </w:p>
    <w:bookmarkEnd w:id="105"/>
    <w:bookmarkStart w:id="10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106">
        <w:r>
          <w:rPr>
            <w:rStyle w:val="Hyperlink"/>
          </w:rPr>
          <w:t xml:space="preserve">10.1038/msb.2013.65</w:t>
        </w:r>
      </w:hyperlink>
    </w:p>
    <w:bookmarkEnd w:id="107"/>
    <w:bookmarkStart w:id="109" w:name="ref-farrell2014"/>
    <w:p>
      <w:pPr>
        <w:pStyle w:val="Bibliography"/>
      </w:pPr>
      <w:r>
        <w:t xml:space="preserve">Farrell AS, Sears RC. 2014.</w:t>
      </w:r>
      <w:r>
        <w:t xml:space="preserve"> </w:t>
      </w:r>
      <w:r>
        <w:t xml:space="preserve">MYC</w:t>
      </w:r>
      <w:r>
        <w:t xml:space="preserve"> </w:t>
      </w:r>
      <w:r>
        <w:t xml:space="preserve">degradation.</w:t>
      </w:r>
      <w:r>
        <w:t xml:space="preserve"> </w:t>
      </w:r>
      <w:r>
        <w:rPr>
          <w:iCs/>
          <w:i/>
        </w:rPr>
        <w:t xml:space="preserve">Cold Spring Harb Perspect Med</w:t>
      </w:r>
      <w:r>
        <w:t xml:space="preserve"> </w:t>
      </w:r>
      <w:r>
        <w:rPr>
          <w:bCs/>
          <w:b/>
        </w:rPr>
        <w:t xml:space="preserve">4</w:t>
      </w:r>
      <w:r>
        <w:t xml:space="preserve">:a014365. doi:</w:t>
      </w:r>
      <w:hyperlink r:id="rId108">
        <w:r>
          <w:rPr>
            <w:rStyle w:val="Hyperlink"/>
          </w:rPr>
          <w:t xml:space="preserve">10.1101/cshperspect.a014365</w:t>
        </w:r>
      </w:hyperlink>
    </w:p>
    <w:bookmarkEnd w:id="109"/>
    <w:bookmarkStart w:id="111"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110">
        <w:r>
          <w:rPr>
            <w:rStyle w:val="Hyperlink"/>
          </w:rPr>
          <w:t xml:space="preserve">10.1016/j.cmet.2012.12.001</w:t>
        </w:r>
      </w:hyperlink>
    </w:p>
    <w:bookmarkEnd w:id="111"/>
    <w:bookmarkStart w:id="113"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112">
        <w:r>
          <w:rPr>
            <w:rStyle w:val="Hyperlink"/>
          </w:rPr>
          <w:t xml:space="preserve">10.1016/j.cell.2017.09.019</w:t>
        </w:r>
      </w:hyperlink>
    </w:p>
    <w:bookmarkEnd w:id="113"/>
    <w:bookmarkStart w:id="115"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114">
        <w:r>
          <w:rPr>
            <w:rStyle w:val="Hyperlink"/>
          </w:rPr>
          <w:t xml:space="preserve">10.1016/j.cmet.2012.10.017</w:t>
        </w:r>
      </w:hyperlink>
    </w:p>
    <w:bookmarkEnd w:id="115"/>
    <w:bookmarkStart w:id="117"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16">
        <w:r>
          <w:rPr>
            <w:rStyle w:val="Hyperlink"/>
          </w:rPr>
          <w:t xml:space="preserve">10.1002/(SICI)1096-9888(199603)31:3&lt;255::AID-JMS290&gt;3.0.CO;2-3</w:t>
        </w:r>
      </w:hyperlink>
    </w:p>
    <w:bookmarkEnd w:id="117"/>
    <w:bookmarkStart w:id="119"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18">
        <w:r>
          <w:rPr>
            <w:rStyle w:val="Hyperlink"/>
          </w:rPr>
          <w:t xml:space="preserve">10.4103/2045-8932.97606</w:t>
        </w:r>
      </w:hyperlink>
    </w:p>
    <w:bookmarkEnd w:id="119"/>
    <w:bookmarkStart w:id="121"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20">
        <w:r>
          <w:rPr>
            <w:rStyle w:val="Hyperlink"/>
          </w:rPr>
          <w:t xml:space="preserve">10.1089/ars.2017.7120</w:t>
        </w:r>
      </w:hyperlink>
    </w:p>
    <w:bookmarkEnd w:id="121"/>
    <w:bookmarkStart w:id="12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22">
        <w:r>
          <w:rPr>
            <w:rStyle w:val="Hyperlink"/>
          </w:rPr>
          <w:t xml:space="preserve">10.1371/journal.pone.0111838</w:t>
        </w:r>
      </w:hyperlink>
    </w:p>
    <w:bookmarkEnd w:id="123"/>
    <w:bookmarkStart w:id="125" w:name="ref-fortenbery2018"/>
    <w:p>
      <w:pPr>
        <w:pStyle w:val="Bibliography"/>
      </w:pPr>
      <w:r>
        <w:t xml:space="preserve">Fortenbery GW, Sarathy B, Carraway KR, Mansfield KD. 2018. Hypoxic stabilization of</w:t>
      </w:r>
      <w:r>
        <w:t xml:space="preserve"> </w:t>
      </w:r>
      <w:r>
        <w:t xml:space="preserve">mRNA</w:t>
      </w:r>
      <w:r>
        <w:t xml:space="preserve"> </w:t>
      </w:r>
      <w:r>
        <w:t xml:space="preserve">is</w:t>
      </w:r>
      <w:r>
        <w:t xml:space="preserve"> </w:t>
      </w:r>
      <w:r>
        <w:t xml:space="preserve">HIF-independent</w:t>
      </w:r>
      <w:r>
        <w:t xml:space="preserve"> </w:t>
      </w:r>
      <w:r>
        <w:t xml:space="preserve">but requires</w:t>
      </w:r>
      <w:r>
        <w:t xml:space="preserve"> </w:t>
      </w:r>
      <w:r>
        <w:t xml:space="preserve">mtROS</w:t>
      </w:r>
      <w:r>
        <w:t xml:space="preserve">.</w:t>
      </w:r>
      <w:r>
        <w:t xml:space="preserve"> </w:t>
      </w:r>
      <w:r>
        <w:rPr>
          <w:iCs/>
          <w:i/>
        </w:rPr>
        <w:t xml:space="preserve">Cell Mol Biol Lett</w:t>
      </w:r>
      <w:r>
        <w:t xml:space="preserve"> </w:t>
      </w:r>
      <w:r>
        <w:rPr>
          <w:bCs/>
          <w:b/>
        </w:rPr>
        <w:t xml:space="preserve">23</w:t>
      </w:r>
      <w:r>
        <w:t xml:space="preserve">:48. doi:</w:t>
      </w:r>
      <w:hyperlink r:id="rId124">
        <w:r>
          <w:rPr>
            <w:rStyle w:val="Hyperlink"/>
          </w:rPr>
          <w:t xml:space="preserve">10.1186/s11658-018-0112-2</w:t>
        </w:r>
      </w:hyperlink>
    </w:p>
    <w:bookmarkEnd w:id="125"/>
    <w:bookmarkStart w:id="127" w:name="ref-fry2017"/>
    <w:p>
      <w:pPr>
        <w:pStyle w:val="Bibliography"/>
      </w:pPr>
      <w:r>
        <w:t xml:space="preserve">Fry NJ, Law BA, Ilkayeva OR, Holley CL, Mansfield KD. 2017. N6-methyladenosine is required for the hypoxic stabilization of specific</w:t>
      </w:r>
      <w:r>
        <w:t xml:space="preserve"> </w:t>
      </w:r>
      <w:r>
        <w:t xml:space="preserve">mRNAs</w:t>
      </w:r>
      <w:r>
        <w:t xml:space="preserve">.</w:t>
      </w:r>
      <w:r>
        <w:t xml:space="preserve"> </w:t>
      </w:r>
      <w:r>
        <w:rPr>
          <w:iCs/>
          <w:i/>
        </w:rPr>
        <w:t xml:space="preserve">RNA</w:t>
      </w:r>
      <w:r>
        <w:t xml:space="preserve"> </w:t>
      </w:r>
      <w:r>
        <w:rPr>
          <w:bCs/>
          <w:b/>
        </w:rPr>
        <w:t xml:space="preserve">23</w:t>
      </w:r>
      <w:r>
        <w:t xml:space="preserve">:1444–1455. doi:</w:t>
      </w:r>
      <w:hyperlink r:id="rId126">
        <w:r>
          <w:rPr>
            <w:rStyle w:val="Hyperlink"/>
          </w:rPr>
          <w:t xml:space="preserve">10.1261/rna.061044.117</w:t>
        </w:r>
      </w:hyperlink>
    </w:p>
    <w:bookmarkEnd w:id="127"/>
    <w:bookmarkStart w:id="12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28">
        <w:r>
          <w:rPr>
            <w:rStyle w:val="Hyperlink"/>
          </w:rPr>
          <w:t xml:space="preserve">10.1016/j.cmet.2013.02.002</w:t>
        </w:r>
      </w:hyperlink>
    </w:p>
    <w:bookmarkEnd w:id="129"/>
    <w:bookmarkStart w:id="13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30">
        <w:r>
          <w:rPr>
            <w:rStyle w:val="Hyperlink"/>
          </w:rPr>
          <w:t xml:space="preserve">10.1101/gr.240663.118</w:t>
        </w:r>
      </w:hyperlink>
    </w:p>
    <w:bookmarkEnd w:id="131"/>
    <w:bookmarkStart w:id="13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32">
        <w:r>
          <w:rPr>
            <w:rStyle w:val="Hyperlink"/>
          </w:rPr>
          <w:t xml:space="preserve">10.1038/s41556-018-0118-z</w:t>
        </w:r>
      </w:hyperlink>
    </w:p>
    <w:bookmarkEnd w:id="133"/>
    <w:bookmarkStart w:id="13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34">
        <w:r>
          <w:rPr>
            <w:rStyle w:val="Hyperlink"/>
          </w:rPr>
          <w:t xml:space="preserve">10.3390/genes10030244</w:t>
        </w:r>
      </w:hyperlink>
    </w:p>
    <w:bookmarkEnd w:id="135"/>
    <w:bookmarkStart w:id="13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36">
        <w:r>
          <w:rPr>
            <w:rStyle w:val="Hyperlink"/>
          </w:rPr>
          <w:t xml:space="preserve">10.1074/jbc.M010189200</w:t>
        </w:r>
      </w:hyperlink>
    </w:p>
    <w:bookmarkEnd w:id="137"/>
    <w:bookmarkStart w:id="13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38">
        <w:r>
          <w:rPr>
            <w:rStyle w:val="Hyperlink"/>
          </w:rPr>
          <w:t xml:space="preserve">10.1111/j.1471-4159.1988.tb04851.x</w:t>
        </w:r>
      </w:hyperlink>
    </w:p>
    <w:bookmarkEnd w:id="139"/>
    <w:bookmarkStart w:id="14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40">
        <w:r>
          <w:rPr>
            <w:rStyle w:val="Hyperlink"/>
          </w:rPr>
          <w:t xml:space="preserve">10.1016/j.ccr.2007.02.006</w:t>
        </w:r>
      </w:hyperlink>
    </w:p>
    <w:bookmarkEnd w:id="141"/>
    <w:bookmarkStart w:id="14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42">
        <w:r>
          <w:rPr>
            <w:rStyle w:val="Hyperlink"/>
          </w:rPr>
          <w:t xml:space="preserve">10.1158/0008-5472.CAN-14-0772-T</w:t>
        </w:r>
      </w:hyperlink>
    </w:p>
    <w:bookmarkEnd w:id="143"/>
    <w:bookmarkStart w:id="145" w:name="ref-gregory2003"/>
    <w:p>
      <w:pPr>
        <w:pStyle w:val="Bibliography"/>
      </w:pPr>
      <w:r>
        <w:t xml:space="preserve">Gregory MA, Qi Y, Hann SR. 2003. Phosphorylation by glycogen synthase kinase-3 controls c-myc proteolysis and subnuclear localization.</w:t>
      </w:r>
      <w:r>
        <w:t xml:space="preserve"> </w:t>
      </w:r>
      <w:r>
        <w:rPr>
          <w:iCs/>
          <w:i/>
        </w:rPr>
        <w:t xml:space="preserve">J Biol Chem</w:t>
      </w:r>
      <w:r>
        <w:t xml:space="preserve"> </w:t>
      </w:r>
      <w:r>
        <w:rPr>
          <w:bCs/>
          <w:b/>
        </w:rPr>
        <w:t xml:space="preserve">278</w:t>
      </w:r>
      <w:r>
        <w:t xml:space="preserve">:51606–51612. doi:</w:t>
      </w:r>
      <w:hyperlink r:id="rId144">
        <w:r>
          <w:rPr>
            <w:rStyle w:val="Hyperlink"/>
          </w:rPr>
          <w:t xml:space="preserve">10.1074/jbc.M310722200</w:t>
        </w:r>
      </w:hyperlink>
    </w:p>
    <w:bookmarkEnd w:id="145"/>
    <w:bookmarkStart w:id="147"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46">
        <w:r>
          <w:rPr>
            <w:rStyle w:val="Hyperlink"/>
          </w:rPr>
          <w:t xml:space="preserve">10.1038/s41598-019-55951-9</w:t>
        </w:r>
      </w:hyperlink>
    </w:p>
    <w:bookmarkEnd w:id="147"/>
    <w:bookmarkStart w:id="149"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48">
        <w:r>
          <w:rPr>
            <w:rStyle w:val="Hyperlink"/>
          </w:rPr>
          <w:t xml:space="preserve">10.1152/ajpheart.00615.2005</w:t>
        </w:r>
      </w:hyperlink>
    </w:p>
    <w:bookmarkEnd w:id="149"/>
    <w:bookmarkStart w:id="151"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50">
        <w:r>
          <w:rPr>
            <w:rStyle w:val="Hyperlink"/>
          </w:rPr>
          <w:t xml:space="preserve">10.1016/j.cmet.2005.05.001</w:t>
        </w:r>
      </w:hyperlink>
    </w:p>
    <w:bookmarkEnd w:id="151"/>
    <w:bookmarkStart w:id="153"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52">
        <w:r>
          <w:rPr>
            <w:rStyle w:val="Hyperlink"/>
          </w:rPr>
          <w:t xml:space="preserve">10.1152/ajpcell.00279.2015</w:t>
        </w:r>
      </w:hyperlink>
    </w:p>
    <w:bookmarkEnd w:id="153"/>
    <w:bookmarkStart w:id="155"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54">
        <w:r>
          <w:rPr>
            <w:rStyle w:val="Hyperlink"/>
          </w:rPr>
          <w:t xml:space="preserve">10.1016/j.cmet.2020.07.013</w:t>
        </w:r>
      </w:hyperlink>
    </w:p>
    <w:bookmarkEnd w:id="155"/>
    <w:bookmarkStart w:id="157"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56">
        <w:r>
          <w:rPr>
            <w:rStyle w:val="Hyperlink"/>
          </w:rPr>
          <w:t xml:space="preserve">10.1038/nature24057</w:t>
        </w:r>
      </w:hyperlink>
    </w:p>
    <w:bookmarkEnd w:id="157"/>
    <w:bookmarkStart w:id="159"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58">
        <w:r>
          <w:rPr>
            <w:rStyle w:val="Hyperlink"/>
          </w:rPr>
          <w:t xml:space="preserve">10.3390/genes8070174</w:t>
        </w:r>
      </w:hyperlink>
    </w:p>
    <w:bookmarkEnd w:id="159"/>
    <w:bookmarkStart w:id="161"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60">
        <w:r>
          <w:rPr>
            <w:rStyle w:val="Hyperlink"/>
          </w:rPr>
          <w:t xml:space="preserve">10.1146/annurev-biochem-061516-044724</w:t>
        </w:r>
      </w:hyperlink>
    </w:p>
    <w:bookmarkEnd w:id="161"/>
    <w:bookmarkStart w:id="163"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62">
        <w:r>
          <w:rPr>
            <w:rStyle w:val="Hyperlink"/>
          </w:rPr>
          <w:t xml:space="preserve">10.1016/j.cell.2020.03.029</w:t>
        </w:r>
      </w:hyperlink>
    </w:p>
    <w:bookmarkEnd w:id="163"/>
    <w:bookmarkStart w:id="165"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64">
        <w:r>
          <w:rPr>
            <w:rStyle w:val="Hyperlink"/>
          </w:rPr>
          <w:t xml:space="preserve">10.1007/978-1-62703-299-5_18</w:t>
        </w:r>
      </w:hyperlink>
    </w:p>
    <w:bookmarkEnd w:id="165"/>
    <w:bookmarkStart w:id="167"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66">
        <w:r>
          <w:rPr>
            <w:rStyle w:val="Hyperlink"/>
          </w:rPr>
          <w:t xml:space="preserve">10.1038/nature17393</w:t>
        </w:r>
      </w:hyperlink>
    </w:p>
    <w:bookmarkEnd w:id="167"/>
    <w:bookmarkStart w:id="16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68">
        <w:r>
          <w:rPr>
            <w:rStyle w:val="Hyperlink"/>
          </w:rPr>
          <w:t xml:space="preserve">10.1093/nar/28.1.27</w:t>
        </w:r>
      </w:hyperlink>
    </w:p>
    <w:bookmarkEnd w:id="169"/>
    <w:bookmarkStart w:id="17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70">
        <w:r>
          <w:rPr>
            <w:rStyle w:val="Hyperlink"/>
          </w:rPr>
          <w:t xml:space="preserve">10.1038/nature14363</w:t>
        </w:r>
      </w:hyperlink>
    </w:p>
    <w:bookmarkEnd w:id="171"/>
    <w:bookmarkStart w:id="173" w:name="ref-korotkevich2021"/>
    <w:p>
      <w:pPr>
        <w:pStyle w:val="Bibliography"/>
      </w:pPr>
      <w:r>
        <w:t xml:space="preserve">Korotkevich G, Sukhov V, Budin N, Shpak B, Artyomov MN, Sergushichev A. 2021. Fast gene set enrichment analysis. doi:</w:t>
      </w:r>
      <w:hyperlink r:id="rId172">
        <w:r>
          <w:rPr>
            <w:rStyle w:val="Hyperlink"/>
          </w:rPr>
          <w:t xml:space="preserve">10.1101/060012</w:t>
        </w:r>
      </w:hyperlink>
    </w:p>
    <w:bookmarkEnd w:id="173"/>
    <w:bookmarkStart w:id="1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74">
        <w:r>
          <w:rPr>
            <w:rStyle w:val="Hyperlink"/>
          </w:rPr>
          <w:t xml:space="preserve">10.1038/sj.emboj.7600196</w:t>
        </w:r>
      </w:hyperlink>
    </w:p>
    <w:bookmarkEnd w:id="175"/>
    <w:bookmarkStart w:id="17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76">
        <w:r>
          <w:rPr>
            <w:rStyle w:val="Hyperlink"/>
          </w:rPr>
          <w:t xml:space="preserve">10.1016/j.molcel.2005.02.015</w:t>
        </w:r>
      </w:hyperlink>
    </w:p>
    <w:bookmarkEnd w:id="177"/>
    <w:bookmarkStart w:id="17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78">
        <w:r>
          <w:rPr>
            <w:rStyle w:val="Hyperlink"/>
          </w:rPr>
          <w:t xml:space="preserve">10.1016/j.cmet.2011.12.009</w:t>
        </w:r>
      </w:hyperlink>
    </w:p>
    <w:bookmarkEnd w:id="179"/>
    <w:bookmarkStart w:id="18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80">
        <w:r>
          <w:rPr>
            <w:rStyle w:val="Hyperlink"/>
          </w:rPr>
          <w:t xml:space="preserve">10.1038/s12276-019-0235-1</w:t>
        </w:r>
      </w:hyperlink>
    </w:p>
    <w:bookmarkEnd w:id="181"/>
    <w:bookmarkStart w:id="18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82">
        <w:r>
          <w:rPr>
            <w:rStyle w:val="Hyperlink"/>
          </w:rPr>
          <w:t xml:space="preserve">10.1038/s41580-020-0227-y</w:t>
        </w:r>
      </w:hyperlink>
    </w:p>
    <w:bookmarkEnd w:id="183"/>
    <w:bookmarkStart w:id="18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84">
        <w:r>
          <w:rPr>
            <w:rStyle w:val="Hyperlink"/>
          </w:rPr>
          <w:t xml:space="preserve">10.1038/s41467-019-09352-1</w:t>
        </w:r>
      </w:hyperlink>
    </w:p>
    <w:bookmarkEnd w:id="185"/>
    <w:bookmarkStart w:id="187" w:name="ref-lemm2002"/>
    <w:p>
      <w:pPr>
        <w:pStyle w:val="Bibliography"/>
      </w:pPr>
      <w:r>
        <w:t xml:space="preserve">Lemm I, Ross J. 2002. Regulation of c-myc</w:t>
      </w:r>
      <w:r>
        <w:t xml:space="preserve"> </w:t>
      </w:r>
      <w:r>
        <w:t xml:space="preserve">mRNA</w:t>
      </w:r>
      <w:r>
        <w:t xml:space="preserve"> </w:t>
      </w:r>
      <w:r>
        <w:t xml:space="preserve">decay by translational pausing in a coding region instability determinant.</w:t>
      </w:r>
      <w:r>
        <w:t xml:space="preserve"> </w:t>
      </w:r>
      <w:r>
        <w:rPr>
          <w:iCs/>
          <w:i/>
        </w:rPr>
        <w:t xml:space="preserve">Mol Cell Biol</w:t>
      </w:r>
      <w:r>
        <w:t xml:space="preserve"> </w:t>
      </w:r>
      <w:r>
        <w:rPr>
          <w:bCs/>
          <w:b/>
        </w:rPr>
        <w:t xml:space="preserve">22</w:t>
      </w:r>
      <w:r>
        <w:t xml:space="preserve">:3959–3969. doi:</w:t>
      </w:r>
      <w:hyperlink r:id="rId186">
        <w:r>
          <w:rPr>
            <w:rStyle w:val="Hyperlink"/>
          </w:rPr>
          <w:t xml:space="preserve">10.1128/MCB.22.12.3959-3969.2002</w:t>
        </w:r>
      </w:hyperlink>
    </w:p>
    <w:bookmarkEnd w:id="187"/>
    <w:bookmarkStart w:id="189"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88">
        <w:r>
          <w:rPr>
            <w:rStyle w:val="Hyperlink"/>
          </w:rPr>
          <w:t xml:space="preserve">10.1128/MCB.25.14.6225-6234.2005</w:t>
        </w:r>
      </w:hyperlink>
    </w:p>
    <w:bookmarkEnd w:id="189"/>
    <w:bookmarkStart w:id="191"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90">
        <w:r>
          <w:rPr>
            <w:rStyle w:val="Hyperlink"/>
          </w:rPr>
          <w:t xml:space="preserve">10.1152/ajpendo.2001.280.1.E75</w:t>
        </w:r>
      </w:hyperlink>
    </w:p>
    <w:bookmarkEnd w:id="191"/>
    <w:bookmarkStart w:id="193"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92">
        <w:r>
          <w:rPr>
            <w:rStyle w:val="Hyperlink"/>
          </w:rPr>
          <w:t xml:space="preserve">10.3389/fcell.2020.590576</w:t>
        </w:r>
      </w:hyperlink>
    </w:p>
    <w:bookmarkEnd w:id="193"/>
    <w:bookmarkStart w:id="195"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94">
        <w:r>
          <w:rPr>
            <w:rStyle w:val="Hyperlink"/>
          </w:rPr>
          <w:t xml:space="preserve">10.1093/nar/gkz114</w:t>
        </w:r>
      </w:hyperlink>
    </w:p>
    <w:bookmarkEnd w:id="195"/>
    <w:bookmarkStart w:id="197"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96">
        <w:r>
          <w:rPr>
            <w:rStyle w:val="Hyperlink"/>
          </w:rPr>
          <w:t xml:space="preserve">10.1016/j.cels.2015.12.004</w:t>
        </w:r>
      </w:hyperlink>
    </w:p>
    <w:bookmarkEnd w:id="197"/>
    <w:bookmarkStart w:id="199"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98">
        <w:r>
          <w:rPr>
            <w:rStyle w:val="Hyperlink"/>
          </w:rPr>
          <w:t xml:space="preserve">10.1038/nchembio.2047</w:t>
        </w:r>
      </w:hyperlink>
    </w:p>
    <w:bookmarkEnd w:id="199"/>
    <w:bookmarkStart w:id="201"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200">
        <w:r>
          <w:rPr>
            <w:rStyle w:val="Hyperlink"/>
          </w:rPr>
          <w:t xml:space="preserve">10.3390/ijms141224029</w:t>
        </w:r>
      </w:hyperlink>
    </w:p>
    <w:bookmarkEnd w:id="201"/>
    <w:bookmarkStart w:id="202"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202"/>
    <w:bookmarkStart w:id="204"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203">
        <w:r>
          <w:rPr>
            <w:rStyle w:val="Hyperlink"/>
          </w:rPr>
          <w:t xml:space="preserve">10.1186/s13059-014-0550-8</w:t>
        </w:r>
      </w:hyperlink>
    </w:p>
    <w:bookmarkEnd w:id="204"/>
    <w:bookmarkStart w:id="206" w:name="ref-lutterbach1994"/>
    <w:p>
      <w:pPr>
        <w:pStyle w:val="Bibliography"/>
      </w:pPr>
      <w:r>
        <w:t xml:space="preserve">Lutterbach B, Hann SR. 1994. Hierarchical phosphorylation at</w:t>
      </w:r>
      <w:r>
        <w:t xml:space="preserve"> </w:t>
      </w:r>
      <w:r>
        <w:t xml:space="preserve">N-terminal</w:t>
      </w:r>
      <w:r>
        <w:t xml:space="preserve"> </w:t>
      </w:r>
      <w:r>
        <w:t xml:space="preserve">transformation-sensitive sites in c-</w:t>
      </w:r>
      <w:r>
        <w:t xml:space="preserve">Myc</w:t>
      </w:r>
      <w:r>
        <w:t xml:space="preserve"> </w:t>
      </w:r>
      <w:r>
        <w:t xml:space="preserve">protein is regulated by mitogens and in mitosis.</w:t>
      </w:r>
      <w:r>
        <w:t xml:space="preserve"> </w:t>
      </w:r>
      <w:r>
        <w:rPr>
          <w:iCs/>
          <w:i/>
        </w:rPr>
        <w:t xml:space="preserve">Mol Cell Biol</w:t>
      </w:r>
      <w:r>
        <w:t xml:space="preserve"> </w:t>
      </w:r>
      <w:r>
        <w:rPr>
          <w:bCs/>
          <w:b/>
        </w:rPr>
        <w:t xml:space="preserve">14</w:t>
      </w:r>
      <w:r>
        <w:t xml:space="preserve">:5510–5522. doi:</w:t>
      </w:r>
      <w:hyperlink r:id="rId205">
        <w:r>
          <w:rPr>
            <w:rStyle w:val="Hyperlink"/>
          </w:rPr>
          <w:t xml:space="preserve">10.1128/mcb.14.8.5510-5522.1994</w:t>
        </w:r>
      </w:hyperlink>
    </w:p>
    <w:bookmarkEnd w:id="206"/>
    <w:bookmarkStart w:id="208"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207">
        <w:r>
          <w:rPr>
            <w:rStyle w:val="Hyperlink"/>
          </w:rPr>
          <w:t xml:space="preserve">10.1186/s12943-020-01291-6</w:t>
        </w:r>
      </w:hyperlink>
    </w:p>
    <w:bookmarkEnd w:id="208"/>
    <w:bookmarkStart w:id="210"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209">
        <w:r>
          <w:rPr>
            <w:rStyle w:val="Hyperlink"/>
          </w:rPr>
          <w:t xml:space="preserve">10.3389/fphys.2021.702826</w:t>
        </w:r>
      </w:hyperlink>
    </w:p>
    <w:bookmarkEnd w:id="210"/>
    <w:bookmarkStart w:id="212"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211">
        <w:r>
          <w:rPr>
            <w:rStyle w:val="Hyperlink"/>
          </w:rPr>
          <w:t xml:space="preserve">10.1126/science.aaw0112</w:t>
        </w:r>
      </w:hyperlink>
    </w:p>
    <w:bookmarkEnd w:id="212"/>
    <w:bookmarkStart w:id="214"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213">
        <w:r>
          <w:rPr>
            <w:rStyle w:val="Hyperlink"/>
          </w:rPr>
          <w:t xml:space="preserve">10.1016/j.celrep.2019.01.106</w:t>
        </w:r>
      </w:hyperlink>
    </w:p>
    <w:bookmarkEnd w:id="214"/>
    <w:bookmarkStart w:id="216"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215">
        <w:r>
          <w:rPr>
            <w:rStyle w:val="Hyperlink"/>
          </w:rPr>
          <w:t xml:space="preserve">10.1038/nature10602</w:t>
        </w:r>
      </w:hyperlink>
    </w:p>
    <w:bookmarkEnd w:id="216"/>
    <w:bookmarkStart w:id="218"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217">
        <w:r>
          <w:rPr>
            <w:rStyle w:val="Hyperlink"/>
          </w:rPr>
          <w:t xml:space="preserve">10.1186/1465-9921-10-17</w:t>
        </w:r>
      </w:hyperlink>
    </w:p>
    <w:bookmarkEnd w:id="218"/>
    <w:bookmarkStart w:id="220"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219">
        <w:r>
          <w:rPr>
            <w:rStyle w:val="Hyperlink"/>
          </w:rPr>
          <w:t xml:space="preserve">10.1002/bit.24836</w:t>
        </w:r>
      </w:hyperlink>
    </w:p>
    <w:bookmarkEnd w:id="220"/>
    <w:bookmarkStart w:id="222"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221">
        <w:r>
          <w:rPr>
            <w:rStyle w:val="Hyperlink"/>
          </w:rPr>
          <w:t xml:space="preserve">10.1016/j.cmet.2015.06.021</w:t>
        </w:r>
      </w:hyperlink>
    </w:p>
    <w:bookmarkEnd w:id="222"/>
    <w:bookmarkStart w:id="224"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223">
        <w:r>
          <w:rPr>
            <w:rStyle w:val="Hyperlink"/>
          </w:rPr>
          <w:t xml:space="preserve">10.1016/j.biochi.2020.02.002</w:t>
        </w:r>
      </w:hyperlink>
    </w:p>
    <w:bookmarkEnd w:id="224"/>
    <w:bookmarkStart w:id="226"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25">
        <w:r>
          <w:rPr>
            <w:rStyle w:val="Hyperlink"/>
          </w:rPr>
          <w:t xml:space="preserve">10.3389/fonc.2012.00018</w:t>
        </w:r>
      </w:hyperlink>
    </w:p>
    <w:bookmarkEnd w:id="226"/>
    <w:bookmarkStart w:id="228"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27">
        <w:r>
          <w:rPr>
            <w:rStyle w:val="Hyperlink"/>
          </w:rPr>
          <w:t xml:space="preserve">10.1016/j.ymben.2009.09.002</w:t>
        </w:r>
      </w:hyperlink>
    </w:p>
    <w:bookmarkEnd w:id="228"/>
    <w:bookmarkStart w:id="230"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29">
        <w:r>
          <w:rPr>
            <w:rStyle w:val="Hyperlink"/>
          </w:rPr>
          <w:t xml:space="preserve">10.1038/s42255-020-0243-4</w:t>
        </w:r>
      </w:hyperlink>
    </w:p>
    <w:bookmarkEnd w:id="230"/>
    <w:bookmarkStart w:id="232"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31">
        <w:r>
          <w:rPr>
            <w:rStyle w:val="Hyperlink"/>
          </w:rPr>
          <w:t xml:space="preserve">10.1093/nar/gkv007</w:t>
        </w:r>
      </w:hyperlink>
    </w:p>
    <w:bookmarkEnd w:id="232"/>
    <w:bookmarkStart w:id="234" w:name="ref-salghetti1999"/>
    <w:p>
      <w:pPr>
        <w:pStyle w:val="Bibliography"/>
      </w:pPr>
      <w:r>
        <w:t xml:space="preserve">Salghetti SE, Kim SY, Tansey WP. 1999. Destruction of</w:t>
      </w:r>
      <w:r>
        <w:t xml:space="preserve"> </w:t>
      </w:r>
      <w:r>
        <w:t xml:space="preserve">Myc</w:t>
      </w:r>
      <w:r>
        <w:t xml:space="preserve"> </w:t>
      </w:r>
      <w:r>
        <w:t xml:space="preserve">by ubiquitin-mediated proteolysis: Cancer-associated and transforming mutations stabilize</w:t>
      </w:r>
      <w:r>
        <w:t xml:space="preserve"> </w:t>
      </w:r>
      <w:r>
        <w:t xml:space="preserve">Myc</w:t>
      </w:r>
      <w:r>
        <w:t xml:space="preserve">.</w:t>
      </w:r>
      <w:r>
        <w:t xml:space="preserve"> </w:t>
      </w:r>
      <w:r>
        <w:rPr>
          <w:iCs/>
          <w:i/>
        </w:rPr>
        <w:t xml:space="preserve">EMBO J</w:t>
      </w:r>
      <w:r>
        <w:t xml:space="preserve"> </w:t>
      </w:r>
      <w:r>
        <w:rPr>
          <w:bCs/>
          <w:b/>
        </w:rPr>
        <w:t xml:space="preserve">18</w:t>
      </w:r>
      <w:r>
        <w:t xml:space="preserve">:717–726. doi:</w:t>
      </w:r>
      <w:hyperlink r:id="rId233">
        <w:r>
          <w:rPr>
            <w:rStyle w:val="Hyperlink"/>
          </w:rPr>
          <w:t xml:space="preserve">10.1093/emboj/18.3.717</w:t>
        </w:r>
      </w:hyperlink>
    </w:p>
    <w:bookmarkEnd w:id="234"/>
    <w:bookmarkStart w:id="236"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35">
        <w:r>
          <w:rPr>
            <w:rStyle w:val="Hyperlink"/>
          </w:rPr>
          <w:t xml:space="preserve">10.1074/jbc.M111.282046</w:t>
        </w:r>
      </w:hyperlink>
    </w:p>
    <w:bookmarkEnd w:id="236"/>
    <w:bookmarkStart w:id="238" w:name="ref-sears2000"/>
    <w:p>
      <w:pPr>
        <w:pStyle w:val="Bibliography"/>
      </w:pPr>
      <w:r>
        <w:t xml:space="preserve">Sears R, Nuckolls F, Haura E, Taya Y, Tamai K, Nevins JR. 2000. Multiple</w:t>
      </w:r>
      <w:r>
        <w:t xml:space="preserve"> </w:t>
      </w:r>
      <w:r>
        <w:t xml:space="preserve">Ras-dependent</w:t>
      </w:r>
      <w:r>
        <w:t xml:space="preserve"> </w:t>
      </w:r>
      <w:r>
        <w:t xml:space="preserve">phosphorylation pathways regulate</w:t>
      </w:r>
      <w:r>
        <w:t xml:space="preserve"> </w:t>
      </w:r>
      <w:r>
        <w:t xml:space="preserve">Myc</w:t>
      </w:r>
      <w:r>
        <w:t xml:space="preserve"> </w:t>
      </w:r>
      <w:r>
        <w:t xml:space="preserve">protein stability.</w:t>
      </w:r>
      <w:r>
        <w:t xml:space="preserve"> </w:t>
      </w:r>
      <w:r>
        <w:rPr>
          <w:iCs/>
          <w:i/>
        </w:rPr>
        <w:t xml:space="preserve">Genes Dev</w:t>
      </w:r>
      <w:r>
        <w:t xml:space="preserve"> </w:t>
      </w:r>
      <w:r>
        <w:rPr>
          <w:bCs/>
          <w:b/>
        </w:rPr>
        <w:t xml:space="preserve">14</w:t>
      </w:r>
      <w:r>
        <w:t xml:space="preserve">:2501–2514. doi:</w:t>
      </w:r>
      <w:hyperlink r:id="rId237">
        <w:r>
          <w:rPr>
            <w:rStyle w:val="Hyperlink"/>
          </w:rPr>
          <w:t xml:space="preserve">10.1101/gad.836800</w:t>
        </w:r>
      </w:hyperlink>
    </w:p>
    <w:bookmarkEnd w:id="238"/>
    <w:bookmarkStart w:id="240"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39">
        <w:r>
          <w:rPr>
            <w:rStyle w:val="Hyperlink"/>
          </w:rPr>
          <w:t xml:space="preserve">10.1016/j.cell.2012.01.021</w:t>
        </w:r>
      </w:hyperlink>
    </w:p>
    <w:bookmarkEnd w:id="240"/>
    <w:bookmarkStart w:id="242"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41">
        <w:r>
          <w:rPr>
            <w:rStyle w:val="Hyperlink"/>
          </w:rPr>
          <w:t xml:space="preserve">10.1021/bp0498138</w:t>
        </w:r>
      </w:hyperlink>
    </w:p>
    <w:bookmarkEnd w:id="242"/>
    <w:bookmarkStart w:id="244" w:name="ref-spencer1990"/>
    <w:p>
      <w:pPr>
        <w:pStyle w:val="Bibliography"/>
      </w:pPr>
      <w:r>
        <w:t xml:space="preserve">Spencer CA, Groudine M. 1990. Molecular analysis of the c-myc transcription elongation block.</w:t>
      </w:r>
      <w:r>
        <w:t xml:space="preserve"> </w:t>
      </w:r>
      <w:r>
        <w:t xml:space="preserve">Implications</w:t>
      </w:r>
      <w:r>
        <w:t xml:space="preserve"> </w:t>
      </w:r>
      <w:r>
        <w:t xml:space="preserve">for the generation of</w:t>
      </w:r>
      <w:r>
        <w:t xml:space="preserve"> </w:t>
      </w:r>
      <w:r>
        <w:t xml:space="preserve">Burkitt</w:t>
      </w:r>
      <w:r>
        <w:t xml:space="preserve">’s lymphoma.</w:t>
      </w:r>
      <w:r>
        <w:t xml:space="preserve"> </w:t>
      </w:r>
      <w:r>
        <w:rPr>
          <w:iCs/>
          <w:i/>
        </w:rPr>
        <w:t xml:space="preserve">Ann N Y Acad Sci</w:t>
      </w:r>
      <w:r>
        <w:t xml:space="preserve"> </w:t>
      </w:r>
      <w:r>
        <w:rPr>
          <w:bCs/>
          <w:b/>
        </w:rPr>
        <w:t xml:space="preserve">599</w:t>
      </w:r>
      <w:r>
        <w:t xml:space="preserve">:12–28. doi:</w:t>
      </w:r>
      <w:hyperlink r:id="rId243">
        <w:r>
          <w:rPr>
            <w:rStyle w:val="Hyperlink"/>
          </w:rPr>
          <w:t xml:space="preserve">10.1111/j.1749-6632.1990.tb42360.x</w:t>
        </w:r>
      </w:hyperlink>
    </w:p>
    <w:bookmarkEnd w:id="244"/>
    <w:bookmarkStart w:id="246"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45">
        <w:r>
          <w:rPr>
            <w:rStyle w:val="Hyperlink"/>
          </w:rPr>
          <w:t xml:space="preserve">10.1158/2159-8290.CD-15-0507</w:t>
        </w:r>
      </w:hyperlink>
    </w:p>
    <w:bookmarkEnd w:id="246"/>
    <w:bookmarkStart w:id="248"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47">
        <w:r>
          <w:rPr>
            <w:rStyle w:val="Hyperlink"/>
          </w:rPr>
          <w:t xml:space="preserve">10.1007/s11010-017-3069-y</w:t>
        </w:r>
      </w:hyperlink>
    </w:p>
    <w:bookmarkEnd w:id="248"/>
    <w:bookmarkStart w:id="249"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49"/>
    <w:bookmarkStart w:id="251"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50">
        <w:r>
          <w:rPr>
            <w:rStyle w:val="Hyperlink"/>
          </w:rPr>
          <w:t xml:space="preserve">10.1016/j.molcel.2014.09.024</w:t>
        </w:r>
      </w:hyperlink>
    </w:p>
    <w:bookmarkEnd w:id="251"/>
    <w:bookmarkStart w:id="253"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52">
        <w:r>
          <w:rPr>
            <w:rStyle w:val="Hyperlink"/>
          </w:rPr>
          <w:t xml:space="preserve">10.1016/j.semcancer.2006.07.015</w:t>
        </w:r>
      </w:hyperlink>
    </w:p>
    <w:bookmarkEnd w:id="253"/>
    <w:bookmarkStart w:id="255" w:name="ref-wall2008"/>
    <w:p>
      <w:pPr>
        <w:pStyle w:val="Bibliography"/>
      </w:pPr>
      <w:r>
        <w:t xml:space="preserve">Wall M, Poortinga G, Hannan KM, Pearson RB, Hannan RD, McArthur GA. 2008. Translational control of c-</w:t>
      </w:r>
      <w:r>
        <w:t xml:space="preserve">MYC</w:t>
      </w:r>
      <w:r>
        <w:t xml:space="preserve"> </w:t>
      </w:r>
      <w:r>
        <w:t xml:space="preserve">by rapamycin promotes terminal myeloid differentiation.</w:t>
      </w:r>
      <w:r>
        <w:t xml:space="preserve"> </w:t>
      </w:r>
      <w:r>
        <w:rPr>
          <w:iCs/>
          <w:i/>
        </w:rPr>
        <w:t xml:space="preserve">Blood</w:t>
      </w:r>
      <w:r>
        <w:t xml:space="preserve"> </w:t>
      </w:r>
      <w:r>
        <w:rPr>
          <w:bCs/>
          <w:b/>
        </w:rPr>
        <w:t xml:space="preserve">112</w:t>
      </w:r>
      <w:r>
        <w:t xml:space="preserve">:2305–2317. doi:</w:t>
      </w:r>
      <w:hyperlink r:id="rId254">
        <w:r>
          <w:rPr>
            <w:rStyle w:val="Hyperlink"/>
          </w:rPr>
          <w:t xml:space="preserve">10.1182/blood-2007-09-111856</w:t>
        </w:r>
      </w:hyperlink>
    </w:p>
    <w:bookmarkEnd w:id="255"/>
    <w:bookmarkStart w:id="257" w:name="ref-weidensdorfer2009"/>
    <w:p>
      <w:pPr>
        <w:pStyle w:val="Bibliography"/>
      </w:pPr>
      <w:r>
        <w:t xml:space="preserve">Weidensdorfer D, Stöhr N, Baude A, Lederer M, Köhn M, Schierhorn A, Buchmeier S, Wahle E, Hüttelmaier S. 2009. Control of c-myc</w:t>
      </w:r>
      <w:r>
        <w:t xml:space="preserve"> </w:t>
      </w:r>
      <w:r>
        <w:t xml:space="preserve">mRNA</w:t>
      </w:r>
      <w:r>
        <w:t xml:space="preserve"> </w:t>
      </w:r>
      <w:r>
        <w:t xml:space="preserve">stability by</w:t>
      </w:r>
      <w:r>
        <w:t xml:space="preserve"> </w:t>
      </w:r>
      <w:r>
        <w:t xml:space="preserve">IGF2BP1-associated</w:t>
      </w:r>
      <w:r>
        <w:t xml:space="preserve"> </w:t>
      </w:r>
      <w:r>
        <w:t xml:space="preserve">cytoplasmic</w:t>
      </w:r>
      <w:r>
        <w:t xml:space="preserve"> </w:t>
      </w:r>
      <w:r>
        <w:t xml:space="preserve">RNPs</w:t>
      </w:r>
      <w:r>
        <w:t xml:space="preserve">.</w:t>
      </w:r>
      <w:r>
        <w:t xml:space="preserve"> </w:t>
      </w:r>
      <w:r>
        <w:rPr>
          <w:iCs/>
          <w:i/>
        </w:rPr>
        <w:t xml:space="preserve">RNA</w:t>
      </w:r>
      <w:r>
        <w:t xml:space="preserve"> </w:t>
      </w:r>
      <w:r>
        <w:rPr>
          <w:bCs/>
          <w:b/>
        </w:rPr>
        <w:t xml:space="preserve">15</w:t>
      </w:r>
      <w:r>
        <w:t xml:space="preserve">:104–115. doi:</w:t>
      </w:r>
      <w:hyperlink r:id="rId256">
        <w:r>
          <w:rPr>
            <w:rStyle w:val="Hyperlink"/>
          </w:rPr>
          <w:t xml:space="preserve">10.1261/rna.1175909</w:t>
        </w:r>
      </w:hyperlink>
    </w:p>
    <w:bookmarkEnd w:id="257"/>
    <w:bookmarkStart w:id="25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58">
        <w:r>
          <w:rPr>
            <w:rStyle w:val="Hyperlink"/>
          </w:rPr>
          <w:t xml:space="preserve">10.2147/HP.S92198</w:t>
        </w:r>
      </w:hyperlink>
    </w:p>
    <w:bookmarkEnd w:id="259"/>
    <w:bookmarkStart w:id="26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60">
        <w:r>
          <w:rPr>
            <w:rStyle w:val="Hyperlink"/>
          </w:rPr>
          <w:t xml:space="preserve">10.1152/ajpcell.00485.2010</w:t>
        </w:r>
      </w:hyperlink>
    </w:p>
    <w:bookmarkEnd w:id="261"/>
    <w:bookmarkStart w:id="26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62">
        <w:r>
          <w:rPr>
            <w:rStyle w:val="Hyperlink"/>
          </w:rPr>
          <w:t xml:space="preserve">10.1529/biophysj.106.099895</w:t>
        </w:r>
      </w:hyperlink>
    </w:p>
    <w:bookmarkEnd w:id="263"/>
    <w:bookmarkStart w:id="265"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64">
        <w:r>
          <w:rPr>
            <w:rStyle w:val="Hyperlink"/>
          </w:rPr>
          <w:t xml:space="preserve">10.1186/s40170-019-0206-y</w:t>
        </w:r>
      </w:hyperlink>
    </w:p>
    <w:bookmarkEnd w:id="265"/>
    <w:bookmarkStart w:id="267"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66">
        <w:r>
          <w:rPr>
            <w:rStyle w:val="Hyperlink"/>
          </w:rPr>
          <w:t xml:space="preserve">10.1073/pnas.1117773108</w:t>
        </w:r>
      </w:hyperlink>
    </w:p>
    <w:bookmarkEnd w:id="267"/>
    <w:bookmarkStart w:id="269"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68">
        <w:r>
          <w:rPr>
            <w:rStyle w:val="Hyperlink"/>
          </w:rPr>
          <w:t xml:space="preserve">10.1089/ars.2017.7216</w:t>
        </w:r>
      </w:hyperlink>
    </w:p>
    <w:bookmarkEnd w:id="269"/>
    <w:bookmarkStart w:id="271"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70">
        <w:r>
          <w:rPr>
            <w:rStyle w:val="Hyperlink"/>
          </w:rPr>
          <w:t xml:space="preserve">10.1152/ajplung.00117.2016</w:t>
        </w:r>
      </w:hyperlink>
    </w:p>
    <w:bookmarkEnd w:id="271"/>
    <w:bookmarkStart w:id="273"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72">
        <w:r>
          <w:rPr>
            <w:rStyle w:val="Hyperlink"/>
          </w:rPr>
          <w:t xml:space="preserve">10.1093/bioinformatics/btu015</w:t>
        </w:r>
      </w:hyperlink>
    </w:p>
    <w:bookmarkEnd w:id="273"/>
    <w:bookmarkStart w:id="275"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74">
        <w:r>
          <w:rPr>
            <w:rStyle w:val="Hyperlink"/>
          </w:rPr>
          <w:t xml:space="preserve">10.1007/978-1-62703-661-0_7</w:t>
        </w:r>
      </w:hyperlink>
    </w:p>
    <w:bookmarkEnd w:id="275"/>
    <w:bookmarkStart w:id="277"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76">
        <w:r>
          <w:rPr>
            <w:rStyle w:val="Hyperlink"/>
          </w:rPr>
          <w:t xml:space="preserve">10.1016/j.jbiotec.2010.09.944</w:t>
        </w:r>
      </w:hyperlink>
    </w:p>
    <w:bookmarkEnd w:id="277"/>
    <w:bookmarkStart w:id="279" w:name="ref-zhang2019"/>
    <w:p>
      <w:pPr>
        <w:pStyle w:val="Bibliography"/>
      </w:pPr>
      <w:r>
        <w:t xml:space="preserve">Zhang C, Ma C, Zhang L, Zhang L, Zhang F, Ma M, Zheng X, Mao M, Shen T, Zhu D. 2019.</w:t>
      </w:r>
      <w:r>
        <w:t xml:space="preserve"> </w:t>
      </w:r>
      <w:r>
        <w:t xml:space="preserve">MiR-449a-5p</w:t>
      </w:r>
      <w:r>
        <w:t xml:space="preserve"> </w:t>
      </w:r>
      <w:r>
        <w:t xml:space="preserve">mediates mitochondrial dysfunction and phenotypic transition by targeting</w:t>
      </w:r>
      <w:r>
        <w:t xml:space="preserve"> </w:t>
      </w:r>
      <w:r>
        <w:t xml:space="preserve">Myc</w:t>
      </w:r>
      <w:r>
        <w:t xml:space="preserve"> </w:t>
      </w:r>
      <w:r>
        <w:t xml:space="preserve">in pulmonary arterial smooth muscle cells.</w:t>
      </w:r>
      <w:r>
        <w:t xml:space="preserve"> </w:t>
      </w:r>
      <w:r>
        <w:rPr>
          <w:iCs/>
          <w:i/>
        </w:rPr>
        <w:t xml:space="preserve">J Mol Med (Berl)</w:t>
      </w:r>
      <w:r>
        <w:t xml:space="preserve"> </w:t>
      </w:r>
      <w:r>
        <w:rPr>
          <w:bCs/>
          <w:b/>
        </w:rPr>
        <w:t xml:space="preserve">97</w:t>
      </w:r>
      <w:r>
        <w:t xml:space="preserve">:409–422. doi:</w:t>
      </w:r>
      <w:hyperlink r:id="rId278">
        <w:r>
          <w:rPr>
            <w:rStyle w:val="Hyperlink"/>
          </w:rPr>
          <w:t xml:space="preserve">10.1007/s00109-019-01751-7</w:t>
        </w:r>
      </w:hyperlink>
    </w:p>
    <w:bookmarkEnd w:id="279"/>
    <w:bookmarkStart w:id="281"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80">
        <w:r>
          <w:rPr>
            <w:rStyle w:val="Hyperlink"/>
          </w:rPr>
          <w:t xml:space="preserve">10.1074/jbc.M800102200</w:t>
        </w:r>
      </w:hyperlink>
    </w:p>
    <w:bookmarkEnd w:id="281"/>
    <w:bookmarkStart w:id="283"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82">
        <w:r>
          <w:rPr>
            <w:rStyle w:val="Hyperlink"/>
          </w:rPr>
          <w:t xml:space="preserve">10.1016/j.ccr.2007.04.001</w:t>
        </w:r>
      </w:hyperlink>
    </w:p>
    <w:bookmarkEnd w:id="283"/>
    <w:bookmarkStart w:id="285"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84">
        <w:r>
          <w:rPr>
            <w:rStyle w:val="Hyperlink"/>
          </w:rPr>
          <w:t xml:space="preserve">10.1158/0008-5472.CAN-08-4603</w:t>
        </w:r>
      </w:hyperlink>
    </w:p>
    <w:bookmarkEnd w:id="285"/>
    <w:bookmarkStart w:id="287" w:name="ref-zhang2017"/>
    <w:p>
      <w:pPr>
        <w:pStyle w:val="Bibliography"/>
      </w:pPr>
      <w:r>
        <w:t xml:space="preserve">Zhang W-F, Xiong Y-W, Zhu T-T, Xiong A-Z, Bao H-H, Cheng X-S. 2017.</w:t>
      </w:r>
      <w:r>
        <w:t xml:space="preserve"> </w:t>
      </w:r>
      <w:r>
        <w:t xml:space="preserve">MicroRNA</w:t>
      </w:r>
      <w:r>
        <w:t xml:space="preserve"> </w:t>
      </w:r>
      <w:r>
        <w:t xml:space="preserve">let-7g inhibited hypoxia-induced proliferation of</w:t>
      </w:r>
      <w:r>
        <w:t xml:space="preserve"> </w:t>
      </w:r>
      <w:r>
        <w:t xml:space="preserve">PASMCs</w:t>
      </w:r>
      <w:r>
        <w:t xml:space="preserve"> </w:t>
      </w:r>
      <w:r>
        <w:t xml:space="preserve">via</w:t>
      </w:r>
      <w:r>
        <w:t xml:space="preserve"> </w:t>
      </w:r>
      <w:r>
        <w:t xml:space="preserve">G0</w:t>
      </w:r>
      <w:r>
        <w:t xml:space="preserve">/</w:t>
      </w:r>
      <w:r>
        <w:t xml:space="preserve">G1</w:t>
      </w:r>
      <w:r>
        <w:t xml:space="preserve"> </w:t>
      </w:r>
      <w:r>
        <w:t xml:space="preserve">cell cycle arrest by targeting c-myc.</w:t>
      </w:r>
      <w:r>
        <w:t xml:space="preserve"> </w:t>
      </w:r>
      <w:r>
        <w:rPr>
          <w:iCs/>
          <w:i/>
        </w:rPr>
        <w:t xml:space="preserve">Life Sci</w:t>
      </w:r>
      <w:r>
        <w:t xml:space="preserve"> </w:t>
      </w:r>
      <w:r>
        <w:rPr>
          <w:bCs/>
          <w:b/>
        </w:rPr>
        <w:t xml:space="preserve">170</w:t>
      </w:r>
      <w:r>
        <w:t xml:space="preserve">:9–15. doi:</w:t>
      </w:r>
      <w:hyperlink r:id="rId286">
        <w:r>
          <w:rPr>
            <w:rStyle w:val="Hyperlink"/>
          </w:rPr>
          <w:t xml:space="preserve">10.1016/j.lfs.2016.11.020</w:t>
        </w:r>
      </w:hyperlink>
    </w:p>
    <w:bookmarkEnd w:id="287"/>
    <w:bookmarkEnd w:id="288"/>
    <w:p>
      <w:r>
        <w:br w:type="page"/>
      </w:r>
    </w:p>
    <w:bookmarkEnd w:id="289"/>
    <w:bookmarkStart w:id="38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291" name="Picture"/>
                  <a:graphic>
                    <a:graphicData uri="http://schemas.openxmlformats.org/drawingml/2006/picture">
                      <pic:pic>
                        <pic:nvPicPr>
                          <pic:cNvPr descr="figs/Figure%2001.pdf" id="292" name="Picture"/>
                          <pic:cNvPicPr>
                            <a:picLocks noChangeArrowheads="1" noChangeAspect="1"/>
                          </pic:cNvPicPr>
                        </pic:nvPicPr>
                        <pic:blipFill>
                          <a:blip r:embed="rId290"/>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76700" cy="2933700"/>
                  <wp:effectExtent b="0" l="0" r="0" t="0"/>
                  <wp:docPr descr="" title="" id="294" name="Picture"/>
                  <a:graphic>
                    <a:graphicData uri="http://schemas.openxmlformats.org/drawingml/2006/picture">
                      <pic:pic>
                        <pic:nvPicPr>
                          <pic:cNvPr descr="figs/Figure%2001%20-%20figure%20supplement%201.pdf" id="295" name="Picture"/>
                          <pic:cNvPicPr>
                            <a:picLocks noChangeArrowheads="1" noChangeAspect="1"/>
                          </pic:cNvPicPr>
                        </pic:nvPicPr>
                        <pic:blipFill>
                          <a:blip r:embed="rId293"/>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191000" cy="1612900"/>
                  <wp:effectExtent b="0" l="0" r="0" t="0"/>
                  <wp:docPr descr="" title="" id="297" name="Picture"/>
                  <a:graphic>
                    <a:graphicData uri="http://schemas.openxmlformats.org/drawingml/2006/picture">
                      <pic:pic>
                        <pic:nvPicPr>
                          <pic:cNvPr descr="figs/Figure%2001%20-%20figure%20supplement%202.pdf" id="298" name="Picture"/>
                          <pic:cNvPicPr>
                            <a:picLocks noChangeArrowheads="1" noChangeAspect="1"/>
                          </pic:cNvPicPr>
                        </pic:nvPicPr>
                        <pic:blipFill>
                          <a:blip r:embed="rId296"/>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10100" cy="5600700"/>
                  <wp:effectExtent b="0" l="0" r="0" t="0"/>
                  <wp:docPr descr="" title="" id="300" name="Picture"/>
                  <a:graphic>
                    <a:graphicData uri="http://schemas.openxmlformats.org/drawingml/2006/picture">
                      <pic:pic>
                        <pic:nvPicPr>
                          <pic:cNvPr descr="figs/Figure%2001%20-%20figure%20supplement%203.pdf" id="301" name="Picture"/>
                          <pic:cNvPicPr>
                            <a:picLocks noChangeArrowheads="1" noChangeAspect="1"/>
                          </pic:cNvPicPr>
                        </pic:nvPicPr>
                        <pic:blipFill>
                          <a:blip r:embed="rId299"/>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72000" cy="5600700"/>
                  <wp:effectExtent b="0" l="0" r="0" t="0"/>
                  <wp:docPr descr="" title="" id="303" name="Picture"/>
                  <a:graphic>
                    <a:graphicData uri="http://schemas.openxmlformats.org/drawingml/2006/picture">
                      <pic:pic>
                        <pic:nvPicPr>
                          <pic:cNvPr descr="figs/Figure%2001%20-%20figure%20supplement%204.pdf" id="304" name="Picture"/>
                          <pic:cNvPicPr>
                            <a:picLocks noChangeArrowheads="1" noChangeAspect="1"/>
                          </pic:cNvPicPr>
                        </pic:nvPicPr>
                        <pic:blipFill>
                          <a:blip r:embed="rId302"/>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306" name="Picture"/>
                  <a:graphic>
                    <a:graphicData uri="http://schemas.openxmlformats.org/drawingml/2006/picture">
                      <pic:pic>
                        <pic:nvPicPr>
                          <pic:cNvPr descr="figs/Figure%2002.pdf" id="307" name="Picture"/>
                          <pic:cNvPicPr>
                            <a:picLocks noChangeArrowheads="1" noChangeAspect="1"/>
                          </pic:cNvPicPr>
                        </pic:nvPicPr>
                        <pic:blipFill>
                          <a:blip r:embed="rId305"/>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19400" cy="1790700"/>
                  <wp:effectExtent b="0" l="0" r="0" t="0"/>
                  <wp:docPr descr="" title="" id="309" name="Picture"/>
                  <a:graphic>
                    <a:graphicData uri="http://schemas.openxmlformats.org/drawingml/2006/picture">
                      <pic:pic>
                        <pic:nvPicPr>
                          <pic:cNvPr descr="figs/Figure%2003.pdf" id="310" name="Picture"/>
                          <pic:cNvPicPr>
                            <a:picLocks noChangeArrowheads="1" noChangeAspect="1"/>
                          </pic:cNvPicPr>
                        </pic:nvPicPr>
                        <pic:blipFill>
                          <a:blip r:embed="rId308"/>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203700" cy="3632200"/>
                  <wp:effectExtent b="0" l="0" r="0" t="0"/>
                  <wp:docPr descr="" title="" id="312" name="Picture"/>
                  <a:graphic>
                    <a:graphicData uri="http://schemas.openxmlformats.org/drawingml/2006/picture">
                      <pic:pic>
                        <pic:nvPicPr>
                          <pic:cNvPr descr="figs/Figure%2004.pdf" id="313" name="Picture"/>
                          <pic:cNvPicPr>
                            <a:picLocks noChangeArrowheads="1" noChangeAspect="1"/>
                          </pic:cNvPicPr>
                        </pic:nvPicPr>
                        <pic:blipFill>
                          <a:blip r:embed="rId311"/>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5" name="Picture"/>
                  <a:graphic>
                    <a:graphicData uri="http://schemas.openxmlformats.org/drawingml/2006/picture">
                      <pic:pic>
                        <pic:nvPicPr>
                          <pic:cNvPr descr="figs/Figure%2004%20-%20figure%20supplement%201.pdf" id="316" name="Picture"/>
                          <pic:cNvPicPr>
                            <a:picLocks noChangeArrowheads="1" noChangeAspect="1"/>
                          </pic:cNvPicPr>
                        </pic:nvPicPr>
                        <pic:blipFill>
                          <a:blip r:embed="rId314"/>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8" name="Picture"/>
                  <a:graphic>
                    <a:graphicData uri="http://schemas.openxmlformats.org/drawingml/2006/picture">
                      <pic:pic>
                        <pic:nvPicPr>
                          <pic:cNvPr descr="figs/Figure%2004%20-%20figure%20supplement%202.pdf" id="319" name="Picture"/>
                          <pic:cNvPicPr>
                            <a:picLocks noChangeArrowheads="1" noChangeAspect="1"/>
                          </pic:cNvPicPr>
                        </pic:nvPicPr>
                        <pic:blipFill>
                          <a:blip r:embed="rId317"/>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2990625"/>
                  <wp:effectExtent b="0" l="0" r="0" t="0"/>
                  <wp:docPr descr="" title="" id="321" name="Picture"/>
                  <a:graphic>
                    <a:graphicData uri="http://schemas.openxmlformats.org/drawingml/2006/picture">
                      <pic:pic>
                        <pic:nvPicPr>
                          <pic:cNvPr descr="figs/Figure%2005.pdf" id="322" name="Picture"/>
                          <pic:cNvPicPr>
                            <a:picLocks noChangeArrowheads="1" noChangeAspect="1"/>
                          </pic:cNvPicPr>
                        </pic:nvPicPr>
                        <pic:blipFill>
                          <a:blip r:embed="rId320"/>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3302000" cy="3441700"/>
                  <wp:effectExtent b="0" l="0" r="0" t="0"/>
                  <wp:docPr descr="" title="" id="324" name="Picture"/>
                  <a:graphic>
                    <a:graphicData uri="http://schemas.openxmlformats.org/drawingml/2006/picture">
                      <pic:pic>
                        <pic:nvPicPr>
                          <pic:cNvPr descr="figs/Figure%2005%20-%20figure%20supplement%201.pdf" id="325" name="Picture"/>
                          <pic:cNvPicPr>
                            <a:picLocks noChangeArrowheads="1" noChangeAspect="1"/>
                          </pic:cNvPicPr>
                        </pic:nvPicPr>
                        <pic:blipFill>
                          <a:blip r:embed="rId323"/>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161840"/>
                  <wp:effectExtent b="0" l="0" r="0" t="0"/>
                  <wp:docPr descr="" title="" id="327" name="Picture"/>
                  <a:graphic>
                    <a:graphicData uri="http://schemas.openxmlformats.org/drawingml/2006/picture">
                      <pic:pic>
                        <pic:nvPicPr>
                          <pic:cNvPr descr="figs/Figure%2005%20-%20figure%20supplement%202.pdf" id="328" name="Picture"/>
                          <pic:cNvPicPr>
                            <a:picLocks noChangeArrowheads="1" noChangeAspect="1"/>
                          </pic:cNvPicPr>
                        </pic:nvPicPr>
                        <pic:blipFill>
                          <a:blip r:embed="rId326"/>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429000"/>
                  <wp:effectExtent b="0" l="0" r="0" t="0"/>
                  <wp:docPr descr="" title="" id="330" name="Picture"/>
                  <a:graphic>
                    <a:graphicData uri="http://schemas.openxmlformats.org/drawingml/2006/picture">
                      <pic:pic>
                        <pic:nvPicPr>
                          <pic:cNvPr descr="figs/Figure%2005%20-%20figure%20supplement%203.pdf" id="331" name="Picture"/>
                          <pic:cNvPicPr>
                            <a:picLocks noChangeArrowheads="1" noChangeAspect="1"/>
                          </pic:cNvPicPr>
                        </pic:nvPicPr>
                        <pic:blipFill>
                          <a:blip r:embed="rId329"/>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3" name="Picture"/>
                  <a:graphic>
                    <a:graphicData uri="http://schemas.openxmlformats.org/drawingml/2006/picture">
                      <pic:pic>
                        <pic:nvPicPr>
                          <pic:cNvPr descr="figs/Figure%2005%20-%20figure%20supplement%204.pdf" id="334" name="Picture"/>
                          <pic:cNvPicPr>
                            <a:picLocks noChangeArrowheads="1" noChangeAspect="1"/>
                          </pic:cNvPicPr>
                        </pic:nvPicPr>
                        <pic:blipFill>
                          <a:blip r:embed="rId332"/>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6" name="Picture"/>
                  <a:graphic>
                    <a:graphicData uri="http://schemas.openxmlformats.org/drawingml/2006/picture">
                      <pic:pic>
                        <pic:nvPicPr>
                          <pic:cNvPr descr="figs/Figure%2005%20-%20figure%20supplement%205.pdf" id="337" name="Picture"/>
                          <pic:cNvPicPr>
                            <a:picLocks noChangeArrowheads="1" noChangeAspect="1"/>
                          </pic:cNvPicPr>
                        </pic:nvPicPr>
                        <pic:blipFill>
                          <a:blip r:embed="rId335"/>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06700" cy="1612900"/>
                  <wp:effectExtent b="0" l="0" r="0" t="0"/>
                  <wp:docPr descr="" title="" id="339" name="Picture"/>
                  <a:graphic>
                    <a:graphicData uri="http://schemas.openxmlformats.org/drawingml/2006/picture">
                      <pic:pic>
                        <pic:nvPicPr>
                          <pic:cNvPr descr="figs/Figure%2006.pdf" id="340" name="Picture"/>
                          <pic:cNvPicPr>
                            <a:picLocks noChangeArrowheads="1" noChangeAspect="1"/>
                          </pic:cNvPicPr>
                        </pic:nvPicPr>
                        <pic:blipFill>
                          <a:blip r:embed="rId338"/>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w:t>
            </w:r>
            <w:r>
              <w:rPr>
                <w:iCs/>
                <w:i/>
              </w:rPr>
              <w:t xml:space="preserve">blue</w:t>
            </w:r>
            <w:r>
              <w:t xml:space="preserve"> </w:t>
            </w:r>
            <w:r>
              <w:t xml:space="preserve">arrow).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953000" cy="1892300"/>
                  <wp:effectExtent b="0" l="0" r="0" t="0"/>
                  <wp:docPr descr="" title="" id="342" name="Picture"/>
                  <a:graphic>
                    <a:graphicData uri="http://schemas.openxmlformats.org/drawingml/2006/picture">
                      <pic:pic>
                        <pic:nvPicPr>
                          <pic:cNvPr descr="figs/Figure%2007.pdf" id="343" name="Picture"/>
                          <pic:cNvPicPr>
                            <a:picLocks noChangeArrowheads="1" noChangeAspect="1"/>
                          </pic:cNvPicPr>
                        </pic:nvPicPr>
                        <pic:blipFill>
                          <a:blip r:embed="rId341"/>
                          <a:stretch>
                            <a:fillRect/>
                          </a:stretch>
                        </pic:blipFill>
                        <pic:spPr bwMode="auto">
                          <a:xfrm>
                            <a:off x="0" y="0"/>
                            <a:ext cx="49530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citrate (CIT), α-ketoglutarate (AKG), and malate (MAL)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495800" cy="1587500"/>
                  <wp:effectExtent b="0" l="0" r="0" t="0"/>
                  <wp:docPr descr="" title="" id="345" name="Picture"/>
                  <a:graphic>
                    <a:graphicData uri="http://schemas.openxmlformats.org/drawingml/2006/picture">
                      <pic:pic>
                        <pic:nvPicPr>
                          <pic:cNvPr descr="figs/Figure%2008.pdf" id="346" name="Picture"/>
                          <pic:cNvPicPr>
                            <a:picLocks noChangeArrowheads="1" noChangeAspect="1"/>
                          </pic:cNvPicPr>
                        </pic:nvPicPr>
                        <pic:blipFill>
                          <a:blip r:embed="rId344"/>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33900" cy="2971800"/>
                  <wp:effectExtent b="0" l="0" r="0" t="0"/>
                  <wp:docPr descr="" title="" id="348" name="Picture"/>
                  <a:graphic>
                    <a:graphicData uri="http://schemas.openxmlformats.org/drawingml/2006/picture">
                      <pic:pic>
                        <pic:nvPicPr>
                          <pic:cNvPr descr="figs/Figure%2008%20-%20figure%20supplement%201.pdf" id="349" name="Picture"/>
                          <pic:cNvPicPr>
                            <a:picLocks noChangeArrowheads="1" noChangeAspect="1"/>
                          </pic:cNvPicPr>
                        </pic:nvPicPr>
                        <pic:blipFill>
                          <a:blip r:embed="rId347"/>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499100" cy="3873500"/>
                  <wp:effectExtent b="0" l="0" r="0" t="0"/>
                  <wp:docPr descr="" title="" id="351" name="Picture"/>
                  <a:graphic>
                    <a:graphicData uri="http://schemas.openxmlformats.org/drawingml/2006/picture">
                      <pic:pic>
                        <pic:nvPicPr>
                          <pic:cNvPr descr="figs/Figure%2009.pdf" id="352" name="Picture"/>
                          <pic:cNvPicPr>
                            <a:picLocks noChangeArrowheads="1" noChangeAspect="1"/>
                          </pic:cNvPicPr>
                        </pic:nvPicPr>
                        <pic:blipFill>
                          <a:blip r:embed="rId350"/>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70500" cy="5334000"/>
                  <wp:effectExtent b="0" l="0" r="0" t="0"/>
                  <wp:docPr descr="" title="" id="354" name="Picture"/>
                  <a:graphic>
                    <a:graphicData uri="http://schemas.openxmlformats.org/drawingml/2006/picture">
                      <pic:pic>
                        <pic:nvPicPr>
                          <pic:cNvPr descr="figs/Figure%2009%20-%20figure%20supplement%201.pdf" id="355" name="Picture"/>
                          <pic:cNvPicPr>
                            <a:picLocks noChangeArrowheads="1" noChangeAspect="1"/>
                          </pic:cNvPicPr>
                        </pic:nvPicPr>
                        <pic:blipFill>
                          <a:blip r:embed="rId353"/>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305300" cy="2971800"/>
                  <wp:effectExtent b="0" l="0" r="0" t="0"/>
                  <wp:docPr descr="" title="" id="357" name="Picture"/>
                  <a:graphic>
                    <a:graphicData uri="http://schemas.openxmlformats.org/drawingml/2006/picture">
                      <pic:pic>
                        <pic:nvPicPr>
                          <pic:cNvPr descr="figs/Figure%2009%20-%20figure%20supplement%202.pdf" id="358" name="Picture"/>
                          <pic:cNvPicPr>
                            <a:picLocks noChangeArrowheads="1" noChangeAspect="1"/>
                          </pic:cNvPicPr>
                        </pic:nvPicPr>
                        <pic:blipFill>
                          <a:blip r:embed="rId356"/>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761873"/>
                  <wp:effectExtent b="0" l="0" r="0" t="0"/>
                  <wp:docPr descr="" title="" id="360" name="Picture"/>
                  <a:graphic>
                    <a:graphicData uri="http://schemas.openxmlformats.org/drawingml/2006/picture">
                      <pic:pic>
                        <pic:nvPicPr>
                          <pic:cNvPr descr="figs/Figure%2010.pdf" id="361" name="Picture"/>
                          <pic:cNvPicPr>
                            <a:picLocks noChangeArrowheads="1" noChangeAspect="1"/>
                          </pic:cNvPicPr>
                        </pic:nvPicPr>
                        <pic:blipFill>
                          <a:blip r:embed="rId359"/>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6641582"/>
                  <wp:effectExtent b="0" l="0" r="0" t="0"/>
                  <wp:docPr descr="" title="" id="363" name="Picture"/>
                  <a:graphic>
                    <a:graphicData uri="http://schemas.openxmlformats.org/drawingml/2006/picture">
                      <pic:pic>
                        <pic:nvPicPr>
                          <pic:cNvPr descr="figs/Figure%2010%20-%20figure%20supplement%201.pdf" id="364" name="Picture"/>
                          <pic:cNvPicPr>
                            <a:picLocks noChangeArrowheads="1" noChangeAspect="1"/>
                          </pic:cNvPicPr>
                        </pic:nvPicPr>
                        <pic:blipFill>
                          <a:blip r:embed="rId362"/>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933700" cy="1549400"/>
                  <wp:effectExtent b="0" l="0" r="0" t="0"/>
                  <wp:docPr descr="" title="" id="366" name="Picture"/>
                  <a:graphic>
                    <a:graphicData uri="http://schemas.openxmlformats.org/drawingml/2006/picture">
                      <pic:pic>
                        <pic:nvPicPr>
                          <pic:cNvPr descr="figs/Figure%2010%20-%20figure%20supplement%202.pdf" id="367" name="Picture"/>
                          <pic:cNvPicPr>
                            <a:picLocks noChangeArrowheads="1" noChangeAspect="1"/>
                          </pic:cNvPicPr>
                        </pic:nvPicPr>
                        <pic:blipFill>
                          <a:blip r:embed="rId365"/>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07000" cy="4381500"/>
                  <wp:effectExtent b="0" l="0" r="0" t="0"/>
                  <wp:docPr descr="" title="" id="369" name="Picture"/>
                  <a:graphic>
                    <a:graphicData uri="http://schemas.openxmlformats.org/drawingml/2006/picture">
                      <pic:pic>
                        <pic:nvPicPr>
                          <pic:cNvPr descr="figs/Figure%2011.pdf" id="370" name="Picture"/>
                          <pic:cNvPicPr>
                            <a:picLocks noChangeArrowheads="1" noChangeAspect="1"/>
                          </pic:cNvPicPr>
                        </pic:nvPicPr>
                        <pic:blipFill>
                          <a:blip r:embed="rId368"/>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540000" cy="1549400"/>
                  <wp:effectExtent b="0" l="0" r="0" t="0"/>
                  <wp:docPr descr="" title="" id="372" name="Picture"/>
                  <a:graphic>
                    <a:graphicData uri="http://schemas.openxmlformats.org/drawingml/2006/picture">
                      <pic:pic>
                        <pic:nvPicPr>
                          <pic:cNvPr descr="figs/Figure%2011%20-%20figure%20supplement%201.pdf" id="373" name="Picture"/>
                          <pic:cNvPicPr>
                            <a:picLocks noChangeArrowheads="1" noChangeAspect="1"/>
                          </pic:cNvPicPr>
                        </pic:nvPicPr>
                        <pic:blipFill>
                          <a:blip r:embed="rId371"/>
                          <a:stretch>
                            <a:fillRect/>
                          </a:stretch>
                        </pic:blipFill>
                        <pic:spPr bwMode="auto">
                          <a:xfrm>
                            <a:off x="0" y="0"/>
                            <a:ext cx="25400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hypoxia on MYC protein in siPHD2-treated cells.</w:t>
            </w:r>
            <w:r>
              <w:t xml:space="preserve"> </w:t>
            </w:r>
            <w:r>
              <w:t xml:space="preserve">(</w:t>
            </w:r>
            <w:r>
              <w:rPr>
                <w:bCs/>
                <w:b/>
              </w:rPr>
              <w:t xml:space="preserve">A</w:t>
            </w:r>
            <w:r>
              <w:t xml:space="preserve">) Representative immunoblot of MYC protein levels in LFs treated with siPHD2 (P) or siCTL (C) and exposed to 0.5% oxygen for 72 h. (</w:t>
            </w:r>
            <w:r>
              <w:rPr>
                <w:bCs/>
                <w:b/>
              </w:rPr>
              <w:t xml:space="preserve">B</w:t>
            </w:r>
            <w:r>
              <w:t xml:space="preserve">) Quantification of MYC band densities as in (A). Data are mean ± SEM (n = 3,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286500" cy="3175000"/>
                  <wp:effectExtent b="0" l="0" r="0" t="0"/>
                  <wp:docPr descr="" title="" id="375" name="Picture"/>
                  <a:graphic>
                    <a:graphicData uri="http://schemas.openxmlformats.org/drawingml/2006/picture">
                      <pic:pic>
                        <pic:nvPicPr>
                          <pic:cNvPr descr="figs/Figure%2011%20-%20figure%20supplement%202.pdf" id="376" name="Picture"/>
                          <pic:cNvPicPr>
                            <a:picLocks noChangeArrowheads="1" noChangeAspect="1"/>
                          </pic:cNvPicPr>
                        </pic:nvPicPr>
                        <pic:blipFill>
                          <a:blip r:embed="rId374"/>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2 -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705100" cy="1524000"/>
                  <wp:effectExtent b="0" l="0" r="0" t="0"/>
                  <wp:docPr descr="" title="" id="378" name="Picture"/>
                  <a:graphic>
                    <a:graphicData uri="http://schemas.openxmlformats.org/drawingml/2006/picture">
                      <pic:pic>
                        <pic:nvPicPr>
                          <pic:cNvPr descr="figs/Figure%2012.pdf" id="379" name="Picture"/>
                          <pic:cNvPicPr>
                            <a:picLocks noChangeArrowheads="1" noChangeAspect="1"/>
                          </pic:cNvPicPr>
                        </pic:nvPicPr>
                        <pic:blipFill>
                          <a:blip r:embed="rId377"/>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80"/>
    <w:bookmarkStart w:id="381"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81"/>
    <w:bookmarkStart w:id="382" w:name="source-data-files"/>
    <w:p>
      <w:pPr>
        <w:pStyle w:val="Heading1"/>
      </w:pPr>
      <w:r>
        <w:t xml:space="preserve">Source data files</w:t>
      </w:r>
    </w:p>
    <w:p>
      <w:pPr>
        <w:pStyle w:val="FirstParagraph"/>
      </w:pPr>
      <w:r>
        <w:rPr>
          <w:bCs/>
          <w:b/>
        </w:rPr>
        <w:t xml:space="preserve">Figure 1 - source data 1</w:t>
      </w:r>
      <w:r>
        <w:t xml:space="preserve"> </w:t>
      </w:r>
      <w:r>
        <w:t xml:space="preserve">Uncropped blot images for Figure 1.</w:t>
      </w:r>
    </w:p>
    <w:p>
      <w:pPr>
        <w:pStyle w:val="BodyText"/>
      </w:pPr>
      <w:r>
        <w:rPr>
          <w:bCs/>
          <w:b/>
        </w:rPr>
        <w:t xml:space="preserve">Figure 1 - source data 2</w:t>
      </w:r>
      <w:r>
        <w:t xml:space="preserve"> </w:t>
      </w:r>
      <w:r>
        <w:t xml:space="preserve">Uncropped blot images for Figure 1 - figure supplement 3.</w:t>
      </w:r>
    </w:p>
    <w:p>
      <w:pPr>
        <w:pStyle w:val="BodyText"/>
      </w:pPr>
      <w:r>
        <w:rPr>
          <w:bCs/>
          <w:b/>
        </w:rPr>
        <w:t xml:space="preserve">Figure 1 - source data 3</w:t>
      </w:r>
      <w:r>
        <w:t xml:space="preserve"> </w:t>
      </w:r>
      <w:r>
        <w:t xml:space="preserve">Uncropped blot images for Figure 1 - figure supplement 4.</w:t>
      </w:r>
    </w:p>
    <w:p>
      <w:pPr>
        <w:pStyle w:val="BodyText"/>
      </w:pPr>
      <w:r>
        <w:rPr>
          <w:bCs/>
          <w:b/>
        </w:rPr>
        <w:t xml:space="preserve">Figure 2 - source data 1</w:t>
      </w:r>
      <w:r>
        <w:t xml:space="preserve"> </w:t>
      </w:r>
      <w:r>
        <w:t xml:space="preserve">Uncropped blot images for Figure 2.</w:t>
      </w:r>
    </w:p>
    <w:p>
      <w:pPr>
        <w:pStyle w:val="BodyText"/>
      </w:pPr>
      <w:r>
        <w:rPr>
          <w:bCs/>
          <w:b/>
        </w:rPr>
        <w:t xml:space="preserve">Figure 8 - source data 1</w:t>
      </w:r>
      <w:r>
        <w:t xml:space="preserve"> </w:t>
      </w:r>
      <w:r>
        <w:t xml:space="preserve">Uncropped blot images for Figure 8 - figure supplement 1.</w:t>
      </w:r>
    </w:p>
    <w:p>
      <w:pPr>
        <w:pStyle w:val="BodyText"/>
      </w:pPr>
      <w:r>
        <w:rPr>
          <w:bCs/>
          <w:b/>
        </w:rPr>
        <w:t xml:space="preserve">Figure 11 - source data 1</w:t>
      </w:r>
      <w:r>
        <w:t xml:space="preserve"> </w:t>
      </w:r>
      <w:r>
        <w:t xml:space="preserve">Uncropped blot images for Figure 11A.</w:t>
      </w:r>
    </w:p>
    <w:p>
      <w:pPr>
        <w:pStyle w:val="BodyText"/>
      </w:pPr>
      <w:r>
        <w:rPr>
          <w:bCs/>
          <w:b/>
        </w:rPr>
        <w:t xml:space="preserve">Figure 11 - source data 2</w:t>
      </w:r>
      <w:r>
        <w:t xml:space="preserve"> </w:t>
      </w:r>
      <w:r>
        <w:t xml:space="preserve">Uncropped blot images for Figures 11D and 11G.</w:t>
      </w:r>
    </w:p>
    <w:p>
      <w:pPr>
        <w:pStyle w:val="BodyText"/>
      </w:pPr>
      <w:r>
        <w:rPr>
          <w:bCs/>
          <w:b/>
        </w:rPr>
        <w:t xml:space="preserve">Figure 11 - source data 3</w:t>
      </w:r>
      <w:r>
        <w:t xml:space="preserve"> </w:t>
      </w:r>
      <w:r>
        <w:t xml:space="preserve">Uncropped blot images for Figure 11 - figure supplement 1.</w:t>
      </w:r>
    </w:p>
    <w:p>
      <w:pPr>
        <w:pStyle w:val="BodyText"/>
      </w:pPr>
      <w:r>
        <w:rPr>
          <w:bCs/>
          <w:b/>
        </w:rPr>
        <w:t xml:space="preserve">Figure 11 - source data 4</w:t>
      </w:r>
      <w:r>
        <w:t xml:space="preserve"> </w:t>
      </w:r>
      <w:r>
        <w:t xml:space="preserve">Uncropped blot images for Figure 11 - figure supplement 2.</w:t>
      </w:r>
    </w:p>
    <w:bookmarkEnd w:id="382"/>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85"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290" Target="media/rId290.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11" Target="media/rId311.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20" Target="media/rId320.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7" Target="media/rId347.pdf" /><Relationship Type="http://schemas.openxmlformats.org/officeDocument/2006/relationships/image" Id="rId344" Target="media/rId344.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350" Target="media/rId350.pdf" /><Relationship Type="http://schemas.openxmlformats.org/officeDocument/2006/relationships/image" Id="rId362" Target="media/rId362.pdf" /><Relationship Type="http://schemas.openxmlformats.org/officeDocument/2006/relationships/image" Id="rId365" Target="media/rId365.pdf" /><Relationship Type="http://schemas.openxmlformats.org/officeDocument/2006/relationships/image" Id="rId359" Target="media/rId359.pdf" /><Relationship Type="http://schemas.openxmlformats.org/officeDocument/2006/relationships/image" Id="rId371" Target="media/rId371.pdf" /><Relationship Type="http://schemas.openxmlformats.org/officeDocument/2006/relationships/image" Id="rId374" Target="media/rId374.pdf" /><Relationship Type="http://schemas.openxmlformats.org/officeDocument/2006/relationships/image" Id="rId368" Target="media/rId368.pdf" /><Relationship Type="http://schemas.openxmlformats.org/officeDocument/2006/relationships/image" Id="rId377" Target="media/rId377.pdf" /><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2023-05-16T22:03:10Z</dcterms:created>
  <dcterms:modified xsi:type="dcterms:W3CDTF">2023-05-16T22:03:10Z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