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proliferating human lung fibroblasts and pulmonary artery smooth muscle cells in hypoxia. Unexpectedly, hypoxia decreased glycolytic flux despite activation of hypoxia-inducible factor (HIF) and increased glycolytic enzyme expression. Pharmacologic activation of HIF with the prolyl hydroxylase (PHD) inhibitor molidustat in normoxia did increase glycolytic flux, but hypoxia abrogated this effect. Multi-omic profiling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notably MYC, supersede the anticipated effects of HIF-dependent up-regulation of glycolytic gene expression on glycolytic flux in hypoxic proliferating primary cells.</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energetic needs when oxygen supply is limiting. Understanding how these metabolic adaptations sustain critical cellular processes in hypoxia is fundamentally important to our understanding of human health and disease.</w:t>
      </w:r>
    </w:p>
    <w:p>
      <w:r>
        <w:br w:type="page"/>
      </w:r>
    </w:p>
    <w:bookmarkEnd w:id="23"/>
    <w:bookmarkStart w:id="29" w:name="references"/>
    <w:p>
      <w:pPr>
        <w:pStyle w:val="Heading1"/>
      </w:pPr>
      <w:r>
        <w:t xml:space="preserve">References</w:t>
      </w:r>
    </w:p>
    <w:bookmarkStart w:id="28" w:name="refs"/>
    <w:bookmarkStart w:id="25" w:name="ref-lee2019"/>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24">
        <w:r>
          <w:rPr>
            <w:rStyle w:val="Hyperlink"/>
          </w:rPr>
          <w:t xml:space="preserve">10.1038/s12276-019-0235-1</w:t>
        </w:r>
      </w:hyperlink>
    </w:p>
    <w:bookmarkEnd w:id="25"/>
    <w:bookmarkStart w:id="27" w:name="ref-semenza2012b"/>
    <w:p>
      <w:pPr>
        <w:pStyle w:val="Bibliography"/>
      </w:pPr>
      <w:r>
        <w:t xml:space="preserve">Semenza GL. 2012. Hypoxia-inducible factors in physiology and medicine.</w:t>
      </w:r>
      <w:r>
        <w:t xml:space="preserve"> </w:t>
      </w:r>
      <w:r>
        <w:rPr>
          <w:iCs/>
          <w:i/>
        </w:rPr>
        <w:t xml:space="preserve">Cell</w:t>
      </w:r>
      <w:r>
        <w:t xml:space="preserve"> </w:t>
      </w:r>
      <w:r>
        <w:rPr>
          <w:bCs/>
          <w:b/>
        </w:rPr>
        <w:t xml:space="preserve">148</w:t>
      </w:r>
      <w:r>
        <w:t xml:space="preserve">:399–408. doi:</w:t>
      </w:r>
      <w:hyperlink r:id="rId26">
        <w:r>
          <w:rPr>
            <w:rStyle w:val="Hyperlink"/>
          </w:rPr>
          <w:t xml:space="preserve">10.1016/j.cell.2012.01.021</w:t>
        </w:r>
      </w:hyperlink>
    </w:p>
    <w:bookmarkEnd w:id="27"/>
    <w:bookmarkEnd w:id="28"/>
    <w:bookmarkEnd w:id="29"/>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6" Target="https://doi.org/10.1016/j.cell.2012.01.021" TargetMode="External" /><Relationship Type="http://schemas.openxmlformats.org/officeDocument/2006/relationships/hyperlink" Id="rId24" Target="https://doi.org/10.1038/s12276-019-0235-1"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cell.2012.01.021" TargetMode="External" /><Relationship Type="http://schemas.openxmlformats.org/officeDocument/2006/relationships/hyperlink" Id="rId24" Target="https://doi.org/10.1038/s12276-019-0235-1"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2023-02-16T18:48:38Z</dcterms:created>
  <dcterms:modified xsi:type="dcterms:W3CDTF">2023-02-16T18:48:38Z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sl">
    <vt:lpwstr>elife.csl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