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25.png" ContentType="image/png"/>
  <Override PartName="/word/media/rId1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0"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b9282595b0ac9e967c694ae47e88f9cea98073a"/>
    <w:p>
      <w:pPr>
        <w:pStyle w:val="Heading2"/>
      </w:pPr>
      <w:r>
        <w:t xml:space="preserve">Lactate transport inhibition may signal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Post-translational protein modification of histone lysine residues by lactylation has been identified as a novel mechanism of metabolic regulation of gene expression</w:t>
      </w:r>
      <w:r>
        <w:t xml:space="preserve"> </w:t>
      </w:r>
      <w:r>
        <w:t xml:space="preserve">(44)</w:t>
      </w:r>
      <w:r>
        <w:t xml:space="preserve">. Given the increase in intracellular lactate following MCT4 inhibition, we measured H3 histone lactylation by immunoblot (</w:t>
      </w:r>
      <w:r>
        <w:rPr>
          <w:bCs/>
          <w:b/>
        </w:rPr>
        <w:t xml:space="preserve">Figure 6I-J</w:t>
      </w:r>
      <w:r>
        <w:t xml:space="preserve">). We found that inhibition of both MCT1 and MCT4 increased histone lactylation and may account for some of the transcriptional changes observed following these treatments.</w:t>
      </w:r>
    </w:p>
    <w:bookmarkEnd w:id="28"/>
    <w:bookmarkStart w:id="29" w:name="X2c3e92f14cb97d66a3cf899ebaa23e373831252"/>
    <w:p>
      <w:pPr>
        <w:pStyle w:val="Heading2"/>
      </w:pPr>
      <w:r>
        <w:t xml:space="preserve">Lactate transport inhibition contributes to antioxidant defense</w:t>
      </w:r>
    </w:p>
    <w:p>
      <w:pPr>
        <w:pStyle w:val="FirstParagraph"/>
      </w:pPr>
      <w:r>
        <w:t xml:space="preserve">Lactate metabolism is closely coupled to cellular redox homeostasis through its metabolism by lactate dehydrogenases, which couple lactate oxidation to NADH production. Since prior studies have suggested that reactive oxygen species (ROS) are important for TGFβ-mediated gene expression, we next examined the impact of lactate transport inhibition on cellular redox homeostasis. Consistent with an increase in intracellular lactate, we observed a concomitant increase in intracellular NADH/NAD</w:t>
      </w:r>
      <w:r>
        <w:rPr>
          <w:vertAlign w:val="superscript"/>
        </w:rPr>
        <w:t xml:space="preserve">+</w:t>
      </w:r>
      <w:r>
        <w:t xml:space="preserve"> </w:t>
      </w:r>
      <w:r>
        <w:t xml:space="preserve">(</w:t>
      </w:r>
      <w:r>
        <w:rPr>
          <w:bCs/>
          <w:b/>
        </w:rPr>
        <w:t xml:space="preserve">Figure 7A-C</w:t>
      </w:r>
      <w:r>
        <w:t xml:space="preserve">).</w:t>
      </w:r>
    </w:p>
    <w:p>
      <w:r>
        <w:br w:type="page"/>
      </w:r>
    </w:p>
    <w:bookmarkEnd w:id="29"/>
    <w:bookmarkEnd w:id="30"/>
    <w:bookmarkStart w:id="31"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1"/>
    <w:bookmarkStart w:id="32" w:name="methods"/>
    <w:p>
      <w:pPr>
        <w:pStyle w:val="Heading1"/>
      </w:pPr>
      <w:r>
        <w:t xml:space="preserve">Methods</w:t>
      </w:r>
    </w:p>
    <w:p>
      <w:r>
        <w:br w:type="page"/>
      </w:r>
    </w:p>
    <w:bookmarkEnd w:id="32"/>
    <w:bookmarkStart w:id="33" w:name="acknowledgements"/>
    <w:p>
      <w:pPr>
        <w:pStyle w:val="Heading1"/>
      </w:pPr>
      <w:r>
        <w:t xml:space="preserve">Acknowledgements</w:t>
      </w:r>
    </w:p>
    <w:bookmarkEnd w:id="33"/>
    <w:bookmarkStart w:id="34" w:name="conflicts-of-interest"/>
    <w:p>
      <w:pPr>
        <w:pStyle w:val="Heading1"/>
      </w:pPr>
      <w:r>
        <w:t xml:space="preserve">Conflicts of Interest</w:t>
      </w:r>
    </w:p>
    <w:p>
      <w:r>
        <w:br w:type="page"/>
      </w:r>
    </w:p>
    <w:bookmarkEnd w:id="34"/>
    <w:bookmarkStart w:id="124" w:name="references"/>
    <w:p>
      <w:pPr>
        <w:pStyle w:val="Heading1"/>
      </w:pPr>
      <w:r>
        <w:t xml:space="preserve">References</w:t>
      </w:r>
    </w:p>
    <w:bookmarkStart w:id="123" w:name="refs"/>
    <w:bookmarkStart w:id="36" w:name="ref-esposito2015"/>
    <w:p>
      <w:pPr>
        <w:pStyle w:val="Bibliography"/>
      </w:pPr>
      <w:r>
        <w:t xml:space="preserve">1. Esposito DB et al.</w:t>
      </w:r>
      <w:r>
        <w:t xml:space="preserve"> </w:t>
      </w:r>
      <w:hyperlink r:id="rId35">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6"/>
    <w:bookmarkStart w:id="38" w:name="ref-raghu2016"/>
    <w:p>
      <w:pPr>
        <w:pStyle w:val="Bibliography"/>
      </w:pPr>
      <w:r>
        <w:t xml:space="preserve">2. Raghu G, Chen S-Y, Hou Q, Yeh W-S, Collard HR.</w:t>
      </w:r>
      <w:r>
        <w:t xml:space="preserve"> </w:t>
      </w:r>
      <w:hyperlink r:id="rId37">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8"/>
    <w:bookmarkStart w:id="40" w:name="ref-martinez2017"/>
    <w:p>
      <w:pPr>
        <w:pStyle w:val="Bibliography"/>
      </w:pPr>
      <w:r>
        <w:t xml:space="preserve">3. Martinez FJ et al.</w:t>
      </w:r>
      <w:r>
        <w:t xml:space="preserve"> </w:t>
      </w:r>
      <w:hyperlink r:id="rId39">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0"/>
    <w:bookmarkStart w:id="42" w:name="ref-king2014"/>
    <w:p>
      <w:pPr>
        <w:pStyle w:val="Bibliography"/>
      </w:pPr>
      <w:r>
        <w:t xml:space="preserve">4. King TE et al.</w:t>
      </w:r>
      <w:r>
        <w:t xml:space="preserve"> </w:t>
      </w:r>
      <w:hyperlink r:id="rId41">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2"/>
    <w:bookmarkStart w:id="44" w:name="ref-richeldi2014"/>
    <w:p>
      <w:pPr>
        <w:pStyle w:val="Bibliography"/>
      </w:pPr>
      <w:r>
        <w:t xml:space="preserve">5. Richeldi L et al.</w:t>
      </w:r>
      <w:r>
        <w:t xml:space="preserve"> </w:t>
      </w:r>
      <w:hyperlink r:id="rId43">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4"/>
    <w:bookmarkStart w:id="46" w:name="ref-bueno2020"/>
    <w:p>
      <w:pPr>
        <w:pStyle w:val="Bibliography"/>
      </w:pPr>
      <w:r>
        <w:t xml:space="preserve">6. Bueno M, Calyeca J, Rojas M, Mora AL.</w:t>
      </w:r>
      <w:r>
        <w:t xml:space="preserve"> </w:t>
      </w:r>
      <w:hyperlink r:id="rId45">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6"/>
    <w:bookmarkStart w:id="48" w:name="ref-selvarajah2021"/>
    <w:p>
      <w:pPr>
        <w:pStyle w:val="Bibliography"/>
      </w:pPr>
      <w:r>
        <w:t xml:space="preserve">7. Selvarajah B, Azuelos I, Anastasiou D, Chambers RC.</w:t>
      </w:r>
      <w:r>
        <w:t xml:space="preserve"> </w:t>
      </w:r>
      <w:hyperlink r:id="rId47">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8"/>
    <w:bookmarkStart w:id="50" w:name="ref-bernard2015"/>
    <w:p>
      <w:pPr>
        <w:pStyle w:val="Bibliography"/>
      </w:pPr>
      <w:r>
        <w:t xml:space="preserve">8. Bernard K et al.</w:t>
      </w:r>
      <w:r>
        <w:t xml:space="preserve"> </w:t>
      </w:r>
      <w:hyperlink r:id="rId49">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0"/>
    <w:bookmarkStart w:id="52" w:name="ref-xie2015"/>
    <w:p>
      <w:pPr>
        <w:pStyle w:val="Bibliography"/>
      </w:pPr>
      <w:r>
        <w:t xml:space="preserve">9. Xie N et al.</w:t>
      </w:r>
      <w:r>
        <w:t xml:space="preserve"> </w:t>
      </w:r>
      <w:hyperlink r:id="rId51">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2"/>
    <w:bookmarkStart w:id="54" w:name="ref-goodwin2018"/>
    <w:p>
      <w:pPr>
        <w:pStyle w:val="Bibliography"/>
      </w:pPr>
      <w:r>
        <w:t xml:space="preserve">10. Goodwin J et al.</w:t>
      </w:r>
      <w:r>
        <w:t xml:space="preserve"> </w:t>
      </w:r>
      <w:hyperlink r:id="rId53">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4"/>
    <w:bookmarkStart w:id="56" w:name="ref-hamanaka2019"/>
    <w:p>
      <w:pPr>
        <w:pStyle w:val="Bibliography"/>
      </w:pPr>
      <w:r>
        <w:t xml:space="preserve">11. Hamanaka RB et al.</w:t>
      </w:r>
      <w:r>
        <w:t xml:space="preserve"> </w:t>
      </w:r>
      <w:hyperlink r:id="rId55">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6"/>
    <w:bookmarkStart w:id="58" w:name="ref-selvarajah2019"/>
    <w:p>
      <w:pPr>
        <w:pStyle w:val="Bibliography"/>
      </w:pPr>
      <w:r>
        <w:t xml:space="preserve">12. Selvarajah B et al.</w:t>
      </w:r>
      <w:r>
        <w:t xml:space="preserve"> </w:t>
      </w:r>
      <w:hyperlink r:id="rId57">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8"/>
    <w:bookmarkStart w:id="60" w:name="ref-kottmann2012"/>
    <w:p>
      <w:pPr>
        <w:pStyle w:val="Bibliography"/>
      </w:pPr>
      <w:r>
        <w:t xml:space="preserve">13. Kottmann RM et al.</w:t>
      </w:r>
      <w:r>
        <w:t xml:space="preserve"> </w:t>
      </w:r>
      <w:hyperlink r:id="rId59">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0"/>
    <w:bookmarkStart w:id="62" w:name="ref-kottmann2015"/>
    <w:p>
      <w:pPr>
        <w:pStyle w:val="Bibliography"/>
      </w:pPr>
      <w:r>
        <w:t xml:space="preserve">14. Kottmann RM et al.</w:t>
      </w:r>
      <w:r>
        <w:t xml:space="preserve"> </w:t>
      </w:r>
      <w:hyperlink r:id="rId61">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2"/>
    <w:bookmarkStart w:id="64" w:name="ref-judge2018"/>
    <w:p>
      <w:pPr>
        <w:pStyle w:val="Bibliography"/>
      </w:pPr>
      <w:r>
        <w:t xml:space="preserve">15. Judge JL et al.</w:t>
      </w:r>
      <w:r>
        <w:t xml:space="preserve"> </w:t>
      </w:r>
      <w:hyperlink r:id="rId63">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4"/>
    <w:bookmarkStart w:id="66" w:name="ref-cho2017"/>
    <w:p>
      <w:pPr>
        <w:pStyle w:val="Bibliography"/>
      </w:pPr>
      <w:r>
        <w:t xml:space="preserve">16. Cho SJ, Moon J-S, Lee C-M, Choi AMK, Stout-Delgado HW.</w:t>
      </w:r>
      <w:r>
        <w:t xml:space="preserve"> </w:t>
      </w:r>
      <w:hyperlink r:id="rId65">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6"/>
    <w:bookmarkStart w:id="68" w:name="ref-rodriguez-enriquez2009"/>
    <w:p>
      <w:pPr>
        <w:pStyle w:val="Bibliography"/>
      </w:pPr>
      <w:r>
        <w:t xml:space="preserve">17. Rodríguez-Enríquez S, Marín-Hernández A, Gallardo-Pérez JC, Carreño-Fuentes L, Moreno-Sánchez R.</w:t>
      </w:r>
      <w:r>
        <w:t xml:space="preserve"> </w:t>
      </w:r>
      <w:hyperlink r:id="rId67">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8"/>
    <w:bookmarkStart w:id="70" w:name="ref-michelakis2017"/>
    <w:p>
      <w:pPr>
        <w:pStyle w:val="Bibliography"/>
      </w:pPr>
      <w:r>
        <w:t xml:space="preserve">18. Michelakis ED et al.</w:t>
      </w:r>
      <w:r>
        <w:t xml:space="preserve"> </w:t>
      </w:r>
      <w:hyperlink r:id="rId69">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0"/>
    <w:bookmarkStart w:id="72" w:name="ref-pelicano2006"/>
    <w:p>
      <w:pPr>
        <w:pStyle w:val="Bibliography"/>
      </w:pPr>
      <w:r>
        <w:t xml:space="preserve">19. Pelicano H, Martin DS, Xu R-H, Huang P.</w:t>
      </w:r>
      <w:r>
        <w:t xml:space="preserve"> </w:t>
      </w:r>
      <w:hyperlink r:id="rId71">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2"/>
    <w:bookmarkStart w:id="74" w:name="ref-puri2020"/>
    <w:p>
      <w:pPr>
        <w:pStyle w:val="Bibliography"/>
      </w:pPr>
      <w:r>
        <w:t xml:space="preserve">20. Puri S, Juvale K.</w:t>
      </w:r>
      <w:r>
        <w:t xml:space="preserve"> </w:t>
      </w:r>
      <w:hyperlink r:id="rId73">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4"/>
    <w:bookmarkStart w:id="76" w:name="ref-cluntun2021"/>
    <w:p>
      <w:pPr>
        <w:pStyle w:val="Bibliography"/>
      </w:pPr>
      <w:r>
        <w:t xml:space="preserve">21. Cluntun AA et al.</w:t>
      </w:r>
      <w:r>
        <w:t xml:space="preserve"> </w:t>
      </w:r>
      <w:hyperlink r:id="rId75">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6"/>
    <w:bookmarkStart w:id="78" w:name="ref-halford2023"/>
    <w:p>
      <w:pPr>
        <w:pStyle w:val="Bibliography"/>
      </w:pPr>
      <w:r>
        <w:t xml:space="preserve">22. Halford S et al.</w:t>
      </w:r>
      <w:r>
        <w:t xml:space="preserve"> </w:t>
      </w:r>
      <w:hyperlink r:id="rId77">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8"/>
    <w:bookmarkStart w:id="80" w:name="ref-frangogiannis2020"/>
    <w:p>
      <w:pPr>
        <w:pStyle w:val="Bibliography"/>
      </w:pPr>
      <w:r>
        <w:t xml:space="preserve">23. Frangogiannis N.</w:t>
      </w:r>
      <w:r>
        <w:t xml:space="preserve"> </w:t>
      </w:r>
      <w:hyperlink r:id="rId79">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0"/>
    <w:bookmarkStart w:id="82" w:name="ref-tomasek2002"/>
    <w:p>
      <w:pPr>
        <w:pStyle w:val="Bibliography"/>
      </w:pPr>
      <w:r>
        <w:t xml:space="preserve">24. Tomasek JJ, Gabbiani G, Hinz B, Chaponnier C, Brown RA.</w:t>
      </w:r>
      <w:r>
        <w:t xml:space="preserve"> </w:t>
      </w:r>
      <w:hyperlink r:id="rId81">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2"/>
    <w:bookmarkStart w:id="84" w:name="ref-cui2019"/>
    <w:p>
      <w:pPr>
        <w:pStyle w:val="Bibliography"/>
      </w:pPr>
      <w:r>
        <w:t xml:space="preserve">25. Cui H et al.</w:t>
      </w:r>
      <w:r>
        <w:t xml:space="preserve"> </w:t>
      </w:r>
      <w:hyperlink r:id="rId83">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4"/>
    <w:bookmarkStart w:id="86" w:name="ref-rangarajan2018"/>
    <w:p>
      <w:pPr>
        <w:pStyle w:val="Bibliography"/>
      </w:pPr>
      <w:r>
        <w:t xml:space="preserve">26. Rangarajan S et al.</w:t>
      </w:r>
      <w:r>
        <w:t xml:space="preserve"> </w:t>
      </w:r>
      <w:hyperlink r:id="rId85">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6"/>
    <w:bookmarkStart w:id="88" w:name="ref-locy2020"/>
    <w:p>
      <w:pPr>
        <w:pStyle w:val="Bibliography"/>
      </w:pPr>
      <w:r>
        <w:t xml:space="preserve">27. Locy ML et al.</w:t>
      </w:r>
      <w:r>
        <w:t xml:space="preserve"> </w:t>
      </w:r>
      <w:hyperlink r:id="rId87">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8"/>
    <w:bookmarkStart w:id="90" w:name="ref-curtis2017"/>
    <w:p>
      <w:pPr>
        <w:pStyle w:val="Bibliography"/>
      </w:pPr>
      <w:r>
        <w:t xml:space="preserve">28. Curtis NJ et al.</w:t>
      </w:r>
      <w:r>
        <w:t xml:space="preserve"> </w:t>
      </w:r>
      <w:hyperlink r:id="rId89">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0"/>
    <w:bookmarkStart w:id="92" w:name="ref-ovens2010"/>
    <w:p>
      <w:pPr>
        <w:pStyle w:val="Bibliography"/>
      </w:pPr>
      <w:r>
        <w:t xml:space="preserve">29. Ovens MJ, Davies AJ, Wilson MC, Murray CM, Halestrap AP.</w:t>
      </w:r>
      <w:r>
        <w:t xml:space="preserve"> </w:t>
      </w:r>
      <w:hyperlink r:id="rId91">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2"/>
    <w:bookmarkStart w:id="94" w:name="ref-halestrap2013"/>
    <w:p>
      <w:pPr>
        <w:pStyle w:val="Bibliography"/>
      </w:pPr>
      <w:r>
        <w:t xml:space="preserve">30. Halestrap AP.</w:t>
      </w:r>
      <w:r>
        <w:t xml:space="preserve"> </w:t>
      </w:r>
      <w:hyperlink r:id="rId93">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4"/>
    <w:bookmarkStart w:id="96" w:name="ref-brooks2018"/>
    <w:p>
      <w:pPr>
        <w:pStyle w:val="Bibliography"/>
      </w:pPr>
      <w:r>
        <w:t xml:space="preserve">31. Brooks GA.</w:t>
      </w:r>
      <w:r>
        <w:t xml:space="preserve"> </w:t>
      </w:r>
      <w:hyperlink r:id="rId95">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6"/>
    <w:bookmarkStart w:id="98" w:name="ref-ullah2006"/>
    <w:p>
      <w:pPr>
        <w:pStyle w:val="Bibliography"/>
      </w:pPr>
      <w:r>
        <w:t xml:space="preserve">32. Ullah MS, Davies AJ, Halestrap AP.</w:t>
      </w:r>
      <w:r>
        <w:t xml:space="preserve"> </w:t>
      </w:r>
      <w:hyperlink r:id="rId97">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8"/>
    <w:bookmarkStart w:id="100" w:name="ref-contreras-baeza2019"/>
    <w:p>
      <w:pPr>
        <w:pStyle w:val="Bibliography"/>
      </w:pPr>
      <w:r>
        <w:t xml:space="preserve">33. Contreras-Baeza Y et al.</w:t>
      </w:r>
      <w:r>
        <w:t xml:space="preserve"> </w:t>
      </w:r>
      <w:hyperlink r:id="rId99">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0"/>
    <w:bookmarkStart w:id="102" w:name="ref-benjamin2018"/>
    <w:p>
      <w:pPr>
        <w:pStyle w:val="Bibliography"/>
      </w:pPr>
      <w:r>
        <w:t xml:space="preserve">34. Benjamin D et al.</w:t>
      </w:r>
      <w:r>
        <w:t xml:space="preserve"> </w:t>
      </w:r>
      <w:hyperlink r:id="rId101">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2"/>
    <w:bookmarkStart w:id="104" w:name="ref-schruf2019"/>
    <w:p>
      <w:pPr>
        <w:pStyle w:val="Bibliography"/>
      </w:pPr>
      <w:r>
        <w:t xml:space="preserve">35. Schruf E et al.</w:t>
      </w:r>
      <w:r>
        <w:t xml:space="preserve"> </w:t>
      </w:r>
      <w:hyperlink r:id="rId103">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4"/>
    <w:bookmarkStart w:id="106" w:name="ref-hui2017"/>
    <w:p>
      <w:pPr>
        <w:pStyle w:val="Bibliography"/>
      </w:pPr>
      <w:r>
        <w:t xml:space="preserve">36. Hui S et al.</w:t>
      </w:r>
      <w:r>
        <w:t xml:space="preserve"> </w:t>
      </w:r>
      <w:hyperlink r:id="rId105">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6"/>
    <w:bookmarkStart w:id="108" w:name="ref-hui2020"/>
    <w:p>
      <w:pPr>
        <w:pStyle w:val="Bibliography"/>
      </w:pPr>
      <w:r>
        <w:t xml:space="preserve">37. Hui S et al.</w:t>
      </w:r>
      <w:r>
        <w:t xml:space="preserve"> </w:t>
      </w:r>
      <w:hyperlink r:id="rId107">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8"/>
    <w:bookmarkStart w:id="110" w:name="ref-copeland2023"/>
    <w:p>
      <w:pPr>
        <w:pStyle w:val="Bibliography"/>
      </w:pPr>
      <w:r>
        <w:t xml:space="preserve">38. Copeland CA et al.</w:t>
      </w:r>
      <w:r>
        <w:t xml:space="preserve"> </w:t>
      </w:r>
      <w:hyperlink r:id="rId109">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0"/>
    <w:bookmarkStart w:id="112" w:name="ref-kwapiszewska2018"/>
    <w:p>
      <w:pPr>
        <w:pStyle w:val="Bibliography"/>
      </w:pPr>
      <w:r>
        <w:t xml:space="preserve">39. Kwapiszewska G et al.</w:t>
      </w:r>
      <w:r>
        <w:t xml:space="preserve"> </w:t>
      </w:r>
      <w:hyperlink r:id="rId111">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2"/>
    <w:bookmarkStart w:id="114" w:name="ref-williams2020"/>
    <w:p>
      <w:pPr>
        <w:pStyle w:val="Bibliography"/>
      </w:pPr>
      <w:r>
        <w:t xml:space="preserve">40. Williams LM et al.</w:t>
      </w:r>
      <w:r>
        <w:t xml:space="preserve"> </w:t>
      </w:r>
      <w:hyperlink r:id="rId113">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4"/>
    <w:bookmarkStart w:id="116" w:name="ref-baarsma2017"/>
    <w:p>
      <w:pPr>
        <w:pStyle w:val="Bibliography"/>
      </w:pPr>
      <w:r>
        <w:t xml:space="preserve">41. Baarsma HA, Königshoff M.</w:t>
      </w:r>
      <w:r>
        <w:t xml:space="preserve"> </w:t>
      </w:r>
      <w:hyperlink r:id="rId115">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6"/>
    <w:bookmarkStart w:id="118" w:name="ref-todd2020"/>
    <w:p>
      <w:pPr>
        <w:pStyle w:val="Bibliography"/>
      </w:pPr>
      <w:r>
        <w:t xml:space="preserve">42. Todd JL et al.</w:t>
      </w:r>
      <w:r>
        <w:t xml:space="preserve"> </w:t>
      </w:r>
      <w:hyperlink r:id="rId117">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18"/>
    <w:bookmarkStart w:id="120" w:name="ref-bhattacharyya2016"/>
    <w:p>
      <w:pPr>
        <w:pStyle w:val="Bibliography"/>
      </w:pPr>
      <w:r>
        <w:t xml:space="preserve">43. Bhattacharyya S et al.</w:t>
      </w:r>
      <w:r>
        <w:t xml:space="preserve"> </w:t>
      </w:r>
      <w:hyperlink r:id="rId119">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0"/>
    <w:bookmarkStart w:id="122" w:name="ref-zhang2019a"/>
    <w:p>
      <w:pPr>
        <w:pStyle w:val="Bibliography"/>
      </w:pPr>
      <w:r>
        <w:t xml:space="preserve">44. Zhang D et al.</w:t>
      </w:r>
      <w:r>
        <w:t xml:space="preserve"> </w:t>
      </w:r>
      <w:hyperlink r:id="rId121">
        <w:r>
          <w:rPr>
            <w:rStyle w:val="Hyperlink"/>
          </w:rPr>
          <w:t xml:space="preserve">Metabolic regulation of gene expression by histone lactylation</w:t>
        </w:r>
      </w:hyperlink>
      <w:r>
        <w:t xml:space="preserve">.</w:t>
      </w:r>
      <w:r>
        <w:t xml:space="preserve"> </w:t>
      </w:r>
      <w:r>
        <w:rPr>
          <w:iCs/>
          <w:i/>
        </w:rPr>
        <w:t xml:space="preserve">Nature</w:t>
      </w:r>
      <w:r>
        <w:t xml:space="preserve"> </w:t>
      </w:r>
      <w:r>
        <w:t xml:space="preserve">2019;574(7779):575–580.</w:t>
      </w:r>
    </w:p>
    <w:bookmarkEnd w:id="122"/>
    <w:bookmarkEnd w:id="123"/>
    <w:p>
      <w:r>
        <w:br w:type="page"/>
      </w:r>
    </w:p>
    <w:bookmarkEnd w:id="124"/>
    <w:bookmarkStart w:id="131"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26" name="Picture"/>
            <a:graphic>
              <a:graphicData uri="http://schemas.openxmlformats.org/drawingml/2006/picture">
                <pic:pic>
                  <pic:nvPicPr>
                    <pic:cNvPr descr="figs/Figure%2001.png" id="127" name="Picture"/>
                    <pic:cNvPicPr>
                      <a:picLocks noChangeArrowheads="1" noChangeAspect="1"/>
                    </pic:cNvPicPr>
                  </pic:nvPicPr>
                  <pic:blipFill>
                    <a:blip r:embed="rId125"/>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29" name="Picture"/>
            <a:graphic>
              <a:graphicData uri="http://schemas.openxmlformats.org/drawingml/2006/picture">
                <pic:pic>
                  <pic:nvPicPr>
                    <pic:cNvPr descr="figs/Figure%2002.png" id="130" name="Picture"/>
                    <pic:cNvPicPr>
                      <a:picLocks noChangeArrowheads="1" noChangeAspect="1"/>
                    </pic:cNvPicPr>
                  </pic:nvPicPr>
                  <pic:blipFill>
                    <a:blip r:embed="rId128"/>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31"/>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121" Target="https://doi.org/10.1038/s41586-019-1678-1"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121" Target="https://doi.org/10.1038/s41586-019-1678-1"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2024-02-13T18:20:11Z</dcterms:created>
  <dcterms:modified xsi:type="dcterms:W3CDTF">2024-02-13T18:20:11Z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