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37.png" ContentType="image/png"/>
  <Override PartName="/word/media/rId1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2"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b9282595b0ac9e967c694ae47e88f9cea98073a"/>
    <w:p>
      <w:pPr>
        <w:pStyle w:val="Heading2"/>
      </w:pPr>
      <w:r>
        <w:t xml:space="preserve">Lactate transport inhibition may signal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Post-translational protein modification of histone lysine residues by lactylation has been identified as a novel mechanism of metabolic regulation of gene expression</w:t>
      </w:r>
      <w:r>
        <w:t xml:space="preserve"> </w:t>
      </w:r>
      <w:r>
        <w:t xml:space="preserve">(44)</w:t>
      </w:r>
      <w:r>
        <w:t xml:space="preserve">. Given the increase in intracellular lactate following MCT4 inhibition, we measured H3 histone lactylation by immunoblot (</w:t>
      </w:r>
      <w:r>
        <w:rPr>
          <w:bCs/>
          <w:b/>
        </w:rPr>
        <w:t xml:space="preserve">Figure 6I-J</w:t>
      </w:r>
      <w:r>
        <w:t xml:space="preserve">). We found that inhibition of both MCT1 and MCT4 increased histone lactylation and may account for some of the transcriptional changes observed following these treatments.</w:t>
      </w:r>
    </w:p>
    <w:bookmarkEnd w:id="28"/>
    <w:bookmarkStart w:id="29" w:name="X2c3e92f14cb97d66a3cf899ebaa23e373831252"/>
    <w:p>
      <w:pPr>
        <w:pStyle w:val="Heading2"/>
      </w:pPr>
      <w:r>
        <w:t xml:space="preserve">Lactate transport inhibition contributes to antioxidant defense</w:t>
      </w:r>
    </w:p>
    <w:p>
      <w:pPr>
        <w:pStyle w:val="FirstParagraph"/>
      </w:pPr>
      <w:r>
        <w:t xml:space="preserve">Lactate metabolism is closely coupled to cellular redox homeostasis through its metabolism by lactate dehydrogenases, which transfer electrons from lactate to NADH. Since prior studies have suggested that reactive oxygen species (ROS) are important for TGFβ-mediated gene expression</w:t>
      </w:r>
      <w:r>
        <w:t xml:space="preserve"> </w:t>
      </w:r>
      <w:r>
        <w:t xml:space="preserve">(46)</w:t>
      </w:r>
      <w:r>
        <w:t xml:space="preserve">, we next examined the impact of lactate transport inhibition on cellular redox homeostasis. Consistent with an increase in intracellular lactate with MCT4 inhibition, we observed a concomitant increase in intracellular NADH/NAD</w:t>
      </w:r>
      <w:r>
        <w:rPr>
          <w:vertAlign w:val="superscript"/>
        </w:rPr>
        <w:t xml:space="preserve">+</w:t>
      </w:r>
      <w:r>
        <w:t xml:space="preserve"> </w:t>
      </w:r>
      <w:r>
        <w:t xml:space="preserve">(</w:t>
      </w:r>
      <w:r>
        <w:rPr>
          <w:bCs/>
          <w:b/>
        </w:rPr>
        <w:t xml:space="preserve">Figure 7A</w:t>
      </w:r>
      <w:r>
        <w:t xml:space="preserve">), which was associated with a reduction in total ROS as measured by the CellROX fluorescent probe (</w:t>
      </w:r>
      <w:r>
        <w:rPr>
          <w:bCs/>
          <w:b/>
        </w:rPr>
        <w:t xml:space="preserve">Figure 7B</w:t>
      </w:r>
      <w:r>
        <w:t xml:space="preserve">). By contrast, the NADPH/NADP</w:t>
      </w:r>
      <w:r>
        <w:rPr>
          <w:vertAlign w:val="superscript"/>
        </w:rPr>
        <w:t xml:space="preserve">+</w:t>
      </w:r>
      <w:r>
        <w:t xml:space="preserve"> </w:t>
      </w:r>
      <w:r>
        <w:t xml:space="preserve">was unchanged by either TGFβ or MCT inhibitors (</w:t>
      </w:r>
      <w:r>
        <w:rPr>
          <w:bCs/>
          <w:b/>
        </w:rPr>
        <w:t xml:space="preserve">Supplemental Figure 7A</w:t>
      </w:r>
      <w:r>
        <w:t xml:space="preserve">). Notably, we did not observe TGFβ-dependent increases in total ROS production nor an impact of TGFβ or inhibitors on mitochondrial superoxide production (</w:t>
      </w:r>
      <w:r>
        <w:rPr>
          <w:bCs/>
          <w:b/>
        </w:rPr>
        <w:t xml:space="preserve">Supplemental Figure 7B</w:t>
      </w:r>
      <w:r>
        <w:t xml:space="preserve">).</w:t>
      </w:r>
    </w:p>
    <w:p>
      <w:pPr>
        <w:pStyle w:val="BodyText"/>
      </w:pPr>
      <w:r>
        <w:t xml:space="preserve">Proline biosynthesis has been previously suggested as a mechanism by which NIH-3T3 fibroblasts prevent excessive ROS accumulation following TGFβ stimulation</w:t>
      </w:r>
      <w:r>
        <w:t xml:space="preserve"> </w:t>
      </w:r>
      <w:r>
        <w:t xml:space="preserve">(46)</w:t>
      </w:r>
      <w:r>
        <w:t xml:space="preserve">. In this model, proline synthesis from glutamine consumes reducing equivalents from NADPH and NADH, thereby ameliorating reductive stress and decreasing ROS production. Compared to this prior study, we did not find that TGFβ increased proline in our primary lung fibroblasts (</w:t>
      </w:r>
      <w:r>
        <w:rPr>
          <w:bCs/>
          <w:b/>
        </w:rPr>
        <w:t xml:space="preserve">Supplemental Figure 7C</w:t>
      </w:r>
      <w:r>
        <w:t xml:space="preserve">). Overall, the fractional labeling of proline from [U-</w:t>
      </w:r>
      <w:r>
        <w:rPr>
          <w:vertAlign w:val="superscript"/>
        </w:rPr>
        <w:t xml:space="preserve">13</w:t>
      </w:r>
      <w:r>
        <w:t xml:space="preserve">C</w:t>
      </w:r>
      <w:r>
        <w:rPr>
          <w:vertAlign w:val="subscript"/>
        </w:rPr>
        <w:t xml:space="preserve">5</w:t>
      </w:r>
      <w:r>
        <w:t xml:space="preserve">]-glutamine was modest (~10%) compared to the 40% previously reported (</w:t>
      </w:r>
      <w:r>
        <w:rPr>
          <w:bCs/>
          <w:b/>
        </w:rPr>
        <w:t xml:space="preserve">Supplemental Figure 7D</w:t>
      </w:r>
      <w:r>
        <w:t xml:space="preserve">). While we observed trends toward increased proline production from glutamine with MCT4 inhibition, this mechanism seems unlikely to account for the effects of MCT inhibitors on ROS generation.</w:t>
      </w:r>
    </w:p>
    <w:bookmarkEnd w:id="29"/>
    <w:bookmarkStart w:id="30" w:name="X22c6839997f827a6e4e65036e4b8bca1170507a"/>
    <w:p>
      <w:pPr>
        <w:pStyle w:val="Heading2"/>
      </w:pPr>
      <w:r>
        <w:t xml:space="preserve">MCT inhibition decreases experimental pulmonary fibrosis</w:t>
      </w:r>
    </w:p>
    <w:p>
      <w:pPr>
        <w:pStyle w:val="FirstParagraph"/>
      </w:pPr>
      <w:r>
        <w:t xml:space="preserve">Based on our</w:t>
      </w:r>
      <w:r>
        <w:t xml:space="preserve"> </w:t>
      </w:r>
      <w:r>
        <w:rPr>
          <w:iCs/>
          <w:i/>
        </w:rPr>
        <w:t xml:space="preserve">in vitro</w:t>
      </w:r>
      <w:r>
        <w:t xml:space="preserve"> </w:t>
      </w:r>
      <w:r>
        <w:t xml:space="preserve">data suggesting an anti-fibrotic effect of lactate transporter inhibition, we next tested the efficacy of MCT inhibitors in the bleomycin-induced mouse model of pulmonary fibrosis. Mice received 1.2 U/kg bleomycin by intratracheal administration. After seven days, the animals began treatment with AZD3965 (100 mg/kg twice daily) or VB124 (30 mg/kg once daily) or vehicle by oral gavage (</w:t>
      </w:r>
      <w:r>
        <w:rPr>
          <w:bCs/>
          <w:b/>
        </w:rPr>
        <w:t xml:space="preserve">Figure 8A</w:t>
      </w:r>
      <w:r>
        <w:t xml:space="preserve">). We anticipated that dual inhibition would likely be toxic</w:t>
      </w:r>
      <w:r>
        <w:t xml:space="preserve"> </w:t>
      </w:r>
      <w:r>
        <w:rPr>
          <w:iCs/>
          <w:i/>
        </w:rPr>
        <w:t xml:space="preserve">in vivo</w:t>
      </w:r>
      <w:r>
        <w:t xml:space="preserve"> </w:t>
      </w:r>
      <w:r>
        <w:t xml:space="preserve">and did not assess the combination of inhibitors. Compared to vehicle, mice treated with VB124 had increased weight recovery 21 days after bleomycin administration (</w:t>
      </w:r>
      <w:r>
        <w:rPr>
          <w:bCs/>
          <w:b/>
        </w:rPr>
        <w:t xml:space="preserve">Supplemental Figure 8</w:t>
      </w:r>
      <w:r>
        <w:t xml:space="preserve">). Lung mechanics were improved by ~ 50% of baseline compared to vehicle controls following 14 days of MCT inhibitor treatment (</w:t>
      </w:r>
      <w:r>
        <w:rPr>
          <w:bCs/>
          <w:b/>
        </w:rPr>
        <w:t xml:space="preserve">Figure 8B-C</w:t>
      </w:r>
      <w:r>
        <w:t xml:space="preserve">). Consistent with improved elastance and compliance measures, histologic fibrosis severity assessed by Ashcroft scoring</w:t>
      </w:r>
      <w:r>
        <w:t xml:space="preserve"> </w:t>
      </w:r>
      <w:r>
        <w:t xml:space="preserve">(47)</w:t>
      </w:r>
      <w:r>
        <w:t xml:space="preserve"> </w:t>
      </w:r>
      <w:r>
        <w:t xml:space="preserve">also improved.</w:t>
      </w:r>
    </w:p>
    <w:bookmarkEnd w:id="30"/>
    <w:bookmarkStart w:id="31" w:name="Xc5c6d88b56f1f2cb9dfe310e984f857760bed68"/>
    <w:p>
      <w:pPr>
        <w:pStyle w:val="Heading2"/>
      </w:pPr>
      <w:r>
        <w:t xml:space="preserve">MCT inhibition reprograms lung metabolism</w:t>
      </w:r>
      <w:r>
        <w:t xml:space="preserve"> </w:t>
      </w:r>
      <w:r>
        <w:rPr>
          <w:iCs/>
          <w:i/>
        </w:rPr>
        <w:t xml:space="preserve">in vivo</w:t>
      </w:r>
    </w:p>
    <w:p>
      <w:pPr>
        <w:pStyle w:val="FirstParagraph"/>
      </w:pPr>
      <w:r>
        <w:t xml:space="preserve">To investigate metabolic perturbations following lactate transporter inhibition</w:t>
      </w:r>
      <w:r>
        <w:t xml:space="preserve"> </w:t>
      </w:r>
      <w:r>
        <w:rPr>
          <w:iCs/>
          <w:i/>
        </w:rPr>
        <w:t xml:space="preserve">in vivo</w:t>
      </w:r>
      <w:r>
        <w:t xml:space="preserve">, we next performed metabolomic profiling of lung and plasma from mice treated with bleomycin and MCT inhibitors (</w:t>
      </w:r>
      <w:r>
        <w:rPr>
          <w:bCs/>
          <w:b/>
        </w:rPr>
        <w:t xml:space="preserve">Supplemental Figure 9.1</w:t>
      </w:r>
      <w:r>
        <w:t xml:space="preserve">). While bleomycin treatment substantially altered the lung metabolic profile, treatment with AZD3965 or VB124 had little additional impact on total metabolite levels. Unlike bleomycin alone or following AZD3965 treatment, VB124 treatment was associated with significant changes in several circulating metabolites (</w:t>
      </w:r>
      <w:r>
        <w:rPr>
          <w:bCs/>
          <w:b/>
        </w:rPr>
        <w:t xml:space="preserve">Supplemental Figure 9.1I</w:t>
      </w:r>
      <w:r>
        <w:t xml:space="preserve">). Among these, VB124 significantly increased circulating lactate, while AZD3965 was associated with decreased circulating lactate (</w:t>
      </w:r>
      <w:r>
        <w:rPr>
          <w:bCs/>
          <w:b/>
        </w:rPr>
        <w:t xml:space="preserve">Figure 9A</w:t>
      </w:r>
      <w:r>
        <w:t xml:space="preserve">). This pattern was also reflected in the lung, where only modest changes were observed following bleomycin, contrary to prior reports</w:t>
      </w:r>
      <w:r>
        <w:t xml:space="preserve"> </w:t>
      </w:r>
      <w:r>
        <w:t xml:space="preserve">(13)</w:t>
      </w:r>
      <w:r>
        <w:t xml:space="preserve">. Given the impact of our treatments on circulating lactate, we calculated the ratio of lung-to-plasma lactate. This analysis demonstrated the expected increase in lactate in fibrotic lungs with levels returning to baseline following the addition of VB124 (</w:t>
      </w:r>
      <w:r>
        <w:rPr>
          <w:bCs/>
          <w:b/>
        </w:rPr>
        <w:t xml:space="preserve">Figure 9A</w:t>
      </w:r>
      <w:r>
        <w:t xml:space="preserve">).</w:t>
      </w:r>
    </w:p>
    <w:p>
      <w:pPr>
        <w:pStyle w:val="BodyText"/>
      </w:pPr>
      <w:r>
        <w:t xml:space="preserve">We were surprised to observe a relative paucity of metabolic changes in whole lung lysates following MCT inhibition compared to our</w:t>
      </w:r>
      <w:r>
        <w:t xml:space="preserve"> </w:t>
      </w:r>
      <w:r>
        <w:rPr>
          <w:iCs/>
          <w:i/>
        </w:rPr>
        <w:t xml:space="preserve">in vitro</w:t>
      </w:r>
      <w:r>
        <w:t xml:space="preserve"> </w:t>
      </w:r>
      <w:r>
        <w:t xml:space="preserve">studies. We hypothesized that this might be a consequence of measuring steady-state metabolite levels that do not account for differences in metabolic flux. To examine this hypothesis, we performed multi-isotope imaging mass spectrometry (MIMS) of mouse lungs following administration of</w:t>
      </w:r>
      <w:r>
        <w:t xml:space="preserve"> </w:t>
      </w:r>
      <w:r>
        <w:rPr>
          <w:vertAlign w:val="superscript"/>
        </w:rPr>
        <w:t xml:space="preserve">15</w:t>
      </w:r>
      <w:r>
        <w:t xml:space="preserve">N-proline and</w:t>
      </w:r>
      <w:r>
        <w:t xml:space="preserve"> </w:t>
      </w:r>
      <w:r>
        <w:rPr>
          <w:vertAlign w:val="superscript"/>
        </w:rPr>
        <w:t xml:space="preserve">2</w:t>
      </w:r>
      <w:r>
        <w:t xml:space="preserve">H-glucose or</w:t>
      </w:r>
      <w:r>
        <w:t xml:space="preserve"> </w:t>
      </w:r>
      <w:r>
        <w:rPr>
          <w:vertAlign w:val="superscript"/>
        </w:rPr>
        <w:t xml:space="preserve">13</w:t>
      </w:r>
      <w:r>
        <w:t xml:space="preserve">C-glucose. MIMS enables the quantification of stable isotope tracer flux into tissue biomass with subcellular spatial resolution</w:t>
      </w:r>
      <w:r>
        <w:t xml:space="preserve"> </w:t>
      </w:r>
      <w:r>
        <w:t xml:space="preserve">(48, 49)</w:t>
      </w:r>
      <w:r>
        <w:t xml:space="preserve">. For three days prior to tissue collection, mice received twice daily intraperitoneal injections of 5 mg</w:t>
      </w:r>
      <w:r>
        <w:t xml:space="preserve"> </w:t>
      </w:r>
      <w:r>
        <w:rPr>
          <w:vertAlign w:val="superscript"/>
        </w:rPr>
        <w:t xml:space="preserve">15</w:t>
      </w:r>
      <w:r>
        <w:t xml:space="preserve">N-proline as a fibrosis tracer and 50 mg</w:t>
      </w:r>
      <w:r>
        <w:t xml:space="preserve"> </w:t>
      </w:r>
      <w:r>
        <w:rPr>
          <w:vertAlign w:val="superscript"/>
        </w:rPr>
        <w:t xml:space="preserve">2</w:t>
      </w:r>
      <w:r>
        <w:t xml:space="preserve">H-glucose or</w:t>
      </w:r>
      <w:r>
        <w:t xml:space="preserve"> </w:t>
      </w:r>
      <w:r>
        <w:rPr>
          <w:vertAlign w:val="superscript"/>
        </w:rPr>
        <w:t xml:space="preserve">13</w:t>
      </w:r>
      <w:r>
        <w:t xml:space="preserve">C-glucose as a metabolic tracer. Lung tissue sections were subsequently imaged by nanoscale secondary ion mass spectrometry to quantify spatially resolved isotope tracer uptake (</w:t>
      </w:r>
      <w:r>
        <w:rPr>
          <w:bCs/>
          <w:b/>
        </w:rPr>
        <w:t xml:space="preserve">Figure 9B-C</w:t>
      </w:r>
      <w:r>
        <w:t xml:space="preserve">). This labeling strategy was quite effective, demonstrating ~1.5-fold</w:t>
      </w:r>
      <w:r>
        <w:t xml:space="preserve"> </w:t>
      </w:r>
      <w:r>
        <w:rPr>
          <w:vertAlign w:val="superscript"/>
        </w:rPr>
        <w:t xml:space="preserve">15</w:t>
      </w:r>
      <w:r>
        <w:t xml:space="preserve">N, ~4.6-fold for</w:t>
      </w:r>
      <w:r>
        <w:t xml:space="preserve"> </w:t>
      </w:r>
      <w:r>
        <w:rPr>
          <w:vertAlign w:val="superscript"/>
        </w:rPr>
        <w:t xml:space="preserve">2</w:t>
      </w:r>
      <w:r>
        <w:t xml:space="preserve">H, and ~2.4-fold for</w:t>
      </w:r>
      <w:r>
        <w:t xml:space="preserve"> </w:t>
      </w:r>
      <w:r>
        <w:rPr>
          <w:vertAlign w:val="superscript"/>
        </w:rPr>
        <w:t xml:space="preserve">13</w:t>
      </w:r>
      <w:r>
        <w:t xml:space="preserve">C enrichment above natural isotope abundance. Pulmonary fibrosis was associated with a significant increase in</w:t>
      </w:r>
      <w:r>
        <w:t xml:space="preserve"> </w:t>
      </w:r>
      <w:r>
        <w:rPr>
          <w:vertAlign w:val="superscript"/>
        </w:rPr>
        <w:t xml:space="preserve">15</w:t>
      </w:r>
      <w:r>
        <w:t xml:space="preserve">N labeling from proline, consistent with increased collagen synthesis and deposition during the labeling period. Similar to the lung function and histological analyses, less</w:t>
      </w:r>
      <w:r>
        <w:t xml:space="preserve"> </w:t>
      </w:r>
      <w:r>
        <w:rPr>
          <w:vertAlign w:val="superscript"/>
        </w:rPr>
        <w:t xml:space="preserve">15</w:t>
      </w:r>
      <w:r>
        <w:t xml:space="preserve">N incorporation per tissue area was observed in drug-treated animals. Glucose labeling followed a similar pattern where lactate transporter inhibition caused a decrease in glucose incorporation into tissue biomass. Importantly, these data findings are not merely a consequence of decreased tissue fibrosis as we chose more fibrotic areas to image (</w:t>
      </w:r>
      <w:r>
        <w:rPr>
          <w:bCs/>
          <w:b/>
        </w:rPr>
        <w:t xml:space="preserve">Figure 9B</w:t>
      </w:r>
      <w:r>
        <w:t xml:space="preserve">) and the enrichment values are averaged over the tissue area.</w:t>
      </w:r>
    </w:p>
    <w:p>
      <w:r>
        <w:br w:type="page"/>
      </w:r>
    </w:p>
    <w:bookmarkEnd w:id="31"/>
    <w:bookmarkEnd w:id="32"/>
    <w:bookmarkStart w:id="33"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3"/>
    <w:bookmarkStart w:id="34" w:name="methods"/>
    <w:p>
      <w:pPr>
        <w:pStyle w:val="Heading1"/>
      </w:pPr>
      <w:r>
        <w:t xml:space="preserve">Methods</w:t>
      </w:r>
    </w:p>
    <w:p>
      <w:r>
        <w:br w:type="page"/>
      </w:r>
    </w:p>
    <w:bookmarkEnd w:id="34"/>
    <w:bookmarkStart w:id="35" w:name="acknowledgements"/>
    <w:p>
      <w:pPr>
        <w:pStyle w:val="Heading1"/>
      </w:pPr>
      <w:r>
        <w:t xml:space="preserve">Acknowledgements</w:t>
      </w:r>
    </w:p>
    <w:bookmarkEnd w:id="35"/>
    <w:bookmarkStart w:id="36" w:name="conflicts-of-interest"/>
    <w:p>
      <w:pPr>
        <w:pStyle w:val="Heading1"/>
      </w:pPr>
      <w:r>
        <w:t xml:space="preserve">Conflicts of Interest</w:t>
      </w:r>
    </w:p>
    <w:p>
      <w:r>
        <w:br w:type="page"/>
      </w:r>
    </w:p>
    <w:bookmarkEnd w:id="36"/>
    <w:bookmarkStart w:id="136" w:name="references"/>
    <w:p>
      <w:pPr>
        <w:pStyle w:val="Heading1"/>
      </w:pPr>
      <w:r>
        <w:t xml:space="preserve">References</w:t>
      </w:r>
    </w:p>
    <w:bookmarkStart w:id="135" w:name="refs"/>
    <w:bookmarkStart w:id="38" w:name="ref-esposito2015"/>
    <w:p>
      <w:pPr>
        <w:pStyle w:val="Bibliography"/>
      </w:pPr>
      <w:r>
        <w:t xml:space="preserve">1. Esposito DB et al.</w:t>
      </w:r>
      <w:r>
        <w:t xml:space="preserve"> </w:t>
      </w:r>
      <w:hyperlink r:id="rId37">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8"/>
    <w:bookmarkStart w:id="40" w:name="ref-raghu2016"/>
    <w:p>
      <w:pPr>
        <w:pStyle w:val="Bibliography"/>
      </w:pPr>
      <w:r>
        <w:t xml:space="preserve">2. Raghu G, Chen S-Y, Hou Q, Yeh W-S, Collard HR.</w:t>
      </w:r>
      <w:r>
        <w:t xml:space="preserve"> </w:t>
      </w:r>
      <w:hyperlink r:id="rId39">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40"/>
    <w:bookmarkStart w:id="42" w:name="ref-martinez2017"/>
    <w:p>
      <w:pPr>
        <w:pStyle w:val="Bibliography"/>
      </w:pPr>
      <w:r>
        <w:t xml:space="preserve">3. Martinez FJ et al.</w:t>
      </w:r>
      <w:r>
        <w:t xml:space="preserve"> </w:t>
      </w:r>
      <w:hyperlink r:id="rId41">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2"/>
    <w:bookmarkStart w:id="44" w:name="ref-king2014"/>
    <w:p>
      <w:pPr>
        <w:pStyle w:val="Bibliography"/>
      </w:pPr>
      <w:r>
        <w:t xml:space="preserve">4. King TE et al.</w:t>
      </w:r>
      <w:r>
        <w:t xml:space="preserve"> </w:t>
      </w:r>
      <w:hyperlink r:id="rId43">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4"/>
    <w:bookmarkStart w:id="46" w:name="ref-richeldi2014"/>
    <w:p>
      <w:pPr>
        <w:pStyle w:val="Bibliography"/>
      </w:pPr>
      <w:r>
        <w:t xml:space="preserve">5. Richeldi L et al.</w:t>
      </w:r>
      <w:r>
        <w:t xml:space="preserve"> </w:t>
      </w:r>
      <w:hyperlink r:id="rId45">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6"/>
    <w:bookmarkStart w:id="48" w:name="ref-bueno2020"/>
    <w:p>
      <w:pPr>
        <w:pStyle w:val="Bibliography"/>
      </w:pPr>
      <w:r>
        <w:t xml:space="preserve">6. Bueno M, Calyeca J, Rojas M, Mora AL.</w:t>
      </w:r>
      <w:r>
        <w:t xml:space="preserve"> </w:t>
      </w:r>
      <w:hyperlink r:id="rId47">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8"/>
    <w:bookmarkStart w:id="50" w:name="ref-selvarajah2021"/>
    <w:p>
      <w:pPr>
        <w:pStyle w:val="Bibliography"/>
      </w:pPr>
      <w:r>
        <w:t xml:space="preserve">7. Selvarajah B, Azuelos I, Anastasiou D, Chambers RC.</w:t>
      </w:r>
      <w:r>
        <w:t xml:space="preserve"> </w:t>
      </w:r>
      <w:hyperlink r:id="rId49">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50"/>
    <w:bookmarkStart w:id="52" w:name="ref-bernard2015"/>
    <w:p>
      <w:pPr>
        <w:pStyle w:val="Bibliography"/>
      </w:pPr>
      <w:r>
        <w:t xml:space="preserve">8. Bernard K et al.</w:t>
      </w:r>
      <w:r>
        <w:t xml:space="preserve"> </w:t>
      </w:r>
      <w:hyperlink r:id="rId51">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2"/>
    <w:bookmarkStart w:id="54" w:name="ref-xie2015"/>
    <w:p>
      <w:pPr>
        <w:pStyle w:val="Bibliography"/>
      </w:pPr>
      <w:r>
        <w:t xml:space="preserve">9. Xie N et al.</w:t>
      </w:r>
      <w:r>
        <w:t xml:space="preserve"> </w:t>
      </w:r>
      <w:hyperlink r:id="rId53">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4"/>
    <w:bookmarkStart w:id="56" w:name="ref-goodwin2018"/>
    <w:p>
      <w:pPr>
        <w:pStyle w:val="Bibliography"/>
      </w:pPr>
      <w:r>
        <w:t xml:space="preserve">10. Goodwin J et al.</w:t>
      </w:r>
      <w:r>
        <w:t xml:space="preserve"> </w:t>
      </w:r>
      <w:hyperlink r:id="rId55">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6"/>
    <w:bookmarkStart w:id="58" w:name="ref-hamanaka2019"/>
    <w:p>
      <w:pPr>
        <w:pStyle w:val="Bibliography"/>
      </w:pPr>
      <w:r>
        <w:t xml:space="preserve">11. Hamanaka RB et al.</w:t>
      </w:r>
      <w:r>
        <w:t xml:space="preserve"> </w:t>
      </w:r>
      <w:hyperlink r:id="rId57">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8"/>
    <w:bookmarkStart w:id="60" w:name="ref-selvarajah2019"/>
    <w:p>
      <w:pPr>
        <w:pStyle w:val="Bibliography"/>
      </w:pPr>
      <w:r>
        <w:t xml:space="preserve">12. Selvarajah B et al.</w:t>
      </w:r>
      <w:r>
        <w:t xml:space="preserve"> </w:t>
      </w:r>
      <w:hyperlink r:id="rId59">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60"/>
    <w:bookmarkStart w:id="62" w:name="ref-kottmann2012"/>
    <w:p>
      <w:pPr>
        <w:pStyle w:val="Bibliography"/>
      </w:pPr>
      <w:r>
        <w:t xml:space="preserve">13. Kottmann RM et al.</w:t>
      </w:r>
      <w:r>
        <w:t xml:space="preserve"> </w:t>
      </w:r>
      <w:hyperlink r:id="rId61">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2"/>
    <w:bookmarkStart w:id="64" w:name="ref-kottmann2015"/>
    <w:p>
      <w:pPr>
        <w:pStyle w:val="Bibliography"/>
      </w:pPr>
      <w:r>
        <w:t xml:space="preserve">14. Kottmann RM et al.</w:t>
      </w:r>
      <w:r>
        <w:t xml:space="preserve"> </w:t>
      </w:r>
      <w:hyperlink r:id="rId63">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4"/>
    <w:bookmarkStart w:id="66" w:name="ref-judge2018"/>
    <w:p>
      <w:pPr>
        <w:pStyle w:val="Bibliography"/>
      </w:pPr>
      <w:r>
        <w:t xml:space="preserve">15. Judge JL et al.</w:t>
      </w:r>
      <w:r>
        <w:t xml:space="preserve"> </w:t>
      </w:r>
      <w:hyperlink r:id="rId65">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6"/>
    <w:bookmarkStart w:id="68" w:name="ref-cho2017"/>
    <w:p>
      <w:pPr>
        <w:pStyle w:val="Bibliography"/>
      </w:pPr>
      <w:r>
        <w:t xml:space="preserve">16. Cho SJ, Moon J-S, Lee C-M, Choi AMK, Stout-Delgado HW.</w:t>
      </w:r>
      <w:r>
        <w:t xml:space="preserve"> </w:t>
      </w:r>
      <w:hyperlink r:id="rId67">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8"/>
    <w:bookmarkStart w:id="70" w:name="ref-rodriguez-enriquez2009"/>
    <w:p>
      <w:pPr>
        <w:pStyle w:val="Bibliography"/>
      </w:pPr>
      <w:r>
        <w:t xml:space="preserve">17. Rodríguez-Enríquez S, Marín-Hernández A, Gallardo-Pérez JC, Carreño-Fuentes L, Moreno-Sánchez R.</w:t>
      </w:r>
      <w:r>
        <w:t xml:space="preserve"> </w:t>
      </w:r>
      <w:hyperlink r:id="rId69">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70"/>
    <w:bookmarkStart w:id="72" w:name="ref-michelakis2017"/>
    <w:p>
      <w:pPr>
        <w:pStyle w:val="Bibliography"/>
      </w:pPr>
      <w:r>
        <w:t xml:space="preserve">18. Michelakis ED et al.</w:t>
      </w:r>
      <w:r>
        <w:t xml:space="preserve"> </w:t>
      </w:r>
      <w:hyperlink r:id="rId71">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2"/>
    <w:bookmarkStart w:id="74" w:name="ref-pelicano2006"/>
    <w:p>
      <w:pPr>
        <w:pStyle w:val="Bibliography"/>
      </w:pPr>
      <w:r>
        <w:t xml:space="preserve">19. Pelicano H, Martin DS, Xu R-H, Huang P.</w:t>
      </w:r>
      <w:r>
        <w:t xml:space="preserve"> </w:t>
      </w:r>
      <w:hyperlink r:id="rId73">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4"/>
    <w:bookmarkStart w:id="76" w:name="ref-puri2020"/>
    <w:p>
      <w:pPr>
        <w:pStyle w:val="Bibliography"/>
      </w:pPr>
      <w:r>
        <w:t xml:space="preserve">20. Puri S, Juvale K.</w:t>
      </w:r>
      <w:r>
        <w:t xml:space="preserve"> </w:t>
      </w:r>
      <w:hyperlink r:id="rId75">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6"/>
    <w:bookmarkStart w:id="78" w:name="ref-cluntun2021"/>
    <w:p>
      <w:pPr>
        <w:pStyle w:val="Bibliography"/>
      </w:pPr>
      <w:r>
        <w:t xml:space="preserve">21. Cluntun AA et al.</w:t>
      </w:r>
      <w:r>
        <w:t xml:space="preserve"> </w:t>
      </w:r>
      <w:hyperlink r:id="rId77">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8"/>
    <w:bookmarkStart w:id="80" w:name="ref-halford2023"/>
    <w:p>
      <w:pPr>
        <w:pStyle w:val="Bibliography"/>
      </w:pPr>
      <w:r>
        <w:t xml:space="preserve">22. Halford S et al.</w:t>
      </w:r>
      <w:r>
        <w:t xml:space="preserve"> </w:t>
      </w:r>
      <w:hyperlink r:id="rId79">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80"/>
    <w:bookmarkStart w:id="82" w:name="ref-frangogiannis2020"/>
    <w:p>
      <w:pPr>
        <w:pStyle w:val="Bibliography"/>
      </w:pPr>
      <w:r>
        <w:t xml:space="preserve">23. Frangogiannis N.</w:t>
      </w:r>
      <w:r>
        <w:t xml:space="preserve"> </w:t>
      </w:r>
      <w:hyperlink r:id="rId81">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2"/>
    <w:bookmarkStart w:id="84" w:name="ref-tomasek2002"/>
    <w:p>
      <w:pPr>
        <w:pStyle w:val="Bibliography"/>
      </w:pPr>
      <w:r>
        <w:t xml:space="preserve">24. Tomasek JJ, Gabbiani G, Hinz B, Chaponnier C, Brown RA.</w:t>
      </w:r>
      <w:r>
        <w:t xml:space="preserve"> </w:t>
      </w:r>
      <w:hyperlink r:id="rId83">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4"/>
    <w:bookmarkStart w:id="86" w:name="ref-cui2019"/>
    <w:p>
      <w:pPr>
        <w:pStyle w:val="Bibliography"/>
      </w:pPr>
      <w:r>
        <w:t xml:space="preserve">25. Cui H et al.</w:t>
      </w:r>
      <w:r>
        <w:t xml:space="preserve"> </w:t>
      </w:r>
      <w:hyperlink r:id="rId85">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6"/>
    <w:bookmarkStart w:id="88" w:name="ref-rangarajan2018"/>
    <w:p>
      <w:pPr>
        <w:pStyle w:val="Bibliography"/>
      </w:pPr>
      <w:r>
        <w:t xml:space="preserve">26. Rangarajan S et al.</w:t>
      </w:r>
      <w:r>
        <w:t xml:space="preserve"> </w:t>
      </w:r>
      <w:hyperlink r:id="rId87">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8"/>
    <w:bookmarkStart w:id="90" w:name="ref-locy2020"/>
    <w:p>
      <w:pPr>
        <w:pStyle w:val="Bibliography"/>
      </w:pPr>
      <w:r>
        <w:t xml:space="preserve">27. Locy ML et al.</w:t>
      </w:r>
      <w:r>
        <w:t xml:space="preserve"> </w:t>
      </w:r>
      <w:hyperlink r:id="rId89">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90"/>
    <w:bookmarkStart w:id="92" w:name="ref-curtis2017"/>
    <w:p>
      <w:pPr>
        <w:pStyle w:val="Bibliography"/>
      </w:pPr>
      <w:r>
        <w:t xml:space="preserve">28. Curtis NJ et al.</w:t>
      </w:r>
      <w:r>
        <w:t xml:space="preserve"> </w:t>
      </w:r>
      <w:hyperlink r:id="rId91">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2"/>
    <w:bookmarkStart w:id="94" w:name="ref-ovens2010"/>
    <w:p>
      <w:pPr>
        <w:pStyle w:val="Bibliography"/>
      </w:pPr>
      <w:r>
        <w:t xml:space="preserve">29. Ovens MJ, Davies AJ, Wilson MC, Murray CM, Halestrap AP.</w:t>
      </w:r>
      <w:r>
        <w:t xml:space="preserve"> </w:t>
      </w:r>
      <w:hyperlink r:id="rId93">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4"/>
    <w:bookmarkStart w:id="96" w:name="ref-halestrap2013"/>
    <w:p>
      <w:pPr>
        <w:pStyle w:val="Bibliography"/>
      </w:pPr>
      <w:r>
        <w:t xml:space="preserve">30. Halestrap AP.</w:t>
      </w:r>
      <w:r>
        <w:t xml:space="preserve"> </w:t>
      </w:r>
      <w:hyperlink r:id="rId95">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6"/>
    <w:bookmarkStart w:id="98" w:name="ref-brooks2018"/>
    <w:p>
      <w:pPr>
        <w:pStyle w:val="Bibliography"/>
      </w:pPr>
      <w:r>
        <w:t xml:space="preserve">31. Brooks GA.</w:t>
      </w:r>
      <w:r>
        <w:t xml:space="preserve"> </w:t>
      </w:r>
      <w:hyperlink r:id="rId97">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8"/>
    <w:bookmarkStart w:id="100" w:name="ref-ullah2006"/>
    <w:p>
      <w:pPr>
        <w:pStyle w:val="Bibliography"/>
      </w:pPr>
      <w:r>
        <w:t xml:space="preserve">32. Ullah MS, Davies AJ, Halestrap AP.</w:t>
      </w:r>
      <w:r>
        <w:t xml:space="preserve"> </w:t>
      </w:r>
      <w:hyperlink r:id="rId99">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100"/>
    <w:bookmarkStart w:id="102" w:name="ref-contreras-baeza2019"/>
    <w:p>
      <w:pPr>
        <w:pStyle w:val="Bibliography"/>
      </w:pPr>
      <w:r>
        <w:t xml:space="preserve">33. Contreras-Baeza Y et al.</w:t>
      </w:r>
      <w:r>
        <w:t xml:space="preserve"> </w:t>
      </w:r>
      <w:hyperlink r:id="rId101">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2"/>
    <w:bookmarkStart w:id="104" w:name="ref-benjamin2018"/>
    <w:p>
      <w:pPr>
        <w:pStyle w:val="Bibliography"/>
      </w:pPr>
      <w:r>
        <w:t xml:space="preserve">34. Benjamin D et al.</w:t>
      </w:r>
      <w:r>
        <w:t xml:space="preserve"> </w:t>
      </w:r>
      <w:hyperlink r:id="rId103">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4"/>
    <w:bookmarkStart w:id="106" w:name="ref-schruf2019"/>
    <w:p>
      <w:pPr>
        <w:pStyle w:val="Bibliography"/>
      </w:pPr>
      <w:r>
        <w:t xml:space="preserve">35. Schruf E et al.</w:t>
      </w:r>
      <w:r>
        <w:t xml:space="preserve"> </w:t>
      </w:r>
      <w:hyperlink r:id="rId105">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6"/>
    <w:bookmarkStart w:id="108" w:name="ref-hui2017"/>
    <w:p>
      <w:pPr>
        <w:pStyle w:val="Bibliography"/>
      </w:pPr>
      <w:r>
        <w:t xml:space="preserve">36. Hui S et al.</w:t>
      </w:r>
      <w:r>
        <w:t xml:space="preserve"> </w:t>
      </w:r>
      <w:hyperlink r:id="rId107">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8"/>
    <w:bookmarkStart w:id="110" w:name="ref-hui2020"/>
    <w:p>
      <w:pPr>
        <w:pStyle w:val="Bibliography"/>
      </w:pPr>
      <w:r>
        <w:t xml:space="preserve">37. Hui S et al.</w:t>
      </w:r>
      <w:r>
        <w:t xml:space="preserve"> </w:t>
      </w:r>
      <w:hyperlink r:id="rId109">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10"/>
    <w:bookmarkStart w:id="112" w:name="ref-copeland2023"/>
    <w:p>
      <w:pPr>
        <w:pStyle w:val="Bibliography"/>
      </w:pPr>
      <w:r>
        <w:t xml:space="preserve">38. Copeland CA et al.</w:t>
      </w:r>
      <w:r>
        <w:t xml:space="preserve"> </w:t>
      </w:r>
      <w:hyperlink r:id="rId111">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2"/>
    <w:bookmarkStart w:id="114" w:name="ref-kwapiszewska2018"/>
    <w:p>
      <w:pPr>
        <w:pStyle w:val="Bibliography"/>
      </w:pPr>
      <w:r>
        <w:t xml:space="preserve">39. Kwapiszewska G et al.</w:t>
      </w:r>
      <w:r>
        <w:t xml:space="preserve"> </w:t>
      </w:r>
      <w:hyperlink r:id="rId113">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4"/>
    <w:bookmarkStart w:id="116" w:name="ref-williams2020"/>
    <w:p>
      <w:pPr>
        <w:pStyle w:val="Bibliography"/>
      </w:pPr>
      <w:r>
        <w:t xml:space="preserve">40. Williams LM et al.</w:t>
      </w:r>
      <w:r>
        <w:t xml:space="preserve"> </w:t>
      </w:r>
      <w:hyperlink r:id="rId115">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6"/>
    <w:bookmarkStart w:id="118" w:name="ref-baarsma2017"/>
    <w:p>
      <w:pPr>
        <w:pStyle w:val="Bibliography"/>
      </w:pPr>
      <w:r>
        <w:t xml:space="preserve">41. Baarsma HA, Königshoff M.</w:t>
      </w:r>
      <w:r>
        <w:t xml:space="preserve"> </w:t>
      </w:r>
      <w:hyperlink r:id="rId117">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8"/>
    <w:bookmarkStart w:id="120" w:name="ref-todd2020"/>
    <w:p>
      <w:pPr>
        <w:pStyle w:val="Bibliography"/>
      </w:pPr>
      <w:r>
        <w:t xml:space="preserve">42. Todd JL et al.</w:t>
      </w:r>
      <w:r>
        <w:t xml:space="preserve"> </w:t>
      </w:r>
      <w:hyperlink r:id="rId119">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20"/>
    <w:bookmarkStart w:id="122" w:name="ref-bhattacharyya2016"/>
    <w:p>
      <w:pPr>
        <w:pStyle w:val="Bibliography"/>
      </w:pPr>
      <w:r>
        <w:t xml:space="preserve">43. Bhattacharyya S et al.</w:t>
      </w:r>
      <w:r>
        <w:t xml:space="preserve"> </w:t>
      </w:r>
      <w:hyperlink r:id="rId121">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2"/>
    <w:bookmarkStart w:id="124" w:name="ref-zhang2019a"/>
    <w:p>
      <w:pPr>
        <w:pStyle w:val="Bibliography"/>
      </w:pPr>
      <w:r>
        <w:t xml:space="preserve">44. Zhang D et al.</w:t>
      </w:r>
      <w:r>
        <w:t xml:space="preserve"> </w:t>
      </w:r>
      <w:hyperlink r:id="rId123">
        <w:r>
          <w:rPr>
            <w:rStyle w:val="Hyperlink"/>
          </w:rPr>
          <w:t xml:space="preserve">Metabolic regulation of gene expression by histone lactylation</w:t>
        </w:r>
      </w:hyperlink>
      <w:r>
        <w:t xml:space="preserve">.</w:t>
      </w:r>
      <w:r>
        <w:t xml:space="preserve"> </w:t>
      </w:r>
      <w:r>
        <w:rPr>
          <w:iCs/>
          <w:i/>
        </w:rPr>
        <w:t xml:space="preserve">Nature</w:t>
      </w:r>
      <w:r>
        <w:t xml:space="preserve"> </w:t>
      </w:r>
      <w:r>
        <w:t xml:space="preserve">2019;574(7779):575–580.</w:t>
      </w:r>
    </w:p>
    <w:bookmarkEnd w:id="124"/>
    <w:bookmarkStart w:id="126" w:name="ref-jain2013"/>
    <w:p>
      <w:pPr>
        <w:pStyle w:val="Bibliography"/>
      </w:pPr>
      <w:r>
        <w:t xml:space="preserve">45. Jain M et al.</w:t>
      </w:r>
      <w:r>
        <w:t xml:space="preserve"> </w:t>
      </w:r>
      <w:hyperlink r:id="rId125">
        <w:r>
          <w:rPr>
            <w:rStyle w:val="Hyperlink"/>
          </w:rPr>
          <w:t xml:space="preserve">Mitochondrial reactive oxygen species regulate transforming growth factor-β signaling</w:t>
        </w:r>
      </w:hyperlink>
      <w:r>
        <w:t xml:space="preserve">.</w:t>
      </w:r>
      <w:r>
        <w:t xml:space="preserve"> </w:t>
      </w:r>
      <w:r>
        <w:rPr>
          <w:iCs/>
          <w:i/>
        </w:rPr>
        <w:t xml:space="preserve">J Biol Chem</w:t>
      </w:r>
      <w:r>
        <w:t xml:space="preserve"> </w:t>
      </w:r>
      <w:r>
        <w:t xml:space="preserve">2013;288(2):770–777.</w:t>
      </w:r>
    </w:p>
    <w:bookmarkEnd w:id="126"/>
    <w:bookmarkStart w:id="128" w:name="ref-schworer2020"/>
    <w:p>
      <w:pPr>
        <w:pStyle w:val="Bibliography"/>
      </w:pPr>
      <w:r>
        <w:t xml:space="preserve">46. Schwörer S et al.</w:t>
      </w:r>
      <w:r>
        <w:t xml:space="preserve"> </w:t>
      </w:r>
      <w:hyperlink r:id="rId127">
        <w:r>
          <w:rPr>
            <w:rStyle w:val="Hyperlink"/>
          </w:rPr>
          <w:t xml:space="preserve">Proline biosynthesis is a vent for</w:t>
        </w:r>
        <w:r>
          <w:rPr>
            <w:rStyle w:val="Hyperlink"/>
          </w:rPr>
          <w:t xml:space="preserve"> </w:t>
        </w:r>
        <w:r>
          <w:rPr>
            <w:rStyle w:val="Hyperlink"/>
          </w:rPr>
          <w:t xml:space="preserve">TGFβ-induced</w:t>
        </w:r>
        <w:r>
          <w:rPr>
            <w:rStyle w:val="Hyperlink"/>
          </w:rPr>
          <w:t xml:space="preserve"> </w:t>
        </w:r>
        <w:r>
          <w:rPr>
            <w:rStyle w:val="Hyperlink"/>
          </w:rPr>
          <w:t xml:space="preserve">mitochondrial redox stress</w:t>
        </w:r>
      </w:hyperlink>
      <w:r>
        <w:t xml:space="preserve">.</w:t>
      </w:r>
      <w:r>
        <w:t xml:space="preserve"> </w:t>
      </w:r>
      <w:r>
        <w:rPr>
          <w:iCs/>
          <w:i/>
        </w:rPr>
        <w:t xml:space="preserve">EMBO J</w:t>
      </w:r>
      <w:r>
        <w:t xml:space="preserve"> </w:t>
      </w:r>
      <w:r>
        <w:t xml:space="preserve">2020;39(8):e103334.</w:t>
      </w:r>
    </w:p>
    <w:bookmarkEnd w:id="128"/>
    <w:bookmarkStart w:id="130" w:name="ref-ashcroft1988"/>
    <w:p>
      <w:pPr>
        <w:pStyle w:val="Bibliography"/>
      </w:pPr>
      <w:r>
        <w:t xml:space="preserve">47. Ashcroft T, Simpson JM, Timbrell V.</w:t>
      </w:r>
      <w:r>
        <w:t xml:space="preserve"> </w:t>
      </w:r>
      <w:hyperlink r:id="rId129">
        <w:r>
          <w:rPr>
            <w:rStyle w:val="Hyperlink"/>
          </w:rPr>
          <w:t xml:space="preserve">Simple method of estimating severity of pulmonary fibrosis on a numerical scale</w:t>
        </w:r>
      </w:hyperlink>
      <w:r>
        <w:t xml:space="preserve">.</w:t>
      </w:r>
      <w:r>
        <w:t xml:space="preserve"> </w:t>
      </w:r>
      <w:r>
        <w:rPr>
          <w:iCs/>
          <w:i/>
        </w:rPr>
        <w:t xml:space="preserve">J Clin Pathol</w:t>
      </w:r>
      <w:r>
        <w:t xml:space="preserve"> </w:t>
      </w:r>
      <w:r>
        <w:t xml:space="preserve">1988;41(4):467–470.</w:t>
      </w:r>
    </w:p>
    <w:bookmarkEnd w:id="130"/>
    <w:bookmarkStart w:id="132" w:name="ref-steinhauser2012"/>
    <w:p>
      <w:pPr>
        <w:pStyle w:val="Bibliography"/>
      </w:pPr>
      <w:r>
        <w:t xml:space="preserve">48. Steinhauser ML et al.</w:t>
      </w:r>
      <w:r>
        <w:t xml:space="preserve"> </w:t>
      </w:r>
      <w:hyperlink r:id="rId131">
        <w:r>
          <w:rPr>
            <w:rStyle w:val="Hyperlink"/>
          </w:rPr>
          <w:t xml:space="preserve">Multi-isotope imaging mass spectrometry quantifies stem cell division and metabolism</w:t>
        </w:r>
      </w:hyperlink>
      <w:r>
        <w:t xml:space="preserve">.</w:t>
      </w:r>
      <w:r>
        <w:t xml:space="preserve"> </w:t>
      </w:r>
      <w:r>
        <w:rPr>
          <w:iCs/>
          <w:i/>
        </w:rPr>
        <w:t xml:space="preserve">Nature</w:t>
      </w:r>
      <w:r>
        <w:t xml:space="preserve"> </w:t>
      </w:r>
      <w:r>
        <w:t xml:space="preserve">2012;481(7382):516–519.</w:t>
      </w:r>
    </w:p>
    <w:bookmarkEnd w:id="132"/>
    <w:bookmarkStart w:id="134" w:name="ref-gyngard2019"/>
    <w:p>
      <w:pPr>
        <w:pStyle w:val="Bibliography"/>
      </w:pPr>
      <w:r>
        <w:t xml:space="preserve">49. Gyngard F, Steinhauser ML.</w:t>
      </w:r>
      <w:r>
        <w:t xml:space="preserve"> </w:t>
      </w:r>
      <w:hyperlink r:id="rId133">
        <w:r>
          <w:rPr>
            <w:rStyle w:val="Hyperlink"/>
          </w:rPr>
          <w:t xml:space="preserve">Biological explorations with nanoscale secondary ion mass spectrometry</w:t>
        </w:r>
      </w:hyperlink>
      <w:r>
        <w:t xml:space="preserve">.</w:t>
      </w:r>
      <w:r>
        <w:t xml:space="preserve"> </w:t>
      </w:r>
      <w:r>
        <w:rPr>
          <w:iCs/>
          <w:i/>
        </w:rPr>
        <w:t xml:space="preserve">J Anal At Spectrom</w:t>
      </w:r>
      <w:r>
        <w:t xml:space="preserve"> </w:t>
      </w:r>
      <w:r>
        <w:t xml:space="preserve">2019;34(8):1534–1545.</w:t>
      </w:r>
    </w:p>
    <w:bookmarkEnd w:id="134"/>
    <w:bookmarkEnd w:id="135"/>
    <w:p>
      <w:r>
        <w:br w:type="page"/>
      </w:r>
    </w:p>
    <w:bookmarkEnd w:id="136"/>
    <w:bookmarkStart w:id="143"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38" name="Picture"/>
            <a:graphic>
              <a:graphicData uri="http://schemas.openxmlformats.org/drawingml/2006/picture">
                <pic:pic>
                  <pic:nvPicPr>
                    <pic:cNvPr descr="figs/Figure%2001.png" id="139" name="Picture"/>
                    <pic:cNvPicPr>
                      <a:picLocks noChangeArrowheads="1" noChangeAspect="1"/>
                    </pic:cNvPicPr>
                  </pic:nvPicPr>
                  <pic:blipFill>
                    <a:blip r:embed="rId137"/>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41" name="Picture"/>
            <a:graphic>
              <a:graphicData uri="http://schemas.openxmlformats.org/drawingml/2006/picture">
                <pic:pic>
                  <pic:nvPicPr>
                    <pic:cNvPr descr="figs/Figure%2002.png" id="142" name="Picture"/>
                    <pic:cNvPicPr>
                      <a:picLocks noChangeArrowheads="1" noChangeAspect="1"/>
                    </pic:cNvPicPr>
                  </pic:nvPicPr>
                  <pic:blipFill>
                    <a:blip r:embed="rId140"/>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43"/>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hyperlink" Id="rId69" Target="https://doi.org/10.1002/mnfr.200700470" TargetMode="External" /><Relationship Type="http://schemas.openxmlformats.org/officeDocument/2006/relationships/hyperlink" Id="rId103" Target="https://doi.org/10.1016/j.celrep.2018.11.043" TargetMode="External" /><Relationship Type="http://schemas.openxmlformats.org/officeDocument/2006/relationships/hyperlink" Id="rId97" Target="https://doi.org/10.1016/j.cmet.2018.03.008" TargetMode="External" /><Relationship Type="http://schemas.openxmlformats.org/officeDocument/2006/relationships/hyperlink" Id="rId109" Target="https://doi.org/10.1016/j.cmet.2020.07.013" TargetMode="External" /><Relationship Type="http://schemas.openxmlformats.org/officeDocument/2006/relationships/hyperlink" Id="rId77" Target="https://doi.org/10.1016/j.cmet.2020.12.003" TargetMode="External" /><Relationship Type="http://schemas.openxmlformats.org/officeDocument/2006/relationships/hyperlink" Id="rId75" Target="https://doi.org/10.1016/j.ejmech.2020.112393" TargetMode="External" /><Relationship Type="http://schemas.openxmlformats.org/officeDocument/2006/relationships/hyperlink" Id="rId95" Target="https://doi.org/10.1016/j.mam.2012.05.003" TargetMode="External" /><Relationship Type="http://schemas.openxmlformats.org/officeDocument/2006/relationships/hyperlink" Id="rId47" Target="https://doi.org/10.1016/j.redox.2020.101509" TargetMode="External" /><Relationship Type="http://schemas.openxmlformats.org/officeDocument/2006/relationships/hyperlink" Id="rId131" Target="https://doi.org/10.1038/nature10734" TargetMode="External" /><Relationship Type="http://schemas.openxmlformats.org/officeDocument/2006/relationships/hyperlink" Id="rId107" Target="https://doi.org/10.1038/nature24057" TargetMode="External" /><Relationship Type="http://schemas.openxmlformats.org/officeDocument/2006/relationships/hyperlink" Id="rId121" Target="https://doi.org/10.1038/ncomms11703" TargetMode="External" /><Relationship Type="http://schemas.openxmlformats.org/officeDocument/2006/relationships/hyperlink" Id="rId41" Target="https://doi.org/10.1038/nrdp.2017.74" TargetMode="External" /><Relationship Type="http://schemas.openxmlformats.org/officeDocument/2006/relationships/hyperlink" Id="rId83" Target="https://doi.org/10.1038/nrm809" TargetMode="External" /><Relationship Type="http://schemas.openxmlformats.org/officeDocument/2006/relationships/hyperlink" Id="rId123" Target="https://doi.org/10.1038/s41586-019-1678-1" TargetMode="External" /><Relationship Type="http://schemas.openxmlformats.org/officeDocument/2006/relationships/hyperlink" Id="rId87" Target="https://doi.org/10.1038/s41591-018-0087-6" TargetMode="External" /><Relationship Type="http://schemas.openxmlformats.org/officeDocument/2006/relationships/hyperlink" Id="rId73" Target="https://doi.org/10.1038/sj.onc.1209597" TargetMode="External" /><Relationship Type="http://schemas.openxmlformats.org/officeDocument/2006/relationships/hyperlink" Id="rId133" Target="https://doi.org/10.1039/c9ja00171a" TargetMode="External" /><Relationship Type="http://schemas.openxmlformats.org/officeDocument/2006/relationships/hyperlink" Id="rId93" Target="https://doi.org/10.1042/BJ20091515" TargetMode="External" /><Relationship Type="http://schemas.openxmlformats.org/officeDocument/2006/relationships/hyperlink" Id="rId43" Target="https://doi.org/10.1056/NEJMoa1402582" TargetMode="External" /><Relationship Type="http://schemas.openxmlformats.org/officeDocument/2006/relationships/hyperlink" Id="rId45" Target="https://doi.org/10.1056/NEJMoa1402584" TargetMode="External" /><Relationship Type="http://schemas.openxmlformats.org/officeDocument/2006/relationships/hyperlink" Id="rId115" Target="https://doi.org/10.1073/pnas.2004281117" TargetMode="External" /><Relationship Type="http://schemas.openxmlformats.org/officeDocument/2006/relationships/hyperlink" Id="rId125" Target="https://doi.org/10.1074/jbc.M112.431973" TargetMode="External" /><Relationship Type="http://schemas.openxmlformats.org/officeDocument/2006/relationships/hyperlink" Id="rId51" Target="https://doi.org/10.1074/jbc.M115.646984" TargetMode="External" /><Relationship Type="http://schemas.openxmlformats.org/officeDocument/2006/relationships/hyperlink" Id="rId99" Target="https://doi.org/10.1074/jbc.M511397200" TargetMode="External" /><Relationship Type="http://schemas.openxmlformats.org/officeDocument/2006/relationships/hyperlink" Id="rId101" Target="https://doi.org/10.1074/jbc.RA119.009093" TargetMode="External" /><Relationship Type="http://schemas.openxmlformats.org/officeDocument/2006/relationships/hyperlink" Id="rId81" Target="https://doi.org/10.1084/jem.20190103" TargetMode="External" /><Relationship Type="http://schemas.openxmlformats.org/officeDocument/2006/relationships/hyperlink" Id="rId89" Target="https://doi.org/10.1126/scisignal.aau2803" TargetMode="External" /><Relationship Type="http://schemas.openxmlformats.org/officeDocument/2006/relationships/hyperlink" Id="rId59" Target="https://doi.org/10.1126/scisignal.aav3048" TargetMode="External" /><Relationship Type="http://schemas.openxmlformats.org/officeDocument/2006/relationships/hyperlink" Id="rId49" Target="https://doi.org/10.1126/scisignal.aay1027" TargetMode="External" /><Relationship Type="http://schemas.openxmlformats.org/officeDocument/2006/relationships/hyperlink" Id="rId71" Target="https://doi.org/10.1126/scitranslmed.aao4583" TargetMode="External" /><Relationship Type="http://schemas.openxmlformats.org/officeDocument/2006/relationships/hyperlink" Id="rId129" Target="https://doi.org/10.1136/jcp.41.4.467" TargetMode="External" /><Relationship Type="http://schemas.openxmlformats.org/officeDocument/2006/relationships/hyperlink" Id="rId117" Target="https://doi.org/10.1136/thoraxjnl-2016-209753" TargetMode="External" /><Relationship Type="http://schemas.openxmlformats.org/officeDocument/2006/relationships/hyperlink" Id="rId63" Target="https://doi.org/10.1152/ajplung.00058.2015" TargetMode="External" /><Relationship Type="http://schemas.openxmlformats.org/officeDocument/2006/relationships/hyperlink" Id="rId79" Target="https://doi.org/10.1158/1078-0432.CCR-22-2263" TargetMode="External" /><Relationship Type="http://schemas.openxmlformats.org/officeDocument/2006/relationships/hyperlink" Id="rId61" Target="https://doi.org/10.1164/rccm.201201-0084OC" TargetMode="External" /><Relationship Type="http://schemas.openxmlformats.org/officeDocument/2006/relationships/hyperlink" Id="rId53" Target="https://doi.org/10.1164/rccm.201504-0780OC" TargetMode="External" /><Relationship Type="http://schemas.openxmlformats.org/officeDocument/2006/relationships/hyperlink" Id="rId37" Target="https://doi.org/10.1164/rccm.201504-0818OC" TargetMode="External" /><Relationship Type="http://schemas.openxmlformats.org/officeDocument/2006/relationships/hyperlink" Id="rId55" Target="https://doi.org/10.1165/rcmb.2016-0186OC" TargetMode="External" /><Relationship Type="http://schemas.openxmlformats.org/officeDocument/2006/relationships/hyperlink" Id="rId67" Target="https://doi.org/10.1165/rcmb.2016-0225OC" TargetMode="External" /><Relationship Type="http://schemas.openxmlformats.org/officeDocument/2006/relationships/hyperlink" Id="rId57" Target="https://doi.org/10.1165/rcmb.2019-0008OC" TargetMode="External" /><Relationship Type="http://schemas.openxmlformats.org/officeDocument/2006/relationships/hyperlink" Id="rId85" Target="https://doi.org/10.1165/rcmb.2019-0051OC" TargetMode="External" /><Relationship Type="http://schemas.openxmlformats.org/officeDocument/2006/relationships/hyperlink" Id="rId113" Target="https://doi.org/10.1183/13993003.00564-2018" TargetMode="External" /><Relationship Type="http://schemas.openxmlformats.org/officeDocument/2006/relationships/hyperlink" Id="rId39" Target="https://doi.org/10.1183/13993003.01653-2015" TargetMode="External" /><Relationship Type="http://schemas.openxmlformats.org/officeDocument/2006/relationships/hyperlink" Id="rId119" Target="https://doi.org/10.1186/s12890-020-1103-4" TargetMode="External" /><Relationship Type="http://schemas.openxmlformats.org/officeDocument/2006/relationships/hyperlink" Id="rId105" Target="https://doi.org/10.1186/s12931-019-1058-2" TargetMode="External" /><Relationship Type="http://schemas.openxmlformats.org/officeDocument/2006/relationships/hyperlink" Id="rId65" Target="https://doi.org/10.1371/journal.pone.0197936" TargetMode="External" /><Relationship Type="http://schemas.openxmlformats.org/officeDocument/2006/relationships/hyperlink" Id="rId127" Target="https://doi.org/10.15252/embj.2019103334" TargetMode="External" /><Relationship Type="http://schemas.openxmlformats.org/officeDocument/2006/relationships/hyperlink" Id="rId91" Target="https://doi.org/10.18632/oncotarget.18215" TargetMode="External" /><Relationship Type="http://schemas.openxmlformats.org/officeDocument/2006/relationships/hyperlink" Id="rId111"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2/mnfr.200700470" TargetMode="External" /><Relationship Type="http://schemas.openxmlformats.org/officeDocument/2006/relationships/hyperlink" Id="rId103" Target="https://doi.org/10.1016/j.celrep.2018.11.043" TargetMode="External" /><Relationship Type="http://schemas.openxmlformats.org/officeDocument/2006/relationships/hyperlink" Id="rId97" Target="https://doi.org/10.1016/j.cmet.2018.03.008" TargetMode="External" /><Relationship Type="http://schemas.openxmlformats.org/officeDocument/2006/relationships/hyperlink" Id="rId109" Target="https://doi.org/10.1016/j.cmet.2020.07.013" TargetMode="External" /><Relationship Type="http://schemas.openxmlformats.org/officeDocument/2006/relationships/hyperlink" Id="rId77" Target="https://doi.org/10.1016/j.cmet.2020.12.003" TargetMode="External" /><Relationship Type="http://schemas.openxmlformats.org/officeDocument/2006/relationships/hyperlink" Id="rId75" Target="https://doi.org/10.1016/j.ejmech.2020.112393" TargetMode="External" /><Relationship Type="http://schemas.openxmlformats.org/officeDocument/2006/relationships/hyperlink" Id="rId95" Target="https://doi.org/10.1016/j.mam.2012.05.003" TargetMode="External" /><Relationship Type="http://schemas.openxmlformats.org/officeDocument/2006/relationships/hyperlink" Id="rId47" Target="https://doi.org/10.1016/j.redox.2020.101509" TargetMode="External" /><Relationship Type="http://schemas.openxmlformats.org/officeDocument/2006/relationships/hyperlink" Id="rId131" Target="https://doi.org/10.1038/nature10734" TargetMode="External" /><Relationship Type="http://schemas.openxmlformats.org/officeDocument/2006/relationships/hyperlink" Id="rId107" Target="https://doi.org/10.1038/nature24057" TargetMode="External" /><Relationship Type="http://schemas.openxmlformats.org/officeDocument/2006/relationships/hyperlink" Id="rId121" Target="https://doi.org/10.1038/ncomms11703" TargetMode="External" /><Relationship Type="http://schemas.openxmlformats.org/officeDocument/2006/relationships/hyperlink" Id="rId41" Target="https://doi.org/10.1038/nrdp.2017.74" TargetMode="External" /><Relationship Type="http://schemas.openxmlformats.org/officeDocument/2006/relationships/hyperlink" Id="rId83" Target="https://doi.org/10.1038/nrm809" TargetMode="External" /><Relationship Type="http://schemas.openxmlformats.org/officeDocument/2006/relationships/hyperlink" Id="rId123" Target="https://doi.org/10.1038/s41586-019-1678-1" TargetMode="External" /><Relationship Type="http://schemas.openxmlformats.org/officeDocument/2006/relationships/hyperlink" Id="rId87" Target="https://doi.org/10.1038/s41591-018-0087-6" TargetMode="External" /><Relationship Type="http://schemas.openxmlformats.org/officeDocument/2006/relationships/hyperlink" Id="rId73" Target="https://doi.org/10.1038/sj.onc.1209597" TargetMode="External" /><Relationship Type="http://schemas.openxmlformats.org/officeDocument/2006/relationships/hyperlink" Id="rId133" Target="https://doi.org/10.1039/c9ja00171a" TargetMode="External" /><Relationship Type="http://schemas.openxmlformats.org/officeDocument/2006/relationships/hyperlink" Id="rId93" Target="https://doi.org/10.1042/BJ20091515" TargetMode="External" /><Relationship Type="http://schemas.openxmlformats.org/officeDocument/2006/relationships/hyperlink" Id="rId43" Target="https://doi.org/10.1056/NEJMoa1402582" TargetMode="External" /><Relationship Type="http://schemas.openxmlformats.org/officeDocument/2006/relationships/hyperlink" Id="rId45" Target="https://doi.org/10.1056/NEJMoa1402584" TargetMode="External" /><Relationship Type="http://schemas.openxmlformats.org/officeDocument/2006/relationships/hyperlink" Id="rId115" Target="https://doi.org/10.1073/pnas.2004281117" TargetMode="External" /><Relationship Type="http://schemas.openxmlformats.org/officeDocument/2006/relationships/hyperlink" Id="rId125" Target="https://doi.org/10.1074/jbc.M112.431973" TargetMode="External" /><Relationship Type="http://schemas.openxmlformats.org/officeDocument/2006/relationships/hyperlink" Id="rId51" Target="https://doi.org/10.1074/jbc.M115.646984" TargetMode="External" /><Relationship Type="http://schemas.openxmlformats.org/officeDocument/2006/relationships/hyperlink" Id="rId99" Target="https://doi.org/10.1074/jbc.M511397200" TargetMode="External" /><Relationship Type="http://schemas.openxmlformats.org/officeDocument/2006/relationships/hyperlink" Id="rId101" Target="https://doi.org/10.1074/jbc.RA119.009093" TargetMode="External" /><Relationship Type="http://schemas.openxmlformats.org/officeDocument/2006/relationships/hyperlink" Id="rId81" Target="https://doi.org/10.1084/jem.20190103" TargetMode="External" /><Relationship Type="http://schemas.openxmlformats.org/officeDocument/2006/relationships/hyperlink" Id="rId89" Target="https://doi.org/10.1126/scisignal.aau2803" TargetMode="External" /><Relationship Type="http://schemas.openxmlformats.org/officeDocument/2006/relationships/hyperlink" Id="rId59" Target="https://doi.org/10.1126/scisignal.aav3048" TargetMode="External" /><Relationship Type="http://schemas.openxmlformats.org/officeDocument/2006/relationships/hyperlink" Id="rId49" Target="https://doi.org/10.1126/scisignal.aay1027" TargetMode="External" /><Relationship Type="http://schemas.openxmlformats.org/officeDocument/2006/relationships/hyperlink" Id="rId71" Target="https://doi.org/10.1126/scitranslmed.aao4583" TargetMode="External" /><Relationship Type="http://schemas.openxmlformats.org/officeDocument/2006/relationships/hyperlink" Id="rId129" Target="https://doi.org/10.1136/jcp.41.4.467" TargetMode="External" /><Relationship Type="http://schemas.openxmlformats.org/officeDocument/2006/relationships/hyperlink" Id="rId117" Target="https://doi.org/10.1136/thoraxjnl-2016-209753" TargetMode="External" /><Relationship Type="http://schemas.openxmlformats.org/officeDocument/2006/relationships/hyperlink" Id="rId63" Target="https://doi.org/10.1152/ajplung.00058.2015" TargetMode="External" /><Relationship Type="http://schemas.openxmlformats.org/officeDocument/2006/relationships/hyperlink" Id="rId79" Target="https://doi.org/10.1158/1078-0432.CCR-22-2263" TargetMode="External" /><Relationship Type="http://schemas.openxmlformats.org/officeDocument/2006/relationships/hyperlink" Id="rId61" Target="https://doi.org/10.1164/rccm.201201-0084OC" TargetMode="External" /><Relationship Type="http://schemas.openxmlformats.org/officeDocument/2006/relationships/hyperlink" Id="rId53" Target="https://doi.org/10.1164/rccm.201504-0780OC" TargetMode="External" /><Relationship Type="http://schemas.openxmlformats.org/officeDocument/2006/relationships/hyperlink" Id="rId37" Target="https://doi.org/10.1164/rccm.201504-0818OC" TargetMode="External" /><Relationship Type="http://schemas.openxmlformats.org/officeDocument/2006/relationships/hyperlink" Id="rId55" Target="https://doi.org/10.1165/rcmb.2016-0186OC" TargetMode="External" /><Relationship Type="http://schemas.openxmlformats.org/officeDocument/2006/relationships/hyperlink" Id="rId67" Target="https://doi.org/10.1165/rcmb.2016-0225OC" TargetMode="External" /><Relationship Type="http://schemas.openxmlformats.org/officeDocument/2006/relationships/hyperlink" Id="rId57" Target="https://doi.org/10.1165/rcmb.2019-0008OC" TargetMode="External" /><Relationship Type="http://schemas.openxmlformats.org/officeDocument/2006/relationships/hyperlink" Id="rId85" Target="https://doi.org/10.1165/rcmb.2019-0051OC" TargetMode="External" /><Relationship Type="http://schemas.openxmlformats.org/officeDocument/2006/relationships/hyperlink" Id="rId113" Target="https://doi.org/10.1183/13993003.00564-2018" TargetMode="External" /><Relationship Type="http://schemas.openxmlformats.org/officeDocument/2006/relationships/hyperlink" Id="rId39" Target="https://doi.org/10.1183/13993003.01653-2015" TargetMode="External" /><Relationship Type="http://schemas.openxmlformats.org/officeDocument/2006/relationships/hyperlink" Id="rId119" Target="https://doi.org/10.1186/s12890-020-1103-4" TargetMode="External" /><Relationship Type="http://schemas.openxmlformats.org/officeDocument/2006/relationships/hyperlink" Id="rId105" Target="https://doi.org/10.1186/s12931-019-1058-2" TargetMode="External" /><Relationship Type="http://schemas.openxmlformats.org/officeDocument/2006/relationships/hyperlink" Id="rId65" Target="https://doi.org/10.1371/journal.pone.0197936" TargetMode="External" /><Relationship Type="http://schemas.openxmlformats.org/officeDocument/2006/relationships/hyperlink" Id="rId127" Target="https://doi.org/10.15252/embj.2019103334" TargetMode="External" /><Relationship Type="http://schemas.openxmlformats.org/officeDocument/2006/relationships/hyperlink" Id="rId91" Target="https://doi.org/10.18632/oncotarget.18215" TargetMode="External" /><Relationship Type="http://schemas.openxmlformats.org/officeDocument/2006/relationships/hyperlink" Id="rId111"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2024-02-23T14:06:39Z</dcterms:created>
  <dcterms:modified xsi:type="dcterms:W3CDTF">2024-02-23T14:06:39Z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