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27.png" ContentType="image/png"/>
  <Override PartName="/word/media/rId1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30"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966a5efa98d7a80f5f1c5134240c9f817685bc7"/>
    <w:p>
      <w:pPr>
        <w:pStyle w:val="Heading2"/>
      </w:pPr>
      <w:r>
        <w:t xml:space="preserve">Myofibroblast differentiation</w:t>
      </w:r>
      <w:r>
        <w:t xml:space="preserve"> </w:t>
      </w:r>
      <w:r>
        <w:rPr>
          <w:iCs/>
          <w:i/>
        </w:rPr>
        <w:t xml:space="preserve">in vitro</w:t>
      </w:r>
      <w:r>
        <w:t xml:space="preserve"> </w:t>
      </w:r>
      <w:r>
        <w:t xml:space="preserve">requires lactate transport</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6" w:name="X224293710143a73b8f248c2d312f30aee18740a"/>
    <w:p>
      <w:pPr>
        <w:pStyle w:val="Heading2"/>
      </w:pPr>
      <w:r>
        <w:t xml:space="preserve">MCT inhibition reprograms myofibroblast metabolism</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Silencing MCT1 and MCT4, separately or together, decreased TGFβ-stimulated lactate efflux in lung fibroblasts (</w:t>
      </w:r>
      <w:r>
        <w:rPr>
          <w:bCs/>
          <w:b/>
        </w:rPr>
        <w:t xml:space="preserve">Figure 3A</w:t>
      </w:r>
      <w:r>
        <w:t xml:space="preserve">). Silencing both transporters was required to block TGFβ-stimulated lactate efflux completely. By contrast, pharmacologic inhibition of either MCT1 or MCT4 did not decrease TGFβ-stimulated lactate efflux (</w:t>
      </w:r>
      <w:r>
        <w:rPr>
          <w:bCs/>
          <w:b/>
        </w:rPr>
        <w:t xml:space="preserve">Figure 3B</w:t>
      </w:r>
      <w:r>
        <w:t xml:space="preserve">), and inhibition of both transporters was required to decrease extracellular lactate. Similarly, inhibition of MCT1, MCT2, and MCT4 with the combination of AR-C155858 and VB124 was required to prevent increases in lactate efflux (</w:t>
      </w:r>
      <w:r>
        <w:rPr>
          <w:bCs/>
          <w:b/>
        </w:rPr>
        <w:t xml:space="preserve">Supplemental Figure 3A</w:t>
      </w:r>
      <w:r>
        <w:t xml:space="preserve">). Compared to lactate production, the effect of MCT inhibitors on extracellular glucose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CR following TGFβ stimulation for 48 h, indicating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MCT inhibition decreased spare respiratory capacity, indicating that the basal respiratory rate of treated cells was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p>
      <w:pPr>
        <w:pStyle w:val="BodyText"/>
      </w:pPr>
      <w:r>
        <w:t xml:space="preserve">To develop additional support for this hypothesis, we performed liquid chromatography-mass spectrometry-based profiling of extracellular and intracellular metabolites from cells treated with AZD3965 and VB124. As suggested by the Seahorse analysis, inhibiting a single lactate transporter had modest effects on extracellular metabolite levels (</w:t>
      </w:r>
      <w:r>
        <w:rPr>
          <w:bCs/>
          <w:b/>
        </w:rPr>
        <w:t xml:space="preserve">Figure 4A-D, Supplemental Figure 4</w:t>
      </w:r>
      <w:r>
        <w:t xml:space="preserve">). This analysis confirmed the results of extracellular lactate measurements by enzyme assay, which showed dual inhibition was required to decrease lactate efflux (</w:t>
      </w:r>
      <w:r>
        <w:rPr>
          <w:bCs/>
          <w:b/>
        </w:rPr>
        <w:t xml:space="preserve">Figure 4B</w:t>
      </w:r>
      <w:r>
        <w:t xml:space="preserve">). In addition to lactate, dual lactate transporter inhibition also had broader impacts on amino acid fluxes (</w:t>
      </w:r>
      <w:r>
        <w:rPr>
          <w:bCs/>
          <w:b/>
        </w:rPr>
        <w:t xml:space="preserve">Figure 4C-D</w:t>
      </w:r>
      <w:r>
        <w:t xml:space="preserve">). Several metabolites were differentially regulated by TGFβ treatment (</w:t>
      </w:r>
      <w:r>
        <w:rPr>
          <w:bCs/>
          <w:b/>
        </w:rPr>
        <w:t xml:space="preserve">Supplemental Figure 4A</w:t>
      </w:r>
      <w:r>
        <w:t xml:space="preserve">) and dual lactate transport inhibition, including leucine, alanine, ornithine, and ketoleucine.</w:t>
      </w:r>
    </w:p>
    <w:p>
      <w:pPr>
        <w:pStyle w:val="BodyText"/>
      </w:pPr>
      <w:r>
        <w:t xml:space="preserve">Similar effects on intracellular metabolites were observed. Principal components (PC) analysis demonstrated excellent clustering of treatment groups with the drug effect corresponding to PC1 and the TGFβ treatment effect corresponding to PC2. Similar to the extracellular flux results, the magnitude of drug-induced perturbations were increased from MCT1 to MCT4 to combined inhibition (</w:t>
      </w:r>
      <w:r>
        <w:rPr>
          <w:bCs/>
          <w:b/>
        </w:rPr>
        <w:t xml:space="preserve">Figure 4E</w:t>
      </w:r>
      <w:r>
        <w:t xml:space="preserve">), as demonstrated by intracellular lactate levels (</w:t>
      </w:r>
      <w:r>
        <w:rPr>
          <w:bCs/>
          <w:b/>
        </w:rPr>
        <w:t xml:space="preserve">Figure 4F</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4C-D</w:t>
      </w:r>
      <w:r>
        <w:t xml:space="preserve">). The effect of AZD3965 alone on intracellular metabolite levels was modest (</w:t>
      </w:r>
      <w:r>
        <w:rPr>
          <w:bCs/>
          <w:b/>
        </w:rPr>
        <w:t xml:space="preserve">Supplemental Figure 4G-H</w:t>
      </w:r>
      <w:r>
        <w:t xml:space="preserve">). By contrast, MCT4 inhibition by VB124 alone (</w:t>
      </w:r>
      <w:r>
        <w:rPr>
          <w:bCs/>
          <w:b/>
        </w:rPr>
        <w:t xml:space="preserve">Supplemental Figure 4K-L</w:t>
      </w:r>
      <w:r>
        <w:t xml:space="preserve">) or combined with AZD3965 (</w:t>
      </w:r>
      <w:r>
        <w:rPr>
          <w:bCs/>
          <w:b/>
        </w:rPr>
        <w:t xml:space="preserve">Figure 4G-H</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 in medium containing lactate (2 mM), glutamine (1 mM), and pyruvate (1 mM) during TGFβ stimulation and treatment with MCT inhibitors (</w:t>
      </w:r>
      <w:r>
        <w:rPr>
          <w:bCs/>
          <w:b/>
        </w:rPr>
        <w:t xml:space="preserve">Figure 4I</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the lung</w:t>
      </w:r>
      <w:r>
        <w:t xml:space="preserve"> </w:t>
      </w:r>
      <w:r>
        <w:t xml:space="preserve">(36–38)</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4J</w:t>
      </w:r>
      <w:r>
        <w:t xml:space="preserve">).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4M</w:t>
      </w:r>
      <w:r>
        <w:t xml:space="preserve">). Interestingly, MCT4 inhibition alone or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bookmarkEnd w:id="26"/>
    <w:bookmarkStart w:id="27" w:name="X24271621846b663bd2362e7933fd55761592739"/>
    <w:p>
      <w:pPr>
        <w:pStyle w:val="Heading2"/>
      </w:pPr>
      <w:r>
        <w:t xml:space="preserve">MCT inhibition attenuates pro-fibrotic transcriptional programs</w:t>
      </w:r>
    </w:p>
    <w:p>
      <w:pPr>
        <w:pStyle w:val="FirstParagraph"/>
      </w:pPr>
      <w:r>
        <w:t xml:space="preserve">To identify anti-fibrotic transcriptional programs mediated by MCT inhibition, we performed RNA-seq on lung fibroblasts treated with TGFβ in combination with AZD3965 or VB124 (</w:t>
      </w:r>
      <w:r>
        <w:rPr>
          <w:bCs/>
          <w:b/>
        </w:rPr>
        <w:t xml:space="preserve">Figure 5</w:t>
      </w:r>
      <w:r>
        <w:t xml:space="preserve">). Principal components analysis (PCA) of the transcriptional changes mirrored the metabolomic findings. The first principal component corresponded to TGFβ treatment, accounting for 71% of the overall variance, while MCT4 inhibition, either alone or in combination with MCT1 inhibition aligned with the second principal component (</w:t>
      </w:r>
      <w:r>
        <w:rPr>
          <w:bCs/>
          <w:b/>
        </w:rPr>
        <w:t xml:space="preserve">Figure 5A</w:t>
      </w:r>
      <w:r>
        <w:t xml:space="preserve">). Samples treated with the MCT1 inhibitor AZD3965 were similar to vehicle-treated controls. Differential expression analysis of TGFβ-treated cells identified the expected increased expression of extracellular matrix proteins (</w:t>
      </w:r>
      <w:r>
        <w:rPr>
          <w:bCs/>
          <w:b/>
        </w:rPr>
        <w:t xml:space="preserve">Supplemental Figure 5A</w:t>
      </w:r>
      <w:r>
        <w:t xml:space="preserve">) and enrichment of the epithelial-to-mesenchymal (EMT) gene set, among others (</w:t>
      </w:r>
      <w:r>
        <w:rPr>
          <w:bCs/>
          <w:b/>
        </w:rPr>
        <w:t xml:space="preserve">Figure 5B</w:t>
      </w:r>
      <w:r>
        <w:t xml:space="preserve">). Consistent with the PCA results, only GRIK4 and BRI3 were differentially expressed following AZD3965 (</w:t>
      </w:r>
      <w:r>
        <w:rPr>
          <w:bCs/>
          <w:b/>
        </w:rPr>
        <w:t xml:space="preserve">Supplemental Figure 5B</w:t>
      </w:r>
      <w:r>
        <w:t xml:space="preserve">). By contrast, VB124, alone (</w:t>
      </w:r>
      <w:r>
        <w:rPr>
          <w:bCs/>
          <w:b/>
        </w:rPr>
        <w:t xml:space="preserve">Supplemental Figure 5C</w:t>
      </w:r>
      <w:r>
        <w:t xml:space="preserve">) or in combination with AZD3965 (</w:t>
      </w:r>
      <w:r>
        <w:rPr>
          <w:bCs/>
          <w:b/>
        </w:rPr>
        <w:t xml:space="preserve">Figure 5C</w:t>
      </w:r>
      <w:r>
        <w:t xml:space="preserve">), demonstrated more substantial reprogramming of myofibroblast transcription with 443 of 24,902 genes (2%) differentially expressed at an FDR &lt; 0.05.</w:t>
      </w:r>
    </w:p>
    <w:p>
      <w:pPr>
        <w:pStyle w:val="BodyText"/>
      </w:pPr>
      <w:r>
        <w:t xml:space="preserve">Co-administration of either AZD3965 or VB124 reversed TGFβ-dependent enrichment of the EMT gene set, which is the Hallmark gene set containing genes related to fibrosis (</w:t>
      </w:r>
      <w:r>
        <w:rPr>
          <w:bCs/>
          <w:b/>
        </w:rPr>
        <w:t xml:space="preserve">Figure 5B</w:t>
      </w:r>
      <w:r>
        <w:t xml:space="preserve">). Leading edge analysis of the EMT gene set identified seven genes shared among all three comparisons (</w:t>
      </w:r>
      <w:r>
        <w:rPr>
          <w:iCs/>
          <w:i/>
        </w:rPr>
        <w:t xml:space="preserve">i.e.</w:t>
      </w:r>
      <w:r>
        <w:t xml:space="preserve">, genes increased by TGFβ and decreased by both AZD3965 and VB124) (</w:t>
      </w:r>
      <w:r>
        <w:rPr>
          <w:bCs/>
          <w:b/>
        </w:rPr>
        <w:t xml:space="preserve">Figure 5D</w:t>
      </w:r>
      <w:r>
        <w:t xml:space="preserve">). These genes include: biglycan (BGN), COL6A3, Frizzled 8 (FZD8), matrix Gla protein (MGP), Prostate Transmembrane Protein, Androgen Induced 1 (PMEPA1), TIMP metallopeptidase inhibitor 1 (TIMP1), and tenascin-C (TNC). Many of these genes contribute to the pathobiology of pulmonary fibrosis or serve as biomarkers of disease or treatment response</w:t>
      </w:r>
      <w:r>
        <w:t xml:space="preserve"> </w:t>
      </w:r>
      <w:r>
        <w:t xml:space="preserve">(39–43)</w:t>
      </w:r>
      <w:r>
        <w:t xml:space="preserve">. Together, these data suggest lactate transport inhibitors attenuate the pro-fibrotic transcriptional program in TGFβ-treated LFs.</w:t>
      </w:r>
    </w:p>
    <w:bookmarkEnd w:id="27"/>
    <w:bookmarkStart w:id="28" w:name="Xb9282595b0ac9e967c694ae47e88f9cea98073a"/>
    <w:p>
      <w:pPr>
        <w:pStyle w:val="Heading2"/>
      </w:pPr>
      <w:r>
        <w:t xml:space="preserve">Lactate transport inhibition may signal through histone lactylation</w:t>
      </w:r>
    </w:p>
    <w:p>
      <w:pPr>
        <w:pStyle w:val="FirstParagraph"/>
      </w:pPr>
      <w:r>
        <w:t xml:space="preserve">We next sought to identify the signaling mechanism(s) linking lactate transport inhibition to anti-fibrotic transcriptional programs. Since increasing intracellular lactate was associated with more potent inhibition of α-SMA expression, we first treated cells with TGFβ in combination with extracellular lactate (10 mM). A prior study demonstrated that extracellular lactate modestly increased α-SMA expression in the absence of TGFβ</w:t>
      </w:r>
      <w:r>
        <w:t xml:space="preserve"> </w:t>
      </w:r>
      <w:r>
        <w:t xml:space="preserve">(13)</w:t>
      </w:r>
      <w:r>
        <w:t xml:space="preserve">. We found that extracellular lactate did not impact α-SMA expression in TGFβ-treated LFs (</w:t>
      </w:r>
      <w:r>
        <w:rPr>
          <w:bCs/>
          <w:b/>
        </w:rPr>
        <w:t xml:space="preserve">Figure 6A-B</w:t>
      </w:r>
      <w:r>
        <w:t xml:space="preserve">), suggesting that accumulation of intracellular lactate alone does not mediate the anti-fibrotic effects of MCT inhibition.</w:t>
      </w:r>
    </w:p>
    <w:p>
      <w:pPr>
        <w:pStyle w:val="BodyText"/>
      </w:pPr>
      <w:r>
        <w:t xml:space="preserve">Prior work has also linked inhibition of glycolysis and lactate production to hypoxia-inducible factor 1α activation (HIF-1α), which contributes to myofibroblast differentiation</w:t>
      </w:r>
      <w:r>
        <w:t xml:space="preserve"> </w:t>
      </w:r>
      <w:r>
        <w:t xml:space="preserve">(10, 13)</w:t>
      </w:r>
      <w:r>
        <w:t xml:space="preserve">. We found maximal HIF-1α activation 6 h following TGFβ stimulation. At this time point, HIF-1α protein levels were similar across vehicle-, AZD3965-, and VB124-treated cells (</w:t>
      </w:r>
      <w:r>
        <w:rPr>
          <w:bCs/>
          <w:b/>
        </w:rPr>
        <w:t xml:space="preserve">Figure 6C-D</w:t>
      </w:r>
      <w:r>
        <w:t xml:space="preserve">). In LFs treated with dual inhibitors, HIF-1α protein was increased compared to vehicle, consistent with enrichment of the</w:t>
      </w:r>
      <w:r>
        <w:t xml:space="preserve"> </w:t>
      </w:r>
      <w:r>
        <w:t xml:space="preserve">“</w:t>
      </w:r>
      <w:r>
        <w:t xml:space="preserve">Hypoxia</w:t>
      </w:r>
      <w:r>
        <w:t xml:space="preserve">”</w:t>
      </w:r>
      <w:r>
        <w:t xml:space="preserve"> </w:t>
      </w:r>
      <w:r>
        <w:t xml:space="preserve">gene set in our RNA-seq data (</w:t>
      </w:r>
      <w:r>
        <w:rPr>
          <w:bCs/>
          <w:b/>
        </w:rPr>
        <w:t xml:space="preserve">Figure 5B</w:t>
      </w:r>
      <w:r>
        <w:t xml:space="preserve">). These findings, in light of prior studies, indicate that lactate transport inhibition acts downstream of HIF-1α-dependent transcriptional programs to inhibit myofibroblast differentiation.</w:t>
      </w:r>
    </w:p>
    <w:p>
      <w:pPr>
        <w:pStyle w:val="BodyText"/>
      </w:pPr>
      <w:r>
        <w:t xml:space="preserve">Next, we examined TGFβ-dependent signaling. TGFβ activates both SMAD and non-SMAD signaling pathways through a cascade of protein phosphorylation events. MCT inhibitors did not decrease Smad3 or ERK phosphorylation after 48 h of TGFβ stimulation (</w:t>
      </w:r>
      <w:r>
        <w:rPr>
          <w:bCs/>
          <w:b/>
        </w:rPr>
        <w:t xml:space="preserve">Figure 6E-H</w:t>
      </w:r>
      <w:r>
        <w:t xml:space="preserve">).</w:t>
      </w:r>
    </w:p>
    <w:p>
      <w:pPr>
        <w:pStyle w:val="BodyText"/>
      </w:pPr>
      <w:r>
        <w:t xml:space="preserve">Post-translational protein modification of histone lysine residues by lactylation has been identified as a novel mechanism of metabolic regulation of gene expression</w:t>
      </w:r>
      <w:r>
        <w:t xml:space="preserve"> </w:t>
      </w:r>
      <w:r>
        <w:t xml:space="preserve">(44)</w:t>
      </w:r>
      <w:r>
        <w:t xml:space="preserve">. Given the increase in intracellular lactate following MCT4 inhibition, we measured H3 histone lactylation by immunoblot (</w:t>
      </w:r>
      <w:r>
        <w:rPr>
          <w:bCs/>
          <w:b/>
        </w:rPr>
        <w:t xml:space="preserve">Figure 6I-J</w:t>
      </w:r>
      <w:r>
        <w:t xml:space="preserve">). We found that inhibition of both MCT1 and MCT4 increased histone lactylation and may account for some of the transcriptional changes observed following these treatments.</w:t>
      </w:r>
    </w:p>
    <w:bookmarkEnd w:id="28"/>
    <w:bookmarkStart w:id="29" w:name="X2c3e92f14cb97d66a3cf899ebaa23e373831252"/>
    <w:p>
      <w:pPr>
        <w:pStyle w:val="Heading2"/>
      </w:pPr>
      <w:r>
        <w:t xml:space="preserve">Lactate transport inhibition contributes to antioxidant defense</w:t>
      </w:r>
    </w:p>
    <w:p>
      <w:pPr>
        <w:pStyle w:val="FirstParagraph"/>
      </w:pPr>
      <w:r>
        <w:t xml:space="preserve">Lactate metabolism is closely coupled to cellular redox homeostasis through its metabolism by lactate dehydrogenases, which couple lactate oxidation to NADH production. Since prior studies have suggested that reactive oxygen species (ROS) are important for TGFβ-mediated gene expression, we next examined the impact of lactate transport inhibition on cellular redox homeostasis. Consistent with an increase in intracellular lactate with MCT4 inhibition, we observed a concomitant increase in intracellular NADH/NAD</w:t>
      </w:r>
      <w:r>
        <w:rPr>
          <w:vertAlign w:val="superscript"/>
        </w:rPr>
        <w:t xml:space="preserve">+</w:t>
      </w:r>
      <w:r>
        <w:t xml:space="preserve"> </w:t>
      </w:r>
      <w:r>
        <w:t xml:space="preserve">(</w:t>
      </w:r>
      <w:r>
        <w:rPr>
          <w:bCs/>
          <w:b/>
        </w:rPr>
        <w:t xml:space="preserve">Figure 7A</w:t>
      </w:r>
      <w:r>
        <w:t xml:space="preserve">), while the NADPH/NADP</w:t>
      </w:r>
      <w:r>
        <w:rPr>
          <w:vertAlign w:val="superscript"/>
        </w:rPr>
        <w:t xml:space="preserve">+</w:t>
      </w:r>
      <w:r>
        <w:t xml:space="preserve"> </w:t>
      </w:r>
      <w:r>
        <w:t xml:space="preserve">ratio was unchanged (</w:t>
      </w:r>
      <w:r>
        <w:rPr>
          <w:bCs/>
          <w:b/>
        </w:rPr>
        <w:t xml:space="preserve">Figure 7B</w:t>
      </w:r>
      <w:r>
        <w:t xml:space="preserve">). Treatment-dependent increases in NADH/NAD</w:t>
      </w:r>
      <w:r>
        <w:rPr>
          <w:vertAlign w:val="superscript"/>
        </w:rPr>
        <w:t xml:space="preserve">+</w:t>
      </w:r>
      <w:r>
        <w:t xml:space="preserve"> </w:t>
      </w:r>
      <w:r>
        <w:t xml:space="preserve">corresponded to reductions in total ROS as measured by CellROX (</w:t>
      </w:r>
      <w:r>
        <w:rPr>
          <w:bCs/>
          <w:b/>
        </w:rPr>
        <w:t xml:space="preserve">Figure 7C</w:t>
      </w:r>
      <w:r>
        <w:t xml:space="preserve">). Notably, we did not observe TGFβ-dependent increases in total ROS production nor an impact of TGFβ or inhibitors on mitochondrial superoxide production (</w:t>
      </w:r>
      <w:r>
        <w:rPr>
          <w:bCs/>
          <w:b/>
        </w:rPr>
        <w:t xml:space="preserve">Supplemental Figure 7A</w:t>
      </w:r>
      <w:r>
        <w:t xml:space="preserve">).</w:t>
      </w:r>
    </w:p>
    <w:p>
      <w:pPr>
        <w:pStyle w:val="BodyText"/>
      </w:pPr>
      <w:r>
        <w:t xml:space="preserve">Proline biosynthesis has been previousyl suggested as a mechanism by which NIH-3T3 fibroblasts prevent excessive ROS accumulation following TGFβ stimulation</w:t>
      </w:r>
      <w:r>
        <w:t xml:space="preserve"> </w:t>
      </w:r>
      <w:r>
        <w:t xml:space="preserve">(45)</w:t>
      </w:r>
      <w:r>
        <w:t xml:space="preserve">.</w:t>
      </w:r>
    </w:p>
    <w:p>
      <w:r>
        <w:br w:type="page"/>
      </w:r>
    </w:p>
    <w:bookmarkEnd w:id="29"/>
    <w:bookmarkEnd w:id="30"/>
    <w:bookmarkStart w:id="31" w:name="discussion"/>
    <w:p>
      <w:pPr>
        <w:pStyle w:val="Heading1"/>
      </w:pPr>
      <w:r>
        <w:t xml:space="preserve">Discussion</w:t>
      </w:r>
    </w:p>
    <w:p>
      <w:pPr>
        <w:pStyle w:val="FirstParagraph"/>
      </w:pPr>
      <w:r>
        <w:t xml:space="preserve">Craig Thompson paper: Lactate activates ETC independently of its metabolism</w:t>
      </w:r>
    </w:p>
    <w:p>
      <w:pPr>
        <w:pStyle w:val="BodyText"/>
      </w:pPr>
      <w:r>
        <w:t xml:space="preserve">Craig Thompson paper: Isotope labeling in lung fibroblasts</w:t>
      </w:r>
    </w:p>
    <w:p>
      <w:r>
        <w:br w:type="page"/>
      </w:r>
    </w:p>
    <w:bookmarkEnd w:id="31"/>
    <w:bookmarkStart w:id="32" w:name="methods"/>
    <w:p>
      <w:pPr>
        <w:pStyle w:val="Heading1"/>
      </w:pPr>
      <w:r>
        <w:t xml:space="preserve">Methods</w:t>
      </w:r>
    </w:p>
    <w:p>
      <w:r>
        <w:br w:type="page"/>
      </w:r>
    </w:p>
    <w:bookmarkEnd w:id="32"/>
    <w:bookmarkStart w:id="33" w:name="acknowledgements"/>
    <w:p>
      <w:pPr>
        <w:pStyle w:val="Heading1"/>
      </w:pPr>
      <w:r>
        <w:t xml:space="preserve">Acknowledgements</w:t>
      </w:r>
    </w:p>
    <w:bookmarkEnd w:id="33"/>
    <w:bookmarkStart w:id="34" w:name="conflicts-of-interest"/>
    <w:p>
      <w:pPr>
        <w:pStyle w:val="Heading1"/>
      </w:pPr>
      <w:r>
        <w:t xml:space="preserve">Conflicts of Interest</w:t>
      </w:r>
    </w:p>
    <w:p>
      <w:r>
        <w:br w:type="page"/>
      </w:r>
    </w:p>
    <w:bookmarkEnd w:id="34"/>
    <w:bookmarkStart w:id="126" w:name="references"/>
    <w:p>
      <w:pPr>
        <w:pStyle w:val="Heading1"/>
      </w:pPr>
      <w:r>
        <w:t xml:space="preserve">References</w:t>
      </w:r>
    </w:p>
    <w:bookmarkStart w:id="125" w:name="refs"/>
    <w:bookmarkStart w:id="36" w:name="ref-esposito2015"/>
    <w:p>
      <w:pPr>
        <w:pStyle w:val="Bibliography"/>
      </w:pPr>
      <w:r>
        <w:t xml:space="preserve">1. Esposito DB et al.</w:t>
      </w:r>
      <w:r>
        <w:t xml:space="preserve"> </w:t>
      </w:r>
      <w:hyperlink r:id="rId35">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6"/>
    <w:bookmarkStart w:id="38" w:name="ref-raghu2016"/>
    <w:p>
      <w:pPr>
        <w:pStyle w:val="Bibliography"/>
      </w:pPr>
      <w:r>
        <w:t xml:space="preserve">2. Raghu G, Chen S-Y, Hou Q, Yeh W-S, Collard HR.</w:t>
      </w:r>
      <w:r>
        <w:t xml:space="preserve"> </w:t>
      </w:r>
      <w:hyperlink r:id="rId37">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38"/>
    <w:bookmarkStart w:id="40" w:name="ref-martinez2017"/>
    <w:p>
      <w:pPr>
        <w:pStyle w:val="Bibliography"/>
      </w:pPr>
      <w:r>
        <w:t xml:space="preserve">3. Martinez FJ et al.</w:t>
      </w:r>
      <w:r>
        <w:t xml:space="preserve"> </w:t>
      </w:r>
      <w:hyperlink r:id="rId39">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40"/>
    <w:bookmarkStart w:id="42" w:name="ref-king2014"/>
    <w:p>
      <w:pPr>
        <w:pStyle w:val="Bibliography"/>
      </w:pPr>
      <w:r>
        <w:t xml:space="preserve">4. King TE et al.</w:t>
      </w:r>
      <w:r>
        <w:t xml:space="preserve"> </w:t>
      </w:r>
      <w:hyperlink r:id="rId41">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42"/>
    <w:bookmarkStart w:id="44" w:name="ref-richeldi2014"/>
    <w:p>
      <w:pPr>
        <w:pStyle w:val="Bibliography"/>
      </w:pPr>
      <w:r>
        <w:t xml:space="preserve">5. Richeldi L et al.</w:t>
      </w:r>
      <w:r>
        <w:t xml:space="preserve"> </w:t>
      </w:r>
      <w:hyperlink r:id="rId43">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4"/>
    <w:bookmarkStart w:id="46" w:name="ref-bueno2020"/>
    <w:p>
      <w:pPr>
        <w:pStyle w:val="Bibliography"/>
      </w:pPr>
      <w:r>
        <w:t xml:space="preserve">6. Bueno M, Calyeca J, Rojas M, Mora AL.</w:t>
      </w:r>
      <w:r>
        <w:t xml:space="preserve"> </w:t>
      </w:r>
      <w:hyperlink r:id="rId45">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6"/>
    <w:bookmarkStart w:id="48" w:name="ref-selvarajah2021"/>
    <w:p>
      <w:pPr>
        <w:pStyle w:val="Bibliography"/>
      </w:pPr>
      <w:r>
        <w:t xml:space="preserve">7. Selvarajah B, Azuelos I, Anastasiou D, Chambers RC.</w:t>
      </w:r>
      <w:r>
        <w:t xml:space="preserve"> </w:t>
      </w:r>
      <w:hyperlink r:id="rId47">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48"/>
    <w:bookmarkStart w:id="50" w:name="ref-bernard2015"/>
    <w:p>
      <w:pPr>
        <w:pStyle w:val="Bibliography"/>
      </w:pPr>
      <w:r>
        <w:t xml:space="preserve">8. Bernard K et al.</w:t>
      </w:r>
      <w:r>
        <w:t xml:space="preserve"> </w:t>
      </w:r>
      <w:hyperlink r:id="rId49">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50"/>
    <w:bookmarkStart w:id="52" w:name="ref-xie2015"/>
    <w:p>
      <w:pPr>
        <w:pStyle w:val="Bibliography"/>
      </w:pPr>
      <w:r>
        <w:t xml:space="preserve">9. Xie N et al.</w:t>
      </w:r>
      <w:r>
        <w:t xml:space="preserve"> </w:t>
      </w:r>
      <w:hyperlink r:id="rId51">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52"/>
    <w:bookmarkStart w:id="54" w:name="ref-goodwin2018"/>
    <w:p>
      <w:pPr>
        <w:pStyle w:val="Bibliography"/>
      </w:pPr>
      <w:r>
        <w:t xml:space="preserve">10. Goodwin J et al.</w:t>
      </w:r>
      <w:r>
        <w:t xml:space="preserve"> </w:t>
      </w:r>
      <w:hyperlink r:id="rId53">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4"/>
    <w:bookmarkStart w:id="56" w:name="ref-hamanaka2019"/>
    <w:p>
      <w:pPr>
        <w:pStyle w:val="Bibliography"/>
      </w:pPr>
      <w:r>
        <w:t xml:space="preserve">11. Hamanaka RB et al.</w:t>
      </w:r>
      <w:r>
        <w:t xml:space="preserve"> </w:t>
      </w:r>
      <w:hyperlink r:id="rId55">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6"/>
    <w:bookmarkStart w:id="58" w:name="ref-selvarajah2019"/>
    <w:p>
      <w:pPr>
        <w:pStyle w:val="Bibliography"/>
      </w:pPr>
      <w:r>
        <w:t xml:space="preserve">12. Selvarajah B et al.</w:t>
      </w:r>
      <w:r>
        <w:t xml:space="preserve"> </w:t>
      </w:r>
      <w:hyperlink r:id="rId57">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58"/>
    <w:bookmarkStart w:id="60" w:name="ref-kottmann2012"/>
    <w:p>
      <w:pPr>
        <w:pStyle w:val="Bibliography"/>
      </w:pPr>
      <w:r>
        <w:t xml:space="preserve">13. Kottmann RM et al.</w:t>
      </w:r>
      <w:r>
        <w:t xml:space="preserve"> </w:t>
      </w:r>
      <w:hyperlink r:id="rId59">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60"/>
    <w:bookmarkStart w:id="62" w:name="ref-kottmann2015"/>
    <w:p>
      <w:pPr>
        <w:pStyle w:val="Bibliography"/>
      </w:pPr>
      <w:r>
        <w:t xml:space="preserve">14. Kottmann RM et al.</w:t>
      </w:r>
      <w:r>
        <w:t xml:space="preserve"> </w:t>
      </w:r>
      <w:hyperlink r:id="rId61">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62"/>
    <w:bookmarkStart w:id="64" w:name="ref-judge2018"/>
    <w:p>
      <w:pPr>
        <w:pStyle w:val="Bibliography"/>
      </w:pPr>
      <w:r>
        <w:t xml:space="preserve">15. Judge JL et al.</w:t>
      </w:r>
      <w:r>
        <w:t xml:space="preserve"> </w:t>
      </w:r>
      <w:hyperlink r:id="rId63">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4"/>
    <w:bookmarkStart w:id="66" w:name="ref-cho2017"/>
    <w:p>
      <w:pPr>
        <w:pStyle w:val="Bibliography"/>
      </w:pPr>
      <w:r>
        <w:t xml:space="preserve">16. Cho SJ, Moon J-S, Lee C-M, Choi AMK, Stout-Delgado HW.</w:t>
      </w:r>
      <w:r>
        <w:t xml:space="preserve"> </w:t>
      </w:r>
      <w:hyperlink r:id="rId65">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6"/>
    <w:bookmarkStart w:id="68" w:name="ref-rodriguez-enriquez2009"/>
    <w:p>
      <w:pPr>
        <w:pStyle w:val="Bibliography"/>
      </w:pPr>
      <w:r>
        <w:t xml:space="preserve">17. Rodríguez-Enríquez S, Marín-Hernández A, Gallardo-Pérez JC, Carreño-Fuentes L, Moreno-Sánchez R.</w:t>
      </w:r>
      <w:r>
        <w:t xml:space="preserve"> </w:t>
      </w:r>
      <w:hyperlink r:id="rId67">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68"/>
    <w:bookmarkStart w:id="70" w:name="ref-michelakis2017"/>
    <w:p>
      <w:pPr>
        <w:pStyle w:val="Bibliography"/>
      </w:pPr>
      <w:r>
        <w:t xml:space="preserve">18. Michelakis ED et al.</w:t>
      </w:r>
      <w:r>
        <w:t xml:space="preserve"> </w:t>
      </w:r>
      <w:hyperlink r:id="rId69">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70"/>
    <w:bookmarkStart w:id="72" w:name="ref-pelicano2006"/>
    <w:p>
      <w:pPr>
        <w:pStyle w:val="Bibliography"/>
      </w:pPr>
      <w:r>
        <w:t xml:space="preserve">19. Pelicano H, Martin DS, Xu R-H, Huang P.</w:t>
      </w:r>
      <w:r>
        <w:t xml:space="preserve"> </w:t>
      </w:r>
      <w:hyperlink r:id="rId71">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72"/>
    <w:bookmarkStart w:id="74" w:name="ref-puri2020"/>
    <w:p>
      <w:pPr>
        <w:pStyle w:val="Bibliography"/>
      </w:pPr>
      <w:r>
        <w:t xml:space="preserve">20. Puri S, Juvale K.</w:t>
      </w:r>
      <w:r>
        <w:t xml:space="preserve"> </w:t>
      </w:r>
      <w:hyperlink r:id="rId73">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4"/>
    <w:bookmarkStart w:id="76" w:name="ref-cluntun2021"/>
    <w:p>
      <w:pPr>
        <w:pStyle w:val="Bibliography"/>
      </w:pPr>
      <w:r>
        <w:t xml:space="preserve">21. Cluntun AA et al.</w:t>
      </w:r>
      <w:r>
        <w:t xml:space="preserve"> </w:t>
      </w:r>
      <w:hyperlink r:id="rId75">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6"/>
    <w:bookmarkStart w:id="78" w:name="ref-halford2023"/>
    <w:p>
      <w:pPr>
        <w:pStyle w:val="Bibliography"/>
      </w:pPr>
      <w:r>
        <w:t xml:space="preserve">22. Halford S et al.</w:t>
      </w:r>
      <w:r>
        <w:t xml:space="preserve"> </w:t>
      </w:r>
      <w:hyperlink r:id="rId77">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78"/>
    <w:bookmarkStart w:id="80" w:name="ref-frangogiannis2020"/>
    <w:p>
      <w:pPr>
        <w:pStyle w:val="Bibliography"/>
      </w:pPr>
      <w:r>
        <w:t xml:space="preserve">23. Frangogiannis N.</w:t>
      </w:r>
      <w:r>
        <w:t xml:space="preserve"> </w:t>
      </w:r>
      <w:hyperlink r:id="rId79">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80"/>
    <w:bookmarkStart w:id="82" w:name="ref-tomasek2002"/>
    <w:p>
      <w:pPr>
        <w:pStyle w:val="Bibliography"/>
      </w:pPr>
      <w:r>
        <w:t xml:space="preserve">24. Tomasek JJ, Gabbiani G, Hinz B, Chaponnier C, Brown RA.</w:t>
      </w:r>
      <w:r>
        <w:t xml:space="preserve"> </w:t>
      </w:r>
      <w:hyperlink r:id="rId81">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82"/>
    <w:bookmarkStart w:id="84" w:name="ref-cui2019"/>
    <w:p>
      <w:pPr>
        <w:pStyle w:val="Bibliography"/>
      </w:pPr>
      <w:r>
        <w:t xml:space="preserve">25. Cui H et al.</w:t>
      </w:r>
      <w:r>
        <w:t xml:space="preserve"> </w:t>
      </w:r>
      <w:hyperlink r:id="rId83">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4"/>
    <w:bookmarkStart w:id="86" w:name="ref-rangarajan2018"/>
    <w:p>
      <w:pPr>
        <w:pStyle w:val="Bibliography"/>
      </w:pPr>
      <w:r>
        <w:t xml:space="preserve">26. Rangarajan S et al.</w:t>
      </w:r>
      <w:r>
        <w:t xml:space="preserve"> </w:t>
      </w:r>
      <w:hyperlink r:id="rId85">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6"/>
    <w:bookmarkStart w:id="88" w:name="ref-locy2020"/>
    <w:p>
      <w:pPr>
        <w:pStyle w:val="Bibliography"/>
      </w:pPr>
      <w:r>
        <w:t xml:space="preserve">27. Locy ML et al.</w:t>
      </w:r>
      <w:r>
        <w:t xml:space="preserve"> </w:t>
      </w:r>
      <w:hyperlink r:id="rId87">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88"/>
    <w:bookmarkStart w:id="90" w:name="ref-curtis2017"/>
    <w:p>
      <w:pPr>
        <w:pStyle w:val="Bibliography"/>
      </w:pPr>
      <w:r>
        <w:t xml:space="preserve">28. Curtis NJ et al.</w:t>
      </w:r>
      <w:r>
        <w:t xml:space="preserve"> </w:t>
      </w:r>
      <w:hyperlink r:id="rId89">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90"/>
    <w:bookmarkStart w:id="92" w:name="ref-ovens2010"/>
    <w:p>
      <w:pPr>
        <w:pStyle w:val="Bibliography"/>
      </w:pPr>
      <w:r>
        <w:t xml:space="preserve">29. Ovens MJ, Davies AJ, Wilson MC, Murray CM, Halestrap AP.</w:t>
      </w:r>
      <w:r>
        <w:t xml:space="preserve"> </w:t>
      </w:r>
      <w:hyperlink r:id="rId91">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92"/>
    <w:bookmarkStart w:id="94" w:name="ref-halestrap2013"/>
    <w:p>
      <w:pPr>
        <w:pStyle w:val="Bibliography"/>
      </w:pPr>
      <w:r>
        <w:t xml:space="preserve">30. Halestrap AP.</w:t>
      </w:r>
      <w:r>
        <w:t xml:space="preserve"> </w:t>
      </w:r>
      <w:hyperlink r:id="rId93">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4"/>
    <w:bookmarkStart w:id="96" w:name="ref-brooks2018"/>
    <w:p>
      <w:pPr>
        <w:pStyle w:val="Bibliography"/>
      </w:pPr>
      <w:r>
        <w:t xml:space="preserve">31. Brooks GA.</w:t>
      </w:r>
      <w:r>
        <w:t xml:space="preserve"> </w:t>
      </w:r>
      <w:hyperlink r:id="rId95">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6"/>
    <w:bookmarkStart w:id="98" w:name="ref-ullah2006"/>
    <w:p>
      <w:pPr>
        <w:pStyle w:val="Bibliography"/>
      </w:pPr>
      <w:r>
        <w:t xml:space="preserve">32. Ullah MS, Davies AJ, Halestrap AP.</w:t>
      </w:r>
      <w:r>
        <w:t xml:space="preserve"> </w:t>
      </w:r>
      <w:hyperlink r:id="rId97">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98"/>
    <w:bookmarkStart w:id="100" w:name="ref-contreras-baeza2019"/>
    <w:p>
      <w:pPr>
        <w:pStyle w:val="Bibliography"/>
      </w:pPr>
      <w:r>
        <w:t xml:space="preserve">33. Contreras-Baeza Y et al.</w:t>
      </w:r>
      <w:r>
        <w:t xml:space="preserve"> </w:t>
      </w:r>
      <w:hyperlink r:id="rId99">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100"/>
    <w:bookmarkStart w:id="102" w:name="ref-benjamin2018"/>
    <w:p>
      <w:pPr>
        <w:pStyle w:val="Bibliography"/>
      </w:pPr>
      <w:r>
        <w:t xml:space="preserve">34. Benjamin D et al.</w:t>
      </w:r>
      <w:r>
        <w:t xml:space="preserve"> </w:t>
      </w:r>
      <w:hyperlink r:id="rId101">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102"/>
    <w:bookmarkStart w:id="104" w:name="ref-schruf2019"/>
    <w:p>
      <w:pPr>
        <w:pStyle w:val="Bibliography"/>
      </w:pPr>
      <w:r>
        <w:t xml:space="preserve">35. Schruf E et al.</w:t>
      </w:r>
      <w:r>
        <w:t xml:space="preserve"> </w:t>
      </w:r>
      <w:hyperlink r:id="rId103">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4"/>
    <w:bookmarkStart w:id="106" w:name="ref-hui2017"/>
    <w:p>
      <w:pPr>
        <w:pStyle w:val="Bibliography"/>
      </w:pPr>
      <w:r>
        <w:t xml:space="preserve">36. Hui S et al.</w:t>
      </w:r>
      <w:r>
        <w:t xml:space="preserve"> </w:t>
      </w:r>
      <w:hyperlink r:id="rId105">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6"/>
    <w:bookmarkStart w:id="108" w:name="ref-hui2020"/>
    <w:p>
      <w:pPr>
        <w:pStyle w:val="Bibliography"/>
      </w:pPr>
      <w:r>
        <w:t xml:space="preserve">37. Hui S et al.</w:t>
      </w:r>
      <w:r>
        <w:t xml:space="preserve"> </w:t>
      </w:r>
      <w:hyperlink r:id="rId107">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08"/>
    <w:bookmarkStart w:id="110" w:name="ref-copeland2023"/>
    <w:p>
      <w:pPr>
        <w:pStyle w:val="Bibliography"/>
      </w:pPr>
      <w:r>
        <w:t xml:space="preserve">38. Copeland CA et al.</w:t>
      </w:r>
      <w:r>
        <w:t xml:space="preserve"> </w:t>
      </w:r>
      <w:hyperlink r:id="rId109">
        <w:r>
          <w:rPr>
            <w:rStyle w:val="Hyperlink"/>
          </w:rPr>
          <w:t xml:space="preserve">MYC</w:t>
        </w:r>
        <w:r>
          <w:rPr>
            <w:rStyle w:val="Hyperlink"/>
          </w:rPr>
          <w:t xml:space="preserve"> </w:t>
        </w:r>
        <w:r>
          <w:rPr>
            <w:rStyle w:val="Hyperlink"/>
          </w:rPr>
          <w:t xml:space="preserve">overrides</w:t>
        </w:r>
        <w:r>
          <w:rPr>
            <w:rStyle w:val="Hyperlink"/>
          </w:rPr>
          <w:t xml:space="preserve"> </w:t>
        </w:r>
        <w:r>
          <w:rPr>
            <w:rStyle w:val="Hyperlink"/>
          </w:rPr>
          <w:t xml:space="preserve">HIF-1α</w:t>
        </w:r>
        <w:r>
          <w:rPr>
            <w:rStyle w:val="Hyperlink"/>
          </w:rPr>
          <w:t xml:space="preserve"> </w:t>
        </w:r>
        <w:r>
          <w:rPr>
            <w:rStyle w:val="Hyperlink"/>
          </w:rPr>
          <w:t xml:space="preserve">to regulate proliferating primary cell metabolism in hypoxia</w:t>
        </w:r>
      </w:hyperlink>
      <w:r>
        <w:t xml:space="preserve">.</w:t>
      </w:r>
      <w:r>
        <w:t xml:space="preserve"> </w:t>
      </w:r>
      <w:r>
        <w:rPr>
          <w:iCs/>
          <w:i/>
        </w:rPr>
        <w:t xml:space="preserve">Elife</w:t>
      </w:r>
      <w:r>
        <w:t xml:space="preserve"> </w:t>
      </w:r>
      <w:r>
        <w:t xml:space="preserve">2023;12:e82597.</w:t>
      </w:r>
    </w:p>
    <w:bookmarkEnd w:id="110"/>
    <w:bookmarkStart w:id="112" w:name="ref-kwapiszewska2018"/>
    <w:p>
      <w:pPr>
        <w:pStyle w:val="Bibliography"/>
      </w:pPr>
      <w:r>
        <w:t xml:space="preserve">39. Kwapiszewska G et al.</w:t>
      </w:r>
      <w:r>
        <w:t xml:space="preserve"> </w:t>
      </w:r>
      <w:hyperlink r:id="rId111">
        <w:r>
          <w:rPr>
            <w:rStyle w:val="Hyperlink"/>
          </w:rPr>
          <w:t xml:space="preserve">Transcriptome profiling reveals the complexity of pirfenidone effects in idiopathic pulmonary fibrosis</w:t>
        </w:r>
      </w:hyperlink>
      <w:r>
        <w:t xml:space="preserve">.</w:t>
      </w:r>
      <w:r>
        <w:t xml:space="preserve"> </w:t>
      </w:r>
      <w:r>
        <w:rPr>
          <w:iCs/>
          <w:i/>
        </w:rPr>
        <w:t xml:space="preserve">Eur Respir J</w:t>
      </w:r>
      <w:r>
        <w:t xml:space="preserve"> </w:t>
      </w:r>
      <w:r>
        <w:t xml:space="preserve">2018;52(5):1800564.</w:t>
      </w:r>
    </w:p>
    <w:bookmarkEnd w:id="112"/>
    <w:bookmarkStart w:id="114" w:name="ref-williams2020"/>
    <w:p>
      <w:pPr>
        <w:pStyle w:val="Bibliography"/>
      </w:pPr>
      <w:r>
        <w:t xml:space="preserve">40. Williams LM et al.</w:t>
      </w:r>
      <w:r>
        <w:t xml:space="preserve"> </w:t>
      </w:r>
      <w:hyperlink r:id="rId113">
        <w:r>
          <w:rPr>
            <w:rStyle w:val="Hyperlink"/>
          </w:rPr>
          <w:t xml:space="preserve">Identifying collagen</w:t>
        </w:r>
        <w:r>
          <w:rPr>
            <w:rStyle w:val="Hyperlink"/>
          </w:rPr>
          <w:t xml:space="preserve"> </w:t>
        </w:r>
        <w:r>
          <w:rPr>
            <w:rStyle w:val="Hyperlink"/>
          </w:rPr>
          <w:t xml:space="preserve">VI</w:t>
        </w:r>
        <w:r>
          <w:rPr>
            <w:rStyle w:val="Hyperlink"/>
          </w:rPr>
          <w:t xml:space="preserve"> </w:t>
        </w:r>
        <w:r>
          <w:rPr>
            <w:rStyle w:val="Hyperlink"/>
          </w:rPr>
          <w:t xml:space="preserve">as a target of fibrotic diseases regulated by</w:t>
        </w:r>
        <w:r>
          <w:rPr>
            <w:rStyle w:val="Hyperlink"/>
          </w:rPr>
          <w:t xml:space="preserve"> </w:t>
        </w:r>
        <w:r>
          <w:rPr>
            <w:rStyle w:val="Hyperlink"/>
          </w:rPr>
          <w:t xml:space="preserve">CREBBP</w:t>
        </w:r>
        <w:r>
          <w:rPr>
            <w:rStyle w:val="Hyperlink"/>
          </w:rPr>
          <w:t xml:space="preserve">/</w:t>
        </w:r>
        <w:r>
          <w:rPr>
            <w:rStyle w:val="Hyperlink"/>
          </w:rPr>
          <w:t xml:space="preserve">EP300</w:t>
        </w:r>
      </w:hyperlink>
      <w:r>
        <w:t xml:space="preserve">.</w:t>
      </w:r>
      <w:r>
        <w:t xml:space="preserve"> </w:t>
      </w:r>
      <w:r>
        <w:rPr>
          <w:iCs/>
          <w:i/>
        </w:rPr>
        <w:t xml:space="preserve">Proc Natl Acad Sci U S A</w:t>
      </w:r>
      <w:r>
        <w:t xml:space="preserve"> </w:t>
      </w:r>
      <w:r>
        <w:t xml:space="preserve">2020;117(34):20753–20763.</w:t>
      </w:r>
    </w:p>
    <w:bookmarkEnd w:id="114"/>
    <w:bookmarkStart w:id="116" w:name="ref-baarsma2017"/>
    <w:p>
      <w:pPr>
        <w:pStyle w:val="Bibliography"/>
      </w:pPr>
      <w:r>
        <w:t xml:space="preserve">41. Baarsma HA, Königshoff M.</w:t>
      </w:r>
      <w:r>
        <w:t xml:space="preserve"> </w:t>
      </w:r>
      <w:hyperlink r:id="rId115">
        <w:r>
          <w:rPr>
            <w:rStyle w:val="Hyperlink"/>
          </w:rPr>
          <w:t xml:space="preserve">’</w:t>
        </w:r>
        <w:r>
          <w:rPr>
            <w:rStyle w:val="Hyperlink"/>
          </w:rPr>
          <w:t xml:space="preserve">WNT-er</w:t>
        </w:r>
        <w:r>
          <w:rPr>
            <w:rStyle w:val="Hyperlink"/>
          </w:rPr>
          <w:t xml:space="preserve"> </w:t>
        </w:r>
        <w:r>
          <w:rPr>
            <w:rStyle w:val="Hyperlink"/>
          </w:rPr>
          <w:t xml:space="preserve">is coming’:</w:t>
        </w:r>
        <w:r>
          <w:rPr>
            <w:rStyle w:val="Hyperlink"/>
          </w:rPr>
          <w:t xml:space="preserve"> </w:t>
        </w:r>
        <w:r>
          <w:rPr>
            <w:rStyle w:val="Hyperlink"/>
          </w:rPr>
          <w:t xml:space="preserve">WNT</w:t>
        </w:r>
        <w:r>
          <w:rPr>
            <w:rStyle w:val="Hyperlink"/>
          </w:rPr>
          <w:t xml:space="preserve"> </w:t>
        </w:r>
        <w:r>
          <w:rPr>
            <w:rStyle w:val="Hyperlink"/>
          </w:rPr>
          <w:t xml:space="preserve">signalling in chronic lung diseases</w:t>
        </w:r>
      </w:hyperlink>
      <w:r>
        <w:t xml:space="preserve">.</w:t>
      </w:r>
      <w:r>
        <w:t xml:space="preserve"> </w:t>
      </w:r>
      <w:r>
        <w:rPr>
          <w:iCs/>
          <w:i/>
        </w:rPr>
        <w:t xml:space="preserve">Thorax</w:t>
      </w:r>
      <w:r>
        <w:t xml:space="preserve"> </w:t>
      </w:r>
      <w:r>
        <w:t xml:space="preserve">2017;72(8):746–759.</w:t>
      </w:r>
    </w:p>
    <w:bookmarkEnd w:id="116"/>
    <w:bookmarkStart w:id="118" w:name="ref-todd2020"/>
    <w:p>
      <w:pPr>
        <w:pStyle w:val="Bibliography"/>
      </w:pPr>
      <w:r>
        <w:t xml:space="preserve">42. Todd JL et al.</w:t>
      </w:r>
      <w:r>
        <w:t xml:space="preserve"> </w:t>
      </w:r>
      <w:hyperlink r:id="rId117">
        <w:r>
          <w:rPr>
            <w:rStyle w:val="Hyperlink"/>
          </w:rPr>
          <w:t xml:space="preserve">Circulating matrix metalloproteinases and tissue metalloproteinase inhibitors in patients with idiopathic pulmonary fibrosis in the multicenter</w:t>
        </w:r>
        <w:r>
          <w:rPr>
            <w:rStyle w:val="Hyperlink"/>
          </w:rPr>
          <w:t xml:space="preserve"> </w:t>
        </w:r>
        <w:r>
          <w:rPr>
            <w:rStyle w:val="Hyperlink"/>
          </w:rPr>
          <w:t xml:space="preserve">IPF-PRO Registry</w:t>
        </w:r>
        <w:r>
          <w:rPr>
            <w:rStyle w:val="Hyperlink"/>
          </w:rPr>
          <w:t xml:space="preserve"> </w:t>
        </w:r>
        <w:r>
          <w:rPr>
            <w:rStyle w:val="Hyperlink"/>
          </w:rPr>
          <w:t xml:space="preserve">cohort</w:t>
        </w:r>
      </w:hyperlink>
      <w:r>
        <w:t xml:space="preserve">.</w:t>
      </w:r>
      <w:r>
        <w:t xml:space="preserve"> </w:t>
      </w:r>
      <w:r>
        <w:rPr>
          <w:iCs/>
          <w:i/>
        </w:rPr>
        <w:t xml:space="preserve">BMC Pulm Med</w:t>
      </w:r>
      <w:r>
        <w:t xml:space="preserve"> </w:t>
      </w:r>
      <w:r>
        <w:t xml:space="preserve">2020;20(1):64.</w:t>
      </w:r>
    </w:p>
    <w:bookmarkEnd w:id="118"/>
    <w:bookmarkStart w:id="120" w:name="ref-bhattacharyya2016"/>
    <w:p>
      <w:pPr>
        <w:pStyle w:val="Bibliography"/>
      </w:pPr>
      <w:r>
        <w:t xml:space="preserve">43. Bhattacharyya S et al.</w:t>
      </w:r>
      <w:r>
        <w:t xml:space="preserve"> </w:t>
      </w:r>
      <w:hyperlink r:id="rId119">
        <w:r>
          <w:rPr>
            <w:rStyle w:val="Hyperlink"/>
          </w:rPr>
          <w:t xml:space="preserve">Tenascin-</w:t>
        </w:r>
        <w:r>
          <w:rPr>
            <w:rStyle w:val="Hyperlink"/>
          </w:rPr>
          <w:t xml:space="preserve">C</w:t>
        </w:r>
        <w:r>
          <w:rPr>
            <w:rStyle w:val="Hyperlink"/>
          </w:rPr>
          <w:t xml:space="preserve"> </w:t>
        </w:r>
        <w:r>
          <w:rPr>
            <w:rStyle w:val="Hyperlink"/>
          </w:rPr>
          <w:t xml:space="preserve">drives persistence of organ fibrosis</w:t>
        </w:r>
      </w:hyperlink>
      <w:r>
        <w:t xml:space="preserve">.</w:t>
      </w:r>
      <w:r>
        <w:t xml:space="preserve"> </w:t>
      </w:r>
      <w:r>
        <w:rPr>
          <w:iCs/>
          <w:i/>
        </w:rPr>
        <w:t xml:space="preserve">Nat Commun</w:t>
      </w:r>
      <w:r>
        <w:t xml:space="preserve"> </w:t>
      </w:r>
      <w:r>
        <w:t xml:space="preserve">2016;7:11703.</w:t>
      </w:r>
    </w:p>
    <w:bookmarkEnd w:id="120"/>
    <w:bookmarkStart w:id="122" w:name="ref-zhang2019a"/>
    <w:p>
      <w:pPr>
        <w:pStyle w:val="Bibliography"/>
      </w:pPr>
      <w:r>
        <w:t xml:space="preserve">44. Zhang D et al.</w:t>
      </w:r>
      <w:r>
        <w:t xml:space="preserve"> </w:t>
      </w:r>
      <w:hyperlink r:id="rId121">
        <w:r>
          <w:rPr>
            <w:rStyle w:val="Hyperlink"/>
          </w:rPr>
          <w:t xml:space="preserve">Metabolic regulation of gene expression by histone lactylation</w:t>
        </w:r>
      </w:hyperlink>
      <w:r>
        <w:t xml:space="preserve">.</w:t>
      </w:r>
      <w:r>
        <w:t xml:space="preserve"> </w:t>
      </w:r>
      <w:r>
        <w:rPr>
          <w:iCs/>
          <w:i/>
        </w:rPr>
        <w:t xml:space="preserve">Nature</w:t>
      </w:r>
      <w:r>
        <w:t xml:space="preserve"> </w:t>
      </w:r>
      <w:r>
        <w:t xml:space="preserve">2019;574(7779):575–580.</w:t>
      </w:r>
    </w:p>
    <w:bookmarkEnd w:id="122"/>
    <w:bookmarkStart w:id="124" w:name="ref-schworer2020"/>
    <w:p>
      <w:pPr>
        <w:pStyle w:val="Bibliography"/>
      </w:pPr>
      <w:r>
        <w:t xml:space="preserve">45. Schwörer S et al.</w:t>
      </w:r>
      <w:r>
        <w:t xml:space="preserve"> </w:t>
      </w:r>
      <w:hyperlink r:id="rId123">
        <w:r>
          <w:rPr>
            <w:rStyle w:val="Hyperlink"/>
          </w:rPr>
          <w:t xml:space="preserve">Proline biosynthesis is a vent for</w:t>
        </w:r>
        <w:r>
          <w:rPr>
            <w:rStyle w:val="Hyperlink"/>
          </w:rPr>
          <w:t xml:space="preserve"> </w:t>
        </w:r>
        <w:r>
          <w:rPr>
            <w:rStyle w:val="Hyperlink"/>
          </w:rPr>
          <w:t xml:space="preserve">TGFβ-induced</w:t>
        </w:r>
        <w:r>
          <w:rPr>
            <w:rStyle w:val="Hyperlink"/>
          </w:rPr>
          <w:t xml:space="preserve"> </w:t>
        </w:r>
        <w:r>
          <w:rPr>
            <w:rStyle w:val="Hyperlink"/>
          </w:rPr>
          <w:t xml:space="preserve">mitochondrial redox stress</w:t>
        </w:r>
      </w:hyperlink>
      <w:r>
        <w:t xml:space="preserve">.</w:t>
      </w:r>
      <w:r>
        <w:t xml:space="preserve"> </w:t>
      </w:r>
      <w:r>
        <w:rPr>
          <w:iCs/>
          <w:i/>
        </w:rPr>
        <w:t xml:space="preserve">EMBO J</w:t>
      </w:r>
      <w:r>
        <w:t xml:space="preserve"> </w:t>
      </w:r>
      <w:r>
        <w:t xml:space="preserve">2020;39(8):e103334.</w:t>
      </w:r>
    </w:p>
    <w:bookmarkEnd w:id="124"/>
    <w:bookmarkEnd w:id="125"/>
    <w:p>
      <w:r>
        <w:br w:type="page"/>
      </w:r>
    </w:p>
    <w:bookmarkEnd w:id="126"/>
    <w:bookmarkStart w:id="133" w:name="figures"/>
    <w:p>
      <w:pPr>
        <w:pStyle w:val="Heading1"/>
      </w:pPr>
      <w:r>
        <w:t xml:space="preserve">Figures</w:t>
      </w:r>
    </w:p>
    <w:p>
      <w:pPr>
        <w:pStyle w:val="CaptionedFigure"/>
      </w:pPr>
      <w:r>
        <w:drawing>
          <wp:inline>
            <wp:extent cx="3336489" cy="4244773"/>
            <wp:effectExtent b="0" l="0" r="0" t="0"/>
            <wp:docPr descr="Figure 1 - Lactate transporter expression increases in human IPF and experimental models. (A) Immunoblot of whole lung homogenates from explanted IPF lungs and controls (Ctl). (B) Quantification of band densities from (A). (C) Immunoblot of whole lung homogenates from bleomycin (bleo)- and vehicle (Ctl)-treated mice. (D) Quantification of band densities from (C). (E) Representative immunoblot of cell lysates from normal human lung fibroblasts treated with TGFβ to induce myofibroblast differentiation. (F) Quantification of band densities from (E). Individual data points are biological replicates. Summary data are mean ± SEM (* p &lt; 0.05)." title="" id="128" name="Picture"/>
            <a:graphic>
              <a:graphicData uri="http://schemas.openxmlformats.org/drawingml/2006/picture">
                <pic:pic>
                  <pic:nvPicPr>
                    <pic:cNvPr descr="figs/Figure%2001.png" id="129" name="Picture"/>
                    <pic:cNvPicPr>
                      <a:picLocks noChangeArrowheads="1" noChangeAspect="1"/>
                    </pic:cNvPicPr>
                  </pic:nvPicPr>
                  <pic:blipFill>
                    <a:blip r:embed="rId127"/>
                    <a:stretch>
                      <a:fillRect/>
                    </a:stretch>
                  </pic:blipFill>
                  <pic:spPr bwMode="auto">
                    <a:xfrm>
                      <a:off x="0" y="0"/>
                      <a:ext cx="3336489" cy="4244773"/>
                    </a:xfrm>
                    <a:prstGeom prst="rect">
                      <a:avLst/>
                    </a:prstGeom>
                    <a:noFill/>
                    <a:ln w="9525">
                      <a:noFill/>
                      <a:headEnd/>
                      <a:tailEnd/>
                    </a:ln>
                  </pic:spPr>
                </pic:pic>
              </a:graphicData>
            </a:graphic>
          </wp:inline>
        </w:drawing>
      </w:r>
    </w:p>
    <w:p>
      <w:pPr>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p>
      <w:r>
        <w:br w:type="page"/>
      </w:r>
    </w:p>
    <w:p>
      <w:pPr>
        <w:pStyle w:val="CaptionedFigure"/>
      </w:pPr>
      <w:r>
        <w:drawing>
          <wp:inline>
            <wp:extent cx="6400800" cy="3268917"/>
            <wp:effectExtent b="0" l="0" r="0" t="0"/>
            <wp:docPr descr="Figure 2 - Lactate transport inhibition decreases myofibroblast differentiation in vitro. (A) Representative immunoblot of normal lung fibroblast cell lysates after treatment with siRNA targeting MCT1 or MCT4. (B) Quantification of protein expression levels following MCT1 and MCT4 knockdown. (C) Immunoblot of IPF lung fibroblast lysates from three separate donors after treatment with TGFβ and MCT inhibitors AZD3965 (AZD) or VB124 (VB). (D) Quantification of band densities from (C). (E) Representative immunoblot of normal lung fibroblasts treated with TGFβ and MCT inhibitors. (F) Quantification of α-SMA expression following MCT inhibition. (G) Representative image of a gel contraction assay after 24 h treatment with TGFβ and MCT inhibitors. (H) Quantification of contracted areas. Individual data points are biological replicates. Summary data are mean ± SEM (* p &lt; 0.05; black compares TGFβ to control within a given treatment, colored compares the treatment effect to control for a given condition)." title="" id="131" name="Picture"/>
            <a:graphic>
              <a:graphicData uri="http://schemas.openxmlformats.org/drawingml/2006/picture">
                <pic:pic>
                  <pic:nvPicPr>
                    <pic:cNvPr descr="figs/Figure%2002.png" id="132" name="Picture"/>
                    <pic:cNvPicPr>
                      <a:picLocks noChangeArrowheads="1" noChangeAspect="1"/>
                    </pic:cNvPicPr>
                  </pic:nvPicPr>
                  <pic:blipFill>
                    <a:blip r:embed="rId130"/>
                    <a:stretch>
                      <a:fillRect/>
                    </a:stretch>
                  </pic:blipFill>
                  <pic:spPr bwMode="auto">
                    <a:xfrm>
                      <a:off x="0" y="0"/>
                      <a:ext cx="6400800" cy="3268917"/>
                    </a:xfrm>
                    <a:prstGeom prst="rect">
                      <a:avLst/>
                    </a:prstGeom>
                    <a:noFill/>
                    <a:ln w="9525">
                      <a:noFill/>
                      <a:headEnd/>
                      <a:tailEnd/>
                    </a:ln>
                  </pic:spPr>
                </pic:pic>
              </a:graphicData>
            </a:graphic>
          </wp:inline>
        </w:drawing>
      </w:r>
    </w:p>
    <w:p>
      <w:pPr>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bookmarkEnd w:id="133"/>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hyperlink" Id="rId67" Target="https://doi.org/10.1002/mnfr.200700470" TargetMode="External" /><Relationship Type="http://schemas.openxmlformats.org/officeDocument/2006/relationships/hyperlink" Id="rId101" Target="https://doi.org/10.1016/j.celrep.2018.11.043" TargetMode="External" /><Relationship Type="http://schemas.openxmlformats.org/officeDocument/2006/relationships/hyperlink" Id="rId95" Target="https://doi.org/10.1016/j.cmet.2018.03.008" TargetMode="External" /><Relationship Type="http://schemas.openxmlformats.org/officeDocument/2006/relationships/hyperlink" Id="rId107" Target="https://doi.org/10.1016/j.cmet.2020.07.013" TargetMode="External" /><Relationship Type="http://schemas.openxmlformats.org/officeDocument/2006/relationships/hyperlink" Id="rId75" Target="https://doi.org/10.1016/j.cmet.2020.12.003" TargetMode="External" /><Relationship Type="http://schemas.openxmlformats.org/officeDocument/2006/relationships/hyperlink" Id="rId73" Target="https://doi.org/10.1016/j.ejmech.2020.112393" TargetMode="External" /><Relationship Type="http://schemas.openxmlformats.org/officeDocument/2006/relationships/hyperlink" Id="rId93" Target="https://doi.org/10.1016/j.mam.2012.05.003" TargetMode="External" /><Relationship Type="http://schemas.openxmlformats.org/officeDocument/2006/relationships/hyperlink" Id="rId45" Target="https://doi.org/10.1016/j.redox.2020.101509" TargetMode="External" /><Relationship Type="http://schemas.openxmlformats.org/officeDocument/2006/relationships/hyperlink" Id="rId105" Target="https://doi.org/10.1038/nature24057" TargetMode="External" /><Relationship Type="http://schemas.openxmlformats.org/officeDocument/2006/relationships/hyperlink" Id="rId119" Target="https://doi.org/10.1038/ncomms11703" TargetMode="External" /><Relationship Type="http://schemas.openxmlformats.org/officeDocument/2006/relationships/hyperlink" Id="rId39" Target="https://doi.org/10.1038/nrdp.2017.74" TargetMode="External" /><Relationship Type="http://schemas.openxmlformats.org/officeDocument/2006/relationships/hyperlink" Id="rId81" Target="https://doi.org/10.1038/nrm809" TargetMode="External" /><Relationship Type="http://schemas.openxmlformats.org/officeDocument/2006/relationships/hyperlink" Id="rId121" Target="https://doi.org/10.1038/s41586-019-1678-1" TargetMode="External" /><Relationship Type="http://schemas.openxmlformats.org/officeDocument/2006/relationships/hyperlink" Id="rId85" Target="https://doi.org/10.1038/s41591-018-0087-6" TargetMode="External" /><Relationship Type="http://schemas.openxmlformats.org/officeDocument/2006/relationships/hyperlink" Id="rId71" Target="https://doi.org/10.1038/sj.onc.1209597" TargetMode="External" /><Relationship Type="http://schemas.openxmlformats.org/officeDocument/2006/relationships/hyperlink" Id="rId91" Target="https://doi.org/10.1042/BJ20091515" TargetMode="External" /><Relationship Type="http://schemas.openxmlformats.org/officeDocument/2006/relationships/hyperlink" Id="rId41" Target="https://doi.org/10.1056/NEJMoa1402582" TargetMode="External" /><Relationship Type="http://schemas.openxmlformats.org/officeDocument/2006/relationships/hyperlink" Id="rId43" Target="https://doi.org/10.1056/NEJMoa1402584" TargetMode="External" /><Relationship Type="http://schemas.openxmlformats.org/officeDocument/2006/relationships/hyperlink" Id="rId113" Target="https://doi.org/10.1073/pnas.2004281117" TargetMode="External" /><Relationship Type="http://schemas.openxmlformats.org/officeDocument/2006/relationships/hyperlink" Id="rId49" Target="https://doi.org/10.1074/jbc.M115.646984" TargetMode="External" /><Relationship Type="http://schemas.openxmlformats.org/officeDocument/2006/relationships/hyperlink" Id="rId97" Target="https://doi.org/10.1074/jbc.M511397200" TargetMode="External" /><Relationship Type="http://schemas.openxmlformats.org/officeDocument/2006/relationships/hyperlink" Id="rId99" Target="https://doi.org/10.1074/jbc.RA119.009093" TargetMode="External" /><Relationship Type="http://schemas.openxmlformats.org/officeDocument/2006/relationships/hyperlink" Id="rId79" Target="https://doi.org/10.1084/jem.20190103" TargetMode="External" /><Relationship Type="http://schemas.openxmlformats.org/officeDocument/2006/relationships/hyperlink" Id="rId87" Target="https://doi.org/10.1126/scisignal.aau2803" TargetMode="External" /><Relationship Type="http://schemas.openxmlformats.org/officeDocument/2006/relationships/hyperlink" Id="rId57" Target="https://doi.org/10.1126/scisignal.aav3048" TargetMode="External" /><Relationship Type="http://schemas.openxmlformats.org/officeDocument/2006/relationships/hyperlink" Id="rId47" Target="https://doi.org/10.1126/scisignal.aay1027" TargetMode="External" /><Relationship Type="http://schemas.openxmlformats.org/officeDocument/2006/relationships/hyperlink" Id="rId69" Target="https://doi.org/10.1126/scitranslmed.aao4583" TargetMode="External" /><Relationship Type="http://schemas.openxmlformats.org/officeDocument/2006/relationships/hyperlink" Id="rId115" Target="https://doi.org/10.1136/thoraxjnl-2016-209753" TargetMode="External" /><Relationship Type="http://schemas.openxmlformats.org/officeDocument/2006/relationships/hyperlink" Id="rId61" Target="https://doi.org/10.1152/ajplung.00058.2015" TargetMode="External" /><Relationship Type="http://schemas.openxmlformats.org/officeDocument/2006/relationships/hyperlink" Id="rId77" Target="https://doi.org/10.1158/1078-0432.CCR-22-2263" TargetMode="External" /><Relationship Type="http://schemas.openxmlformats.org/officeDocument/2006/relationships/hyperlink" Id="rId59" Target="https://doi.org/10.1164/rccm.201201-0084OC" TargetMode="External" /><Relationship Type="http://schemas.openxmlformats.org/officeDocument/2006/relationships/hyperlink" Id="rId51" Target="https://doi.org/10.1164/rccm.201504-0780OC" TargetMode="External" /><Relationship Type="http://schemas.openxmlformats.org/officeDocument/2006/relationships/hyperlink" Id="rId35" Target="https://doi.org/10.1164/rccm.201504-0818OC" TargetMode="External" /><Relationship Type="http://schemas.openxmlformats.org/officeDocument/2006/relationships/hyperlink" Id="rId53" Target="https://doi.org/10.1165/rcmb.2016-0186OC" TargetMode="External" /><Relationship Type="http://schemas.openxmlformats.org/officeDocument/2006/relationships/hyperlink" Id="rId65" Target="https://doi.org/10.1165/rcmb.2016-0225OC" TargetMode="External" /><Relationship Type="http://schemas.openxmlformats.org/officeDocument/2006/relationships/hyperlink" Id="rId55" Target="https://doi.org/10.1165/rcmb.2019-0008OC" TargetMode="External" /><Relationship Type="http://schemas.openxmlformats.org/officeDocument/2006/relationships/hyperlink" Id="rId83" Target="https://doi.org/10.1165/rcmb.2019-0051OC" TargetMode="External" /><Relationship Type="http://schemas.openxmlformats.org/officeDocument/2006/relationships/hyperlink" Id="rId111" Target="https://doi.org/10.1183/13993003.00564-2018" TargetMode="External" /><Relationship Type="http://schemas.openxmlformats.org/officeDocument/2006/relationships/hyperlink" Id="rId37" Target="https://doi.org/10.1183/13993003.01653-2015" TargetMode="External" /><Relationship Type="http://schemas.openxmlformats.org/officeDocument/2006/relationships/hyperlink" Id="rId117" Target="https://doi.org/10.1186/s12890-020-1103-4" TargetMode="External" /><Relationship Type="http://schemas.openxmlformats.org/officeDocument/2006/relationships/hyperlink" Id="rId103" Target="https://doi.org/10.1186/s12931-019-1058-2" TargetMode="External" /><Relationship Type="http://schemas.openxmlformats.org/officeDocument/2006/relationships/hyperlink" Id="rId63" Target="https://doi.org/10.1371/journal.pone.0197936" TargetMode="External" /><Relationship Type="http://schemas.openxmlformats.org/officeDocument/2006/relationships/hyperlink" Id="rId123" Target="https://doi.org/10.15252/embj.2019103334" TargetMode="External" /><Relationship Type="http://schemas.openxmlformats.org/officeDocument/2006/relationships/hyperlink" Id="rId89" Target="https://doi.org/10.18632/oncotarget.18215" TargetMode="External" /><Relationship Type="http://schemas.openxmlformats.org/officeDocument/2006/relationships/hyperlink" Id="rId109" Target="https://doi.org/10.7554/eLife.82597"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mnfr.200700470" TargetMode="External" /><Relationship Type="http://schemas.openxmlformats.org/officeDocument/2006/relationships/hyperlink" Id="rId101" Target="https://doi.org/10.1016/j.celrep.2018.11.043" TargetMode="External" /><Relationship Type="http://schemas.openxmlformats.org/officeDocument/2006/relationships/hyperlink" Id="rId95" Target="https://doi.org/10.1016/j.cmet.2018.03.008" TargetMode="External" /><Relationship Type="http://schemas.openxmlformats.org/officeDocument/2006/relationships/hyperlink" Id="rId107" Target="https://doi.org/10.1016/j.cmet.2020.07.013" TargetMode="External" /><Relationship Type="http://schemas.openxmlformats.org/officeDocument/2006/relationships/hyperlink" Id="rId75" Target="https://doi.org/10.1016/j.cmet.2020.12.003" TargetMode="External" /><Relationship Type="http://schemas.openxmlformats.org/officeDocument/2006/relationships/hyperlink" Id="rId73" Target="https://doi.org/10.1016/j.ejmech.2020.112393" TargetMode="External" /><Relationship Type="http://schemas.openxmlformats.org/officeDocument/2006/relationships/hyperlink" Id="rId93" Target="https://doi.org/10.1016/j.mam.2012.05.003" TargetMode="External" /><Relationship Type="http://schemas.openxmlformats.org/officeDocument/2006/relationships/hyperlink" Id="rId45" Target="https://doi.org/10.1016/j.redox.2020.101509" TargetMode="External" /><Relationship Type="http://schemas.openxmlformats.org/officeDocument/2006/relationships/hyperlink" Id="rId105" Target="https://doi.org/10.1038/nature24057" TargetMode="External" /><Relationship Type="http://schemas.openxmlformats.org/officeDocument/2006/relationships/hyperlink" Id="rId119" Target="https://doi.org/10.1038/ncomms11703" TargetMode="External" /><Relationship Type="http://schemas.openxmlformats.org/officeDocument/2006/relationships/hyperlink" Id="rId39" Target="https://doi.org/10.1038/nrdp.2017.74" TargetMode="External" /><Relationship Type="http://schemas.openxmlformats.org/officeDocument/2006/relationships/hyperlink" Id="rId81" Target="https://doi.org/10.1038/nrm809" TargetMode="External" /><Relationship Type="http://schemas.openxmlformats.org/officeDocument/2006/relationships/hyperlink" Id="rId121" Target="https://doi.org/10.1038/s41586-019-1678-1" TargetMode="External" /><Relationship Type="http://schemas.openxmlformats.org/officeDocument/2006/relationships/hyperlink" Id="rId85" Target="https://doi.org/10.1038/s41591-018-0087-6" TargetMode="External" /><Relationship Type="http://schemas.openxmlformats.org/officeDocument/2006/relationships/hyperlink" Id="rId71" Target="https://doi.org/10.1038/sj.onc.1209597" TargetMode="External" /><Relationship Type="http://schemas.openxmlformats.org/officeDocument/2006/relationships/hyperlink" Id="rId91" Target="https://doi.org/10.1042/BJ20091515" TargetMode="External" /><Relationship Type="http://schemas.openxmlformats.org/officeDocument/2006/relationships/hyperlink" Id="rId41" Target="https://doi.org/10.1056/NEJMoa1402582" TargetMode="External" /><Relationship Type="http://schemas.openxmlformats.org/officeDocument/2006/relationships/hyperlink" Id="rId43" Target="https://doi.org/10.1056/NEJMoa1402584" TargetMode="External" /><Relationship Type="http://schemas.openxmlformats.org/officeDocument/2006/relationships/hyperlink" Id="rId113" Target="https://doi.org/10.1073/pnas.2004281117" TargetMode="External" /><Relationship Type="http://schemas.openxmlformats.org/officeDocument/2006/relationships/hyperlink" Id="rId49" Target="https://doi.org/10.1074/jbc.M115.646984" TargetMode="External" /><Relationship Type="http://schemas.openxmlformats.org/officeDocument/2006/relationships/hyperlink" Id="rId97" Target="https://doi.org/10.1074/jbc.M511397200" TargetMode="External" /><Relationship Type="http://schemas.openxmlformats.org/officeDocument/2006/relationships/hyperlink" Id="rId99" Target="https://doi.org/10.1074/jbc.RA119.009093" TargetMode="External" /><Relationship Type="http://schemas.openxmlformats.org/officeDocument/2006/relationships/hyperlink" Id="rId79" Target="https://doi.org/10.1084/jem.20190103" TargetMode="External" /><Relationship Type="http://schemas.openxmlformats.org/officeDocument/2006/relationships/hyperlink" Id="rId87" Target="https://doi.org/10.1126/scisignal.aau2803" TargetMode="External" /><Relationship Type="http://schemas.openxmlformats.org/officeDocument/2006/relationships/hyperlink" Id="rId57" Target="https://doi.org/10.1126/scisignal.aav3048" TargetMode="External" /><Relationship Type="http://schemas.openxmlformats.org/officeDocument/2006/relationships/hyperlink" Id="rId47" Target="https://doi.org/10.1126/scisignal.aay1027" TargetMode="External" /><Relationship Type="http://schemas.openxmlformats.org/officeDocument/2006/relationships/hyperlink" Id="rId69" Target="https://doi.org/10.1126/scitranslmed.aao4583" TargetMode="External" /><Relationship Type="http://schemas.openxmlformats.org/officeDocument/2006/relationships/hyperlink" Id="rId115" Target="https://doi.org/10.1136/thoraxjnl-2016-209753" TargetMode="External" /><Relationship Type="http://schemas.openxmlformats.org/officeDocument/2006/relationships/hyperlink" Id="rId61" Target="https://doi.org/10.1152/ajplung.00058.2015" TargetMode="External" /><Relationship Type="http://schemas.openxmlformats.org/officeDocument/2006/relationships/hyperlink" Id="rId77" Target="https://doi.org/10.1158/1078-0432.CCR-22-2263" TargetMode="External" /><Relationship Type="http://schemas.openxmlformats.org/officeDocument/2006/relationships/hyperlink" Id="rId59" Target="https://doi.org/10.1164/rccm.201201-0084OC" TargetMode="External" /><Relationship Type="http://schemas.openxmlformats.org/officeDocument/2006/relationships/hyperlink" Id="rId51" Target="https://doi.org/10.1164/rccm.201504-0780OC" TargetMode="External" /><Relationship Type="http://schemas.openxmlformats.org/officeDocument/2006/relationships/hyperlink" Id="rId35" Target="https://doi.org/10.1164/rccm.201504-0818OC" TargetMode="External" /><Relationship Type="http://schemas.openxmlformats.org/officeDocument/2006/relationships/hyperlink" Id="rId53" Target="https://doi.org/10.1165/rcmb.2016-0186OC" TargetMode="External" /><Relationship Type="http://schemas.openxmlformats.org/officeDocument/2006/relationships/hyperlink" Id="rId65" Target="https://doi.org/10.1165/rcmb.2016-0225OC" TargetMode="External" /><Relationship Type="http://schemas.openxmlformats.org/officeDocument/2006/relationships/hyperlink" Id="rId55" Target="https://doi.org/10.1165/rcmb.2019-0008OC" TargetMode="External" /><Relationship Type="http://schemas.openxmlformats.org/officeDocument/2006/relationships/hyperlink" Id="rId83" Target="https://doi.org/10.1165/rcmb.2019-0051OC" TargetMode="External" /><Relationship Type="http://schemas.openxmlformats.org/officeDocument/2006/relationships/hyperlink" Id="rId111" Target="https://doi.org/10.1183/13993003.00564-2018" TargetMode="External" /><Relationship Type="http://schemas.openxmlformats.org/officeDocument/2006/relationships/hyperlink" Id="rId37" Target="https://doi.org/10.1183/13993003.01653-2015" TargetMode="External" /><Relationship Type="http://schemas.openxmlformats.org/officeDocument/2006/relationships/hyperlink" Id="rId117" Target="https://doi.org/10.1186/s12890-020-1103-4" TargetMode="External" /><Relationship Type="http://schemas.openxmlformats.org/officeDocument/2006/relationships/hyperlink" Id="rId103" Target="https://doi.org/10.1186/s12931-019-1058-2" TargetMode="External" /><Relationship Type="http://schemas.openxmlformats.org/officeDocument/2006/relationships/hyperlink" Id="rId63" Target="https://doi.org/10.1371/journal.pone.0197936" TargetMode="External" /><Relationship Type="http://schemas.openxmlformats.org/officeDocument/2006/relationships/hyperlink" Id="rId123" Target="https://doi.org/10.15252/embj.2019103334" TargetMode="External" /><Relationship Type="http://schemas.openxmlformats.org/officeDocument/2006/relationships/hyperlink" Id="rId89" Target="https://doi.org/10.18632/oncotarget.18215" TargetMode="External" /><Relationship Type="http://schemas.openxmlformats.org/officeDocument/2006/relationships/hyperlink" Id="rId109" Target="https://doi.org/10.7554/eLife.82597"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2024-02-14T19:18:24Z</dcterms:created>
  <dcterms:modified xsi:type="dcterms:W3CDTF">2024-02-14T19:18:24Z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