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9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bookmarkEnd w:id="21"/>
    <w:bookmarkStart w:id="22" w:name="keywords"/>
    <w:p>
      <w:pPr>
        <w:pStyle w:val="Heading1"/>
      </w:pPr>
      <w:r>
        <w:t xml:space="preserve">Keywords</w:t>
      </w:r>
    </w:p>
    <w:p>
      <w:r>
        <w:br w:type="page"/>
      </w:r>
    </w:p>
    <w:bookmarkEnd w:id="22"/>
    <w:bookmarkStart w:id="23" w:name="introduction"/>
    <w:p>
      <w:pPr>
        <w:pStyle w:val="Heading1"/>
      </w:pPr>
      <w:r>
        <w:t xml:space="preserve">Introduction</w:t>
      </w:r>
    </w:p>
    <w:p>
      <w:pPr>
        <w:pStyle w:val="FirstParagraph"/>
      </w:pPr>
      <w:r>
        <w:t xml:space="preserve">Idiopathic pulmonary fibrosis (IPF) is a chronic and progressive lung disease with high mortality and limited therapeutic options. IPF affects approximately 150,000 patients in the U.S. with a median survival of 3-5 years</w:t>
      </w:r>
      <w:r>
        <w:t xml:space="preserve"> </w:t>
      </w:r>
      <w:r>
        <w:t xml:space="preserve">(1–3)</w:t>
      </w:r>
      <w:r>
        <w:t xml:space="preserve">. Currently approved pharmacotherapies for IPF are limited to the antifibrotics pirfenidone and nintedanib that slow, but do not stop, disease progression</w:t>
      </w:r>
      <w:r>
        <w:t xml:space="preserve"> </w:t>
      </w:r>
      <w:r>
        <w:t xml:space="preserve">(4, 5)</w:t>
      </w:r>
      <w:r>
        <w:t xml:space="preserve">, leaving lung transplantation as the only option available to eligible patients with progressive disease. The limited efficacy of antifibrotic therapies emphasizes the need for novel therapeutic approaches targeting different features of IPF pathobiology.</w:t>
      </w:r>
    </w:p>
    <w:p>
      <w:pPr>
        <w:pStyle w:val="BodyText"/>
      </w:pPr>
      <w:r>
        <w:t xml:space="preserve">Accumulating evidence suggests that metabolic reprogramming may be one such therapeutic vulnerability in IPF</w:t>
      </w:r>
      <w:r>
        <w:t xml:space="preserve"> </w:t>
      </w:r>
      <w:r>
        <w:t xml:space="preserve">(6, 7)</w:t>
      </w:r>
      <w:r>
        <w:t xml:space="preserve">. Lung fibrosis is driven by the excessive deposition of extracellular matrix by myofibroblasts</w:t>
      </w:r>
      <w:r>
        <w:t xml:space="preserve"> </w:t>
      </w:r>
      <w:r>
        <w:t xml:space="preserve">(3)</w:t>
      </w:r>
      <w:r>
        <w:t xml:space="preserve">. Fundamental changes in myofibroblast metabolism support myofibroblast differentiation and extracellular matrix production</w:t>
      </w:r>
      <w:r>
        <w:t xml:space="preserve"> </w:t>
      </w:r>
      <w:r>
        <w:t xml:space="preserve">(8–12)</w:t>
      </w:r>
      <w:r>
        <w:t xml:space="preserve">. In particular, increased glycolysis and lactate production have been observed in IPF myofibroblasts</w:t>
      </w:r>
      <w:r>
        <w:t xml:space="preserve"> </w:t>
      </w:r>
      <w:r>
        <w:rPr>
          <w:iCs/>
          <w:i/>
        </w:rPr>
        <w:t xml:space="preserve">ex vivo</w:t>
      </w:r>
      <w:r>
        <w:t xml:space="preserve"> </w:t>
      </w:r>
      <w:r>
        <w:t xml:space="preserve">and following TGF-β1 (TGFβ)-induced myofibroblast differentiation</w:t>
      </w:r>
      <w:r>
        <w:t xml:space="preserve"> </w:t>
      </w:r>
      <w:r>
        <w:rPr>
          <w:iCs/>
          <w:i/>
        </w:rPr>
        <w:t xml:space="preserve">in vitro</w:t>
      </w:r>
      <w:r>
        <w:t xml:space="preserve"> </w:t>
      </w:r>
      <w:r>
        <w:t xml:space="preserve">(8, 9, 13, 14)</w:t>
      </w:r>
      <w:r>
        <w:t xml:space="preserve">. These metabolic changes are critical for fibrogenesis, as small molecule inhibitors of glucose uptake, glycolysis, and lactate fermentation prevent myofibroblast differentiation</w:t>
      </w:r>
      <w:r>
        <w:t xml:space="preserve"> </w:t>
      </w:r>
      <w:r>
        <w:rPr>
          <w:iCs/>
          <w:i/>
        </w:rPr>
        <w:t xml:space="preserve">in vitro</w:t>
      </w:r>
      <w:r>
        <w:t xml:space="preserve"> </w:t>
      </w:r>
      <w:r>
        <w:t xml:space="preserve">and attenuate pulmonary fibrosis in animal models</w:t>
      </w:r>
      <w:r>
        <w:t xml:space="preserve"> </w:t>
      </w:r>
      <w:r>
        <w:t xml:space="preserve">(8–10, 13, 15, 16)</w:t>
      </w:r>
      <w:r>
        <w:t xml:space="preserve">. Unfortunately, low target affinities, poor specificity, narrow therapeutic indices, and common genetic resistance have all hampered the translation of these investigational compounds for clinical use</w:t>
      </w:r>
      <w:r>
        <w:t xml:space="preserve"> </w:t>
      </w:r>
      <w:r>
        <w:t xml:space="preserve">(17–19)</w:t>
      </w:r>
      <w:r>
        <w:t xml:space="preserve">. Moreover, the molecular mechanisms by which these metabolic inhibitors attenuate the myofibroblast differentiation transcriptional program remain unclear. In order to leverage metabolic therapies for IPF, more targeted and better characterized drugs must be developed.</w:t>
      </w:r>
    </w:p>
    <w:p>
      <w:pPr>
        <w:pStyle w:val="BodyText"/>
      </w:pPr>
      <w:r>
        <w:t xml:space="preserve">Toward this end, we sought to characterize the effects of a novel metabolic approach - inhibition of lactate transport - on myofibroblast differentiation and experimental pulmonary fibrosis. Lactate must be secreted to sustain glycolysis in myofibroblasts. A family of monocarboxylate transporters (MCT1-4) maintains lactate homeostasis and small molecule inhibitors of these transporters have been under active clinical development for oncologic applications where glycolytic reprogramming also features prominently in disease pathobiology</w:t>
      </w:r>
      <w:r>
        <w:t xml:space="preserve"> </w:t>
      </w:r>
      <w:r>
        <w:t xml:space="preserve">(20, 21)</w:t>
      </w:r>
      <w:r>
        <w:t xml:space="preserve">. Importantly, compared to previously investigated inhibitors of glycolysis, MCT inhibitors exhibit favorable pharmacologic profiles and have successfully translated to human clinic trials</w:t>
      </w:r>
      <w:r>
        <w:t xml:space="preserve"> </w:t>
      </w:r>
      <w:r>
        <w:t xml:space="preserve">(22)</w:t>
      </w:r>
      <w:r>
        <w:t xml:space="preserve">. Before the promise of this therapeutic approach in IPF may be realized, however, the preclinical efficacy and molecular mechanisms-of-action of lactate transport inhibitors must be demonstrated experimentally.</w:t>
      </w:r>
    </w:p>
    <w:p>
      <w:pPr>
        <w:pStyle w:val="BodyText"/>
      </w:pPr>
      <w:r>
        <w:t xml:space="preserve">In this work, we evaluated the contribution of lactate transporters to experimental pulmonary fibrosis. We found increased expression of the lactate transporters MCT1 and MCT4 IPF patient lungs, consistent with increased glycolysis previously observed. Inhibition of these transporters attenuated bleomycin-induced lung fibrosis</w:t>
      </w:r>
      <w:r>
        <w:t xml:space="preserve"> </w:t>
      </w:r>
      <w:r>
        <w:rPr>
          <w:iCs/>
          <w:i/>
        </w:rPr>
        <w:t xml:space="preserve">in vivo</w:t>
      </w:r>
      <w:r>
        <w:t xml:space="preserve"> </w:t>
      </w:r>
      <w:r>
        <w:t xml:space="preserve">and TGFβ-induced myofibroblast differentiation</w:t>
      </w:r>
      <w:r>
        <w:t xml:space="preserve"> </w:t>
      </w:r>
      <w:r>
        <w:rPr>
          <w:iCs/>
          <w:i/>
        </w:rPr>
        <w:t xml:space="preserve">in vitro</w:t>
      </w:r>
      <w:r>
        <w:t xml:space="preserve">, where MCT4 inhibition demonstrated increased therapeutic efficacy.</w:t>
      </w:r>
      <w:r>
        <w:t xml:space="preserve"> </w:t>
      </w:r>
      <w:r>
        <w:rPr>
          <w:iCs/>
          <w:i/>
        </w:rPr>
        <w:t xml:space="preserve">Using stable isotope tracing, high-resolution spatial metabolomics, we find…</w:t>
      </w:r>
      <w:r>
        <w:t xml:space="preserve"> </w:t>
      </w:r>
      <w:r>
        <w:t xml:space="preserve">Based on these findings, we report a novel MCT4 inhibitor suitable for human clinical studies. Together, these data illuminate a novel approach to disrupt the metabolic program fueling the exuberant fibrosis at the core of IPF and provide proof-of-concept to target lactate transporters in the treatment of this deadly disease.</w:t>
      </w:r>
    </w:p>
    <w:bookmarkEnd w:id="23"/>
    <w:bookmarkStart w:id="26" w:name="results"/>
    <w:p>
      <w:pPr>
        <w:pStyle w:val="Heading1"/>
      </w:pPr>
      <w:r>
        <w:t xml:space="preserve">Results</w:t>
      </w:r>
    </w:p>
    <w:bookmarkStart w:id="24" w:name="X83ba18aad6a803b483b6c6162003a85cbc04266"/>
    <w:p>
      <w:pPr>
        <w:pStyle w:val="Heading2"/>
      </w:pPr>
      <w:r>
        <w:t xml:space="preserve">MCT expression increases in human pulmonary fibrosis and experimental models</w:t>
      </w:r>
    </w:p>
    <w:p>
      <w:pPr>
        <w:pStyle w:val="FirstParagraph"/>
      </w:pPr>
      <w:r>
        <w:t xml:space="preserve">Of the four lactate transporters, MCT1 and MCT4 are the most highly expressed in the lung</w:t>
      </w:r>
      <w:r>
        <w:t xml:space="preserve"> </w:t>
      </w:r>
      <w:r>
        <w:t xml:space="preserve">(23)</w:t>
      </w:r>
      <w:r>
        <w:t xml:space="preserve">. Based on this observation, we characterized MCT1 and MCT4 expression in human IPF lung explants obtained at the time of transplantation. Consistent with a pathologic role for MCT1 and MCT4 in IPF, we found significantly increased expression of these proteins in human IPF lung compared to non-fibrotic control samples (</w:t>
      </w:r>
      <w:r>
        <w:rPr>
          <w:bCs/>
          <w:b/>
        </w:rPr>
        <w:t xml:space="preserve">Figure 1A-B</w:t>
      </w:r>
      <w:r>
        <w:t xml:space="preserve">). These findings were recapitulated in experimental pulmonary fibrosis where intratracheal bleomycin increased both MCT1 and MCT4 expression (</w:t>
      </w:r>
      <w:r>
        <w:rPr>
          <w:bCs/>
          <w:b/>
        </w:rPr>
        <w:t xml:space="preserve">Figure 1C-D</w:t>
      </w:r>
      <w:r>
        <w:t xml:space="preserve">).</w:t>
      </w:r>
    </w:p>
    <w:p>
      <w:pPr>
        <w:pStyle w:val="BodyText"/>
      </w:pPr>
      <w:r>
        <w:t xml:space="preserve">A defining feature of IPF is the activation of tissue myofibroblasts, which are characterized by the</w:t>
      </w:r>
      <w:r>
        <w:t xml:space="preserve"> </w:t>
      </w:r>
      <w:r>
        <w:rPr>
          <w:iCs/>
          <w:i/>
        </w:rPr>
        <w:t xml:space="preserve">de novo</w:t>
      </w:r>
      <w:r>
        <w:t xml:space="preserve"> </w:t>
      </w:r>
      <w:r>
        <w:t xml:space="preserve">expression of smooth muscle α-actin (α-SMA); stress fiber formation; and increased migration, contraction, and extracellular matrix production</w:t>
      </w:r>
      <w:r>
        <w:t xml:space="preserve"> </w:t>
      </w:r>
      <w:r>
        <w:t xml:space="preserve">(7, 9, 24)</w:t>
      </w:r>
      <w:r>
        <w:t xml:space="preserve">. TGFβ is the most potent inducer of myofibroblast activation</w:t>
      </w:r>
      <w:r>
        <w:t xml:space="preserve"> </w:t>
      </w:r>
      <w:r>
        <w:rPr>
          <w:iCs/>
          <w:i/>
        </w:rPr>
        <w:t xml:space="preserve">in vitro</w:t>
      </w:r>
      <w:r>
        <w:t xml:space="preserve"> </w:t>
      </w:r>
      <w:r>
        <w:t xml:space="preserve">and</w:t>
      </w:r>
      <w:r>
        <w:t xml:space="preserve"> </w:t>
      </w:r>
      <w:r>
        <w:rPr>
          <w:iCs/>
          <w:i/>
        </w:rPr>
        <w:t xml:space="preserve">in vivo</w:t>
      </w:r>
      <w:r>
        <w:t xml:space="preserve">. TGFβ-dependent α-SMA expression is a well-accepted and widely utilized model of myofibroblast activation relevant to pulmonary fibrosis</w:t>
      </w:r>
      <w:r>
        <w:t xml:space="preserve"> </w:t>
      </w:r>
      <w:r>
        <w:t xml:space="preserve">(10, 25–27)</w:t>
      </w:r>
      <w:r>
        <w:t xml:space="preserve">. Consistent with our findings in human IPF lungs, we observed increased expression of MCT1 and MCT4 in normal human lung fibroblasts following TGFβ treatment (</w:t>
      </w:r>
      <w:r>
        <w:rPr>
          <w:bCs/>
          <w:b/>
        </w:rPr>
        <w:t xml:space="preserve">Figure 1E-F</w:t>
      </w:r>
      <w:r>
        <w:t xml:space="preserve">). These findings are consistent with increased expression of other glycolytic enzymes and the associated metabolic changes that have been previously observed in these cells</w:t>
      </w:r>
      <w:r>
        <w:t xml:space="preserve"> </w:t>
      </w:r>
      <w:r>
        <w:t xml:space="preserve">(9)</w:t>
      </w:r>
      <w:r>
        <w:t xml:space="preserve">. Together, these data demonstrate that pulmonary fibrosis is associated with increased expression of lactate transporters in the lung generally and in myofibroblasts specifically.</w:t>
      </w:r>
    </w:p>
    <w:bookmarkEnd w:id="24"/>
    <w:bookmarkStart w:id="25" w:name="X3da1b06acd91728e935f2a15510d11e8c17fb3f"/>
    <w:p>
      <w:pPr>
        <w:pStyle w:val="Heading2"/>
      </w:pPr>
      <w:r>
        <w:t xml:space="preserve">Lactate transport is essential for myofibroblast differentiation</w:t>
      </w:r>
      <w:r>
        <w:t xml:space="preserve"> </w:t>
      </w:r>
      <w:r>
        <w:rPr>
          <w:iCs/>
          <w:i/>
        </w:rPr>
        <w:t xml:space="preserve">in vitro</w:t>
      </w:r>
    </w:p>
    <w:p>
      <w:pPr>
        <w:pStyle w:val="FirstParagraph"/>
      </w:pPr>
      <w:r>
        <w:t xml:space="preserve">Using RNA interference and pharmacologic approaches, we next tested whether MCT expression and activity were required for myofibroblast differentiation</w:t>
      </w:r>
      <w:r>
        <w:t xml:space="preserve"> </w:t>
      </w:r>
      <w:r>
        <w:rPr>
          <w:iCs/>
          <w:i/>
        </w:rPr>
        <w:t xml:space="preserve">in vitro</w:t>
      </w:r>
      <w:r>
        <w:t xml:space="preserve">. Lung fibroblasts were transfected with siRNA targeting MCT1 and MCT4 separately and together. After 24 h, the cells were treated with TGFβ for 48 h to induce myofibroblast differentiation. The siRNAs reduced lactate transporter protein levels &gt; 80% (</w:t>
      </w:r>
      <w:r>
        <w:rPr>
          <w:bCs/>
          <w:b/>
        </w:rPr>
        <w:t xml:space="preserve">Figure 2A-B</w:t>
      </w:r>
      <w:r>
        <w:t xml:space="preserve">). Decreasing MCT1 or MCT4 expression caused a marked reduction in TGFβ-stimulated α-SMA expression. Notably, siMCT1 also decreased MCT4 expression. Interestingly, the mRNA sequence homology of these transporters is low and the MCT1 siRNA sequences do not match the MCT4 mRNA sequence, perhaps suggesting a post-translational explanation for this phenomenon. No adverse effects of lactate transporter knockdown on cell viability were observed, and siMCT1 significantly increased cell count in both control and TGFβ-treated cells (</w:t>
      </w:r>
      <w:r>
        <w:rPr>
          <w:bCs/>
          <w:b/>
        </w:rPr>
        <w:t xml:space="preserve">Supplemental Figure 2A</w:t>
      </w:r>
      <w:r>
        <w:t xml:space="preserve">).</w:t>
      </w:r>
    </w:p>
    <w:p>
      <w:pPr>
        <w:pStyle w:val="BodyText"/>
      </w:pPr>
      <w:r>
        <w:t xml:space="preserve">Given the reduction of MCT4 expression following siMCT1 treatment, we next evaluated the effects of pharmacologic MCT inhibitors on myofibroblast differentiation. AZD3965 is a high-affinity (</w:t>
      </w:r>
      <w:r>
        <w:rPr>
          <w:iCs/>
          <w:i/>
        </w:rPr>
        <w:t xml:space="preserve">K</w:t>
      </w:r>
      <w:r>
        <w:rPr>
          <w:vertAlign w:val="subscript"/>
          <w:iCs/>
          <w:i/>
        </w:rPr>
        <w:t xml:space="preserve">i</w:t>
      </w:r>
      <w:r>
        <w:t xml:space="preserve"> </w:t>
      </w:r>
      <w:r>
        <w:t xml:space="preserve">1.6 nM) inhibitor of MCT1</w:t>
      </w:r>
      <w:r>
        <w:t xml:space="preserve"> </w:t>
      </w:r>
      <w:r>
        <w:t xml:space="preserve">(28)</w:t>
      </w:r>
      <w:r>
        <w:t xml:space="preserve">. VB124 is a recently developed high-affinity (IC</w:t>
      </w:r>
      <w:r>
        <w:rPr>
          <w:vertAlign w:val="subscript"/>
        </w:rPr>
        <w:t xml:space="preserve">50</w:t>
      </w:r>
      <w:r>
        <w:t xml:space="preserve"> </w:t>
      </w:r>
      <w:r>
        <w:t xml:space="preserve">19 nM) inhibitor of MCT4</w:t>
      </w:r>
      <w:r>
        <w:t xml:space="preserve"> </w:t>
      </w:r>
      <w:r>
        <w:t xml:space="preserve">(21)</w:t>
      </w:r>
      <w:r>
        <w:t xml:space="preserve">. IPF lung fibroblasts were differentiated with TGFβ in the presence of these MCT inhibitors (</w:t>
      </w:r>
      <w:r>
        <w:rPr>
          <w:bCs/>
          <w:b/>
        </w:rPr>
        <w:t xml:space="preserve">Figure 2C-D</w:t>
      </w:r>
      <w:r>
        <w:t xml:space="preserve">). MCT4 inhibition by VB124 alone, or in combination with AZD3965, decreased Col1a1 and α-SMA expression. These effects were also observed in normal lung fibroblasts where AZD3965 as well as VB124, separately or together, decreased α-SMA expression (</w:t>
      </w:r>
      <w:r>
        <w:rPr>
          <w:bCs/>
          <w:b/>
        </w:rPr>
        <w:t xml:space="preserve">Figure 2E-F</w:t>
      </w:r>
      <w:r>
        <w:t xml:space="preserve">). AR-C155858, which is a high-affinity(</w:t>
      </w:r>
      <w:r>
        <w:rPr>
          <w:iCs/>
          <w:i/>
        </w:rPr>
        <w:t xml:space="preserve">K</w:t>
      </w:r>
      <w:r>
        <w:rPr>
          <w:vertAlign w:val="subscript"/>
          <w:iCs/>
          <w:i/>
        </w:rPr>
        <w:t xml:space="preserve">i</w:t>
      </w:r>
      <w:r>
        <w:t xml:space="preserve"> </w:t>
      </w:r>
      <w:r>
        <w:t xml:space="preserve">2 nM) inhibitor of both MCT1 and MCT2</w:t>
      </w:r>
      <w:r>
        <w:t xml:space="preserve"> </w:t>
      </w:r>
      <w:r>
        <w:t xml:space="preserve">(29)</w:t>
      </w:r>
      <w:r>
        <w:t xml:space="preserve">, also decreased α-SMA expression alone and in combination with VB124 (</w:t>
      </w:r>
      <w:r>
        <w:rPr>
          <w:bCs/>
          <w:b/>
        </w:rPr>
        <w:t xml:space="preserve">Supplemental Figure 2B-C</w:t>
      </w:r>
      <w:r>
        <w:t xml:space="preserve">). Pharmacologic MCT inhibition did not affect cell counts over 48 h of treatment (</w:t>
      </w:r>
      <w:r>
        <w:rPr>
          <w:bCs/>
          <w:b/>
        </w:rPr>
        <w:t xml:space="preserve">Supplemental Figure 2D-E</w:t>
      </w:r>
      <w:r>
        <w:t xml:space="preserve">). As anticipated, decreased Col1a1 and α-SMA expression was associated with decreased myofibroblast contractility as assessed by gel contraction assay (</w:t>
      </w:r>
      <w:r>
        <w:rPr>
          <w:bCs/>
          <w:b/>
        </w:rPr>
        <w:t xml:space="preserve">Figure 2G-H</w:t>
      </w:r>
      <w:r>
        <w:t xml:space="preserve">). Together, these data indicate that MCT expression and activity are required for myofibroblast differentiation</w:t>
      </w:r>
      <w:r>
        <w:t xml:space="preserve"> </w:t>
      </w:r>
      <w:r>
        <w:rPr>
          <w:iCs/>
          <w:i/>
        </w:rPr>
        <w:t xml:space="preserve">in vitro</w:t>
      </w:r>
      <w:r>
        <w:t xml:space="preserve">.</w:t>
      </w:r>
    </w:p>
    <w:p>
      <w:r>
        <w:br w:type="page"/>
      </w:r>
    </w:p>
    <w:bookmarkEnd w:id="25"/>
    <w:bookmarkEnd w:id="26"/>
    <w:bookmarkStart w:id="27" w:name="methods"/>
    <w:p>
      <w:pPr>
        <w:pStyle w:val="Heading1"/>
      </w:pPr>
      <w:r>
        <w:t xml:space="preserve">Methods</w:t>
      </w:r>
    </w:p>
    <w:p>
      <w:r>
        <w:br w:type="page"/>
      </w:r>
    </w:p>
    <w:bookmarkEnd w:id="27"/>
    <w:bookmarkStart w:id="28" w:name="acknowledgements"/>
    <w:p>
      <w:pPr>
        <w:pStyle w:val="Heading1"/>
      </w:pPr>
      <w:r>
        <w:t xml:space="preserve">Acknowledgements</w:t>
      </w:r>
    </w:p>
    <w:bookmarkEnd w:id="28"/>
    <w:bookmarkStart w:id="29" w:name="conflicts-of-interest"/>
    <w:p>
      <w:pPr>
        <w:pStyle w:val="Heading1"/>
      </w:pPr>
      <w:r>
        <w:t xml:space="preserve">Conflicts of Interest</w:t>
      </w:r>
    </w:p>
    <w:p>
      <w:r>
        <w:br w:type="page"/>
      </w:r>
    </w:p>
    <w:bookmarkEnd w:id="29"/>
    <w:bookmarkStart w:id="89" w:name="references"/>
    <w:p>
      <w:pPr>
        <w:pStyle w:val="Heading1"/>
      </w:pPr>
      <w:r>
        <w:t xml:space="preserve">References</w:t>
      </w:r>
    </w:p>
    <w:bookmarkStart w:id="88" w:name="refs"/>
    <w:bookmarkStart w:id="31" w:name="ref-esposito2015"/>
    <w:p>
      <w:pPr>
        <w:pStyle w:val="Bibliography"/>
      </w:pPr>
      <w:r>
        <w:t xml:space="preserve">1. Esposito DB et al.</w:t>
      </w:r>
      <w:r>
        <w:t xml:space="preserve"> </w:t>
      </w:r>
      <w:hyperlink r:id="rId30">
        <w:r>
          <w:rPr>
            <w:rStyle w:val="Hyperlink"/>
          </w:rPr>
          <w:t xml:space="preserve">Idiopathic</w:t>
        </w:r>
        <w:r>
          <w:rPr>
            <w:rStyle w:val="Hyperlink"/>
          </w:rPr>
          <w:t xml:space="preserve"> </w:t>
        </w:r>
        <w:r>
          <w:rPr>
            <w:rStyle w:val="Hyperlink"/>
          </w:rPr>
          <w:t xml:space="preserve">Pulmonary Fibrosis</w:t>
        </w:r>
        <w:r>
          <w:rPr>
            <w:rStyle w:val="Hyperlink"/>
          </w:rPr>
          <w:t xml:space="preserve"> </w:t>
        </w:r>
        <w:r>
          <w:rPr>
            <w:rStyle w:val="Hyperlink"/>
          </w:rPr>
          <w:t xml:space="preserve">in</w:t>
        </w:r>
        <w:r>
          <w:rPr>
            <w:rStyle w:val="Hyperlink"/>
          </w:rPr>
          <w:t xml:space="preserve"> </w:t>
        </w:r>
        <w:r>
          <w:rPr>
            <w:rStyle w:val="Hyperlink"/>
          </w:rPr>
          <w:t xml:space="preserve">United States Automated Claims</w:t>
        </w:r>
        <w:r>
          <w:rPr>
            <w:rStyle w:val="Hyperlink"/>
          </w:rPr>
          <w:t xml:space="preserve">.</w:t>
        </w:r>
        <w:r>
          <w:rPr>
            <w:rStyle w:val="Hyperlink"/>
          </w:rPr>
          <w:t xml:space="preserve"> </w:t>
        </w:r>
        <w:r>
          <w:rPr>
            <w:rStyle w:val="Hyperlink"/>
          </w:rPr>
          <w:t xml:space="preserve">Incidence</w:t>
        </w:r>
        <w:r>
          <w:rPr>
            <w:rStyle w:val="Hyperlink"/>
          </w:rPr>
          <w:t xml:space="preserve">,</w:t>
        </w:r>
        <w:r>
          <w:rPr>
            <w:rStyle w:val="Hyperlink"/>
          </w:rPr>
          <w:t xml:space="preserve"> </w:t>
        </w:r>
        <w:r>
          <w:rPr>
            <w:rStyle w:val="Hyperlink"/>
          </w:rPr>
          <w:t xml:space="preserve">Prevalence</w:t>
        </w:r>
        <w:r>
          <w:rPr>
            <w:rStyle w:val="Hyperlink"/>
          </w:rPr>
          <w:t xml:space="preserve">, and</w:t>
        </w:r>
        <w:r>
          <w:rPr>
            <w:rStyle w:val="Hyperlink"/>
          </w:rPr>
          <w:t xml:space="preserve"> </w:t>
        </w:r>
        <w:r>
          <w:rPr>
            <w:rStyle w:val="Hyperlink"/>
          </w:rPr>
          <w:t xml:space="preserve">Algorithm Validation</w:t>
        </w:r>
      </w:hyperlink>
      <w:r>
        <w:t xml:space="preserve">.</w:t>
      </w:r>
      <w:r>
        <w:t xml:space="preserve"> </w:t>
      </w:r>
      <w:r>
        <w:rPr>
          <w:iCs/>
          <w:i/>
        </w:rPr>
        <w:t xml:space="preserve">Am J Respir Crit Care Med</w:t>
      </w:r>
      <w:r>
        <w:t xml:space="preserve"> </w:t>
      </w:r>
      <w:r>
        <w:t xml:space="preserve">2015;192(10):1200–1207.</w:t>
      </w:r>
    </w:p>
    <w:bookmarkEnd w:id="31"/>
    <w:bookmarkStart w:id="33" w:name="ref-raghu2016"/>
    <w:p>
      <w:pPr>
        <w:pStyle w:val="Bibliography"/>
      </w:pPr>
      <w:r>
        <w:t xml:space="preserve">2. Raghu G, Chen S-Y, Hou Q, Yeh W-S, Collard HR.</w:t>
      </w:r>
      <w:r>
        <w:t xml:space="preserve"> </w:t>
      </w:r>
      <w:hyperlink r:id="rId32">
        <w:r>
          <w:rPr>
            <w:rStyle w:val="Hyperlink"/>
          </w:rPr>
          <w:t xml:space="preserve">Incidence and prevalence of idiopathic pulmonary fibrosis in</w:t>
        </w:r>
        <w:r>
          <w:rPr>
            <w:rStyle w:val="Hyperlink"/>
          </w:rPr>
          <w:t xml:space="preserve"> </w:t>
        </w:r>
        <w:r>
          <w:rPr>
            <w:rStyle w:val="Hyperlink"/>
          </w:rPr>
          <w:t xml:space="preserve">US</w:t>
        </w:r>
        <w:r>
          <w:rPr>
            <w:rStyle w:val="Hyperlink"/>
          </w:rPr>
          <w:t xml:space="preserve"> </w:t>
        </w:r>
        <w:r>
          <w:rPr>
            <w:rStyle w:val="Hyperlink"/>
          </w:rPr>
          <w:t xml:space="preserve">adults 18-64</w:t>
        </w:r>
        <w:r>
          <w:rPr>
            <w:rStyle w:val="Hyperlink"/>
          </w:rPr>
          <w:t xml:space="preserve">years old</w:t>
        </w:r>
      </w:hyperlink>
      <w:r>
        <w:t xml:space="preserve">.</w:t>
      </w:r>
      <w:r>
        <w:t xml:space="preserve"> </w:t>
      </w:r>
      <w:r>
        <w:rPr>
          <w:iCs/>
          <w:i/>
        </w:rPr>
        <w:t xml:space="preserve">Eur Respir J</w:t>
      </w:r>
      <w:r>
        <w:t xml:space="preserve"> </w:t>
      </w:r>
      <w:r>
        <w:t xml:space="preserve">2016;48(1):179–186.</w:t>
      </w:r>
    </w:p>
    <w:bookmarkEnd w:id="33"/>
    <w:bookmarkStart w:id="35" w:name="ref-martinez2017"/>
    <w:p>
      <w:pPr>
        <w:pStyle w:val="Bibliography"/>
      </w:pPr>
      <w:r>
        <w:t xml:space="preserve">3. Martinez FJ et al.</w:t>
      </w:r>
      <w:r>
        <w:t xml:space="preserve"> </w:t>
      </w:r>
      <w:hyperlink r:id="rId34">
        <w:r>
          <w:rPr>
            <w:rStyle w:val="Hyperlink"/>
          </w:rPr>
          <w:t xml:space="preserve">Idiopathic pulmonary fibrosis</w:t>
        </w:r>
      </w:hyperlink>
      <w:r>
        <w:t xml:space="preserve">.</w:t>
      </w:r>
      <w:r>
        <w:t xml:space="preserve"> </w:t>
      </w:r>
      <w:r>
        <w:rPr>
          <w:iCs/>
          <w:i/>
        </w:rPr>
        <w:t xml:space="preserve">Nat Rev Dis Primers</w:t>
      </w:r>
      <w:r>
        <w:t xml:space="preserve"> </w:t>
      </w:r>
      <w:r>
        <w:t xml:space="preserve">2017;3:17074.</w:t>
      </w:r>
    </w:p>
    <w:bookmarkEnd w:id="35"/>
    <w:bookmarkStart w:id="37" w:name="ref-king2014"/>
    <w:p>
      <w:pPr>
        <w:pStyle w:val="Bibliography"/>
      </w:pPr>
      <w:r>
        <w:t xml:space="preserve">4. King TE et al.</w:t>
      </w:r>
      <w:r>
        <w:t xml:space="preserve"> </w:t>
      </w:r>
      <w:hyperlink r:id="rId36">
        <w:r>
          <w:rPr>
            <w:rStyle w:val="Hyperlink"/>
          </w:rPr>
          <w:t xml:space="preserve">A phase 3 trial of pirfenidone in patients with idiopathic pulmonary fibrosis</w:t>
        </w:r>
      </w:hyperlink>
      <w:r>
        <w:t xml:space="preserve">.</w:t>
      </w:r>
      <w:r>
        <w:t xml:space="preserve"> </w:t>
      </w:r>
      <w:r>
        <w:rPr>
          <w:iCs/>
          <w:i/>
        </w:rPr>
        <w:t xml:space="preserve">N Engl J Med</w:t>
      </w:r>
      <w:r>
        <w:t xml:space="preserve"> </w:t>
      </w:r>
      <w:r>
        <w:t xml:space="preserve">2014;370(22):2083–2092.</w:t>
      </w:r>
    </w:p>
    <w:bookmarkEnd w:id="37"/>
    <w:bookmarkStart w:id="39" w:name="ref-richeldi2014"/>
    <w:p>
      <w:pPr>
        <w:pStyle w:val="Bibliography"/>
      </w:pPr>
      <w:r>
        <w:t xml:space="preserve">5. Richeldi L et al.</w:t>
      </w:r>
      <w:r>
        <w:t xml:space="preserve"> </w:t>
      </w:r>
      <w:hyperlink r:id="rId38">
        <w:r>
          <w:rPr>
            <w:rStyle w:val="Hyperlink"/>
          </w:rPr>
          <w:t xml:space="preserve">Efficacy and safety of nintedanib in idiopathic pulmonary fibrosis</w:t>
        </w:r>
      </w:hyperlink>
      <w:r>
        <w:t xml:space="preserve">.</w:t>
      </w:r>
      <w:r>
        <w:t xml:space="preserve"> </w:t>
      </w:r>
      <w:r>
        <w:rPr>
          <w:iCs/>
          <w:i/>
        </w:rPr>
        <w:t xml:space="preserve">N Engl J Med</w:t>
      </w:r>
      <w:r>
        <w:t xml:space="preserve"> </w:t>
      </w:r>
      <w:r>
        <w:t xml:space="preserve">2014;370(22):2071–2082.</w:t>
      </w:r>
    </w:p>
    <w:bookmarkEnd w:id="39"/>
    <w:bookmarkStart w:id="41" w:name="ref-bueno2020"/>
    <w:p>
      <w:pPr>
        <w:pStyle w:val="Bibliography"/>
      </w:pPr>
      <w:r>
        <w:t xml:space="preserve">6. Bueno M, Calyeca J, Rojas M, Mora AL.</w:t>
      </w:r>
      <w:r>
        <w:t xml:space="preserve"> </w:t>
      </w:r>
      <w:hyperlink r:id="rId40">
        <w:r>
          <w:rPr>
            <w:rStyle w:val="Hyperlink"/>
          </w:rPr>
          <w:t xml:space="preserve">Mitochondria dysfunction and metabolic reprogramming as drivers of idiopathic pulmonary fibrosis</w:t>
        </w:r>
      </w:hyperlink>
      <w:r>
        <w:t xml:space="preserve">.</w:t>
      </w:r>
      <w:r>
        <w:t xml:space="preserve"> </w:t>
      </w:r>
      <w:r>
        <w:rPr>
          <w:iCs/>
          <w:i/>
        </w:rPr>
        <w:t xml:space="preserve">Redox Biol</w:t>
      </w:r>
      <w:r>
        <w:t xml:space="preserve"> </w:t>
      </w:r>
      <w:r>
        <w:t xml:space="preserve">2020;33:101509.</w:t>
      </w:r>
    </w:p>
    <w:bookmarkEnd w:id="41"/>
    <w:bookmarkStart w:id="43" w:name="ref-selvarajah2021"/>
    <w:p>
      <w:pPr>
        <w:pStyle w:val="Bibliography"/>
      </w:pPr>
      <w:r>
        <w:t xml:space="preserve">7. Selvarajah B, Azuelos I, Anastasiou D, Chambers RC.</w:t>
      </w:r>
      <w:r>
        <w:t xml:space="preserve"> </w:t>
      </w:r>
      <w:hyperlink r:id="rId42">
        <w:r>
          <w:rPr>
            <w:rStyle w:val="Hyperlink"/>
          </w:rPr>
          <w:t xml:space="preserve">Fibrometabolism-</w:t>
        </w:r>
        <w:r>
          <w:rPr>
            <w:rStyle w:val="Hyperlink"/>
          </w:rPr>
          <w:t xml:space="preserve">An</w:t>
        </w:r>
        <w:r>
          <w:rPr>
            <w:rStyle w:val="Hyperlink"/>
          </w:rPr>
          <w:t xml:space="preserve"> </w:t>
        </w:r>
        <w:r>
          <w:rPr>
            <w:rStyle w:val="Hyperlink"/>
          </w:rPr>
          <w:t xml:space="preserve">emerging therapeutic frontier in pulmonary fibrosis</w:t>
        </w:r>
      </w:hyperlink>
      <w:r>
        <w:t xml:space="preserve">.</w:t>
      </w:r>
      <w:r>
        <w:t xml:space="preserve"> </w:t>
      </w:r>
      <w:r>
        <w:rPr>
          <w:iCs/>
          <w:i/>
        </w:rPr>
        <w:t xml:space="preserve">Sci Signal</w:t>
      </w:r>
      <w:r>
        <w:t xml:space="preserve"> </w:t>
      </w:r>
      <w:r>
        <w:t xml:space="preserve">2021;14(697):eaay1027.</w:t>
      </w:r>
    </w:p>
    <w:bookmarkEnd w:id="43"/>
    <w:bookmarkStart w:id="45" w:name="ref-bernard2015"/>
    <w:p>
      <w:pPr>
        <w:pStyle w:val="Bibliography"/>
      </w:pPr>
      <w:r>
        <w:t xml:space="preserve">8. Bernard K et al.</w:t>
      </w:r>
      <w:r>
        <w:t xml:space="preserve"> </w:t>
      </w:r>
      <w:hyperlink r:id="rId44">
        <w:r>
          <w:rPr>
            <w:rStyle w:val="Hyperlink"/>
          </w:rPr>
          <w:t xml:space="preserve">Metabolic</w:t>
        </w:r>
        <w:r>
          <w:rPr>
            <w:rStyle w:val="Hyperlink"/>
          </w:rPr>
          <w:t xml:space="preserve"> </w:t>
        </w:r>
        <w:r>
          <w:rPr>
            <w:rStyle w:val="Hyperlink"/>
          </w:rPr>
          <w:t xml:space="preserve">Reprogramming Is Required</w:t>
        </w:r>
        <w:r>
          <w:rPr>
            <w:rStyle w:val="Hyperlink"/>
          </w:rPr>
          <w:t xml:space="preserve"> </w:t>
        </w:r>
        <w:r>
          <w:rPr>
            <w:rStyle w:val="Hyperlink"/>
          </w:rPr>
          <w:t xml:space="preserve">for</w:t>
        </w:r>
        <w:r>
          <w:rPr>
            <w:rStyle w:val="Hyperlink"/>
          </w:rPr>
          <w:t xml:space="preserve"> </w:t>
        </w:r>
        <w:r>
          <w:rPr>
            <w:rStyle w:val="Hyperlink"/>
          </w:rPr>
          <w:t xml:space="preserve">Myofibroblast Contractility</w:t>
        </w:r>
        <w:r>
          <w:rPr>
            <w:rStyle w:val="Hyperlink"/>
          </w:rPr>
          <w:t xml:space="preserve"> </w:t>
        </w:r>
        <w:r>
          <w:rPr>
            <w:rStyle w:val="Hyperlink"/>
          </w:rPr>
          <w:t xml:space="preserve">and</w:t>
        </w:r>
        <w:r>
          <w:rPr>
            <w:rStyle w:val="Hyperlink"/>
          </w:rPr>
          <w:t xml:space="preserve"> </w:t>
        </w:r>
        <w:r>
          <w:rPr>
            <w:rStyle w:val="Hyperlink"/>
          </w:rPr>
          <w:t xml:space="preserve">Differentiation</w:t>
        </w:r>
      </w:hyperlink>
      <w:r>
        <w:t xml:space="preserve">.</w:t>
      </w:r>
      <w:r>
        <w:t xml:space="preserve"> </w:t>
      </w:r>
      <w:r>
        <w:rPr>
          <w:iCs/>
          <w:i/>
        </w:rPr>
        <w:t xml:space="preserve">J Biol Chem</w:t>
      </w:r>
      <w:r>
        <w:t xml:space="preserve"> </w:t>
      </w:r>
      <w:r>
        <w:t xml:space="preserve">2015;290(42):25427–25438.</w:t>
      </w:r>
    </w:p>
    <w:bookmarkEnd w:id="45"/>
    <w:bookmarkStart w:id="47" w:name="ref-xie2015"/>
    <w:p>
      <w:pPr>
        <w:pStyle w:val="Bibliography"/>
      </w:pPr>
      <w:r>
        <w:t xml:space="preserve">9. Xie N et al.</w:t>
      </w:r>
      <w:r>
        <w:t xml:space="preserve"> </w:t>
      </w:r>
      <w:hyperlink r:id="rId46">
        <w:r>
          <w:rPr>
            <w:rStyle w:val="Hyperlink"/>
          </w:rPr>
          <w:t xml:space="preserve">Glycolytic</w:t>
        </w:r>
        <w:r>
          <w:rPr>
            <w:rStyle w:val="Hyperlink"/>
          </w:rPr>
          <w:t xml:space="preserve"> </w:t>
        </w:r>
        <w:r>
          <w:rPr>
            <w:rStyle w:val="Hyperlink"/>
          </w:rPr>
          <w:t xml:space="preserve">Reprogramming</w:t>
        </w:r>
        <w:r>
          <w:rPr>
            <w:rStyle w:val="Hyperlink"/>
          </w:rPr>
          <w:t xml:space="preserve"> </w:t>
        </w:r>
        <w:r>
          <w:rPr>
            <w:rStyle w:val="Hyperlink"/>
          </w:rPr>
          <w:t xml:space="preserve">in</w:t>
        </w:r>
        <w:r>
          <w:rPr>
            <w:rStyle w:val="Hyperlink"/>
          </w:rPr>
          <w:t xml:space="preserve"> </w:t>
        </w:r>
        <w:r>
          <w:rPr>
            <w:rStyle w:val="Hyperlink"/>
          </w:rPr>
          <w:t xml:space="preserve">Myofibroblast Differentiation</w:t>
        </w:r>
        <w:r>
          <w:rPr>
            <w:rStyle w:val="Hyperlink"/>
          </w:rPr>
          <w:t xml:space="preserve"> </w:t>
        </w:r>
        <w:r>
          <w:rPr>
            <w:rStyle w:val="Hyperlink"/>
          </w:rPr>
          <w:t xml:space="preserve">and</w:t>
        </w:r>
        <w:r>
          <w:rPr>
            <w:rStyle w:val="Hyperlink"/>
          </w:rPr>
          <w:t xml:space="preserve"> </w:t>
        </w:r>
        <w:r>
          <w:rPr>
            <w:rStyle w:val="Hyperlink"/>
          </w:rPr>
          <w:t xml:space="preserve">Lung Fibrosis</w:t>
        </w:r>
      </w:hyperlink>
      <w:r>
        <w:t xml:space="preserve">.</w:t>
      </w:r>
      <w:r>
        <w:t xml:space="preserve"> </w:t>
      </w:r>
      <w:r>
        <w:rPr>
          <w:iCs/>
          <w:i/>
        </w:rPr>
        <w:t xml:space="preserve">Am J Respir Crit Care Med</w:t>
      </w:r>
      <w:r>
        <w:t xml:space="preserve"> </w:t>
      </w:r>
      <w:r>
        <w:t xml:space="preserve">2015;192(12):1462–1474.</w:t>
      </w:r>
    </w:p>
    <w:bookmarkEnd w:id="47"/>
    <w:bookmarkStart w:id="49" w:name="ref-goodwin2018"/>
    <w:p>
      <w:pPr>
        <w:pStyle w:val="Bibliography"/>
      </w:pPr>
      <w:r>
        <w:t xml:space="preserve">10. Goodwin J et al.</w:t>
      </w:r>
      <w:r>
        <w:t xml:space="preserve"> </w:t>
      </w:r>
      <w:hyperlink r:id="rId48">
        <w:r>
          <w:rPr>
            <w:rStyle w:val="Hyperlink"/>
          </w:rPr>
          <w:t xml:space="preserve">Targeting</w:t>
        </w:r>
        <w:r>
          <w:rPr>
            <w:rStyle w:val="Hyperlink"/>
          </w:rPr>
          <w:t xml:space="preserve"> </w:t>
        </w:r>
        <w:r>
          <w:rPr>
            <w:rStyle w:val="Hyperlink"/>
          </w:rPr>
          <w:t xml:space="preserve">Hypoxia-Inducible Factor-1α</w:t>
        </w:r>
        <w:r>
          <w:rPr>
            <w:rStyle w:val="Hyperlink"/>
          </w:rPr>
          <w:t xml:space="preserve">/</w:t>
        </w:r>
        <w:r>
          <w:rPr>
            <w:rStyle w:val="Hyperlink"/>
          </w:rPr>
          <w:t xml:space="preserve">Pyruvate Dehydrogenase Kinase</w:t>
        </w:r>
        <w:r>
          <w:rPr>
            <w:rStyle w:val="Hyperlink"/>
          </w:rPr>
          <w:t xml:space="preserve"> </w:t>
        </w:r>
        <w:r>
          <w:rPr>
            <w:rStyle w:val="Hyperlink"/>
          </w:rPr>
          <w:t xml:space="preserve">1</w:t>
        </w:r>
        <w:r>
          <w:rPr>
            <w:rStyle w:val="Hyperlink"/>
          </w:rPr>
          <w:t xml:space="preserve"> </w:t>
        </w:r>
        <w:r>
          <w:rPr>
            <w:rStyle w:val="Hyperlink"/>
          </w:rPr>
          <w:t xml:space="preserve">Axis</w:t>
        </w:r>
        <w:r>
          <w:rPr>
            <w:rStyle w:val="Hyperlink"/>
          </w:rPr>
          <w:t xml:space="preserve"> </w:t>
        </w:r>
        <w:r>
          <w:rPr>
            <w:rStyle w:val="Hyperlink"/>
          </w:rPr>
          <w:t xml:space="preserve">by</w:t>
        </w:r>
        <w:r>
          <w:rPr>
            <w:rStyle w:val="Hyperlink"/>
          </w:rPr>
          <w:t xml:space="preserve"> </w:t>
        </w:r>
        <w:r>
          <w:rPr>
            <w:rStyle w:val="Hyperlink"/>
          </w:rPr>
          <w:t xml:space="preserve">Dichloroacetate Suppresses Bleomycin-induced Pulmonary Fibrosis</w:t>
        </w:r>
      </w:hyperlink>
      <w:r>
        <w:t xml:space="preserve">.</w:t>
      </w:r>
      <w:r>
        <w:t xml:space="preserve"> </w:t>
      </w:r>
      <w:r>
        <w:rPr>
          <w:iCs/>
          <w:i/>
        </w:rPr>
        <w:t xml:space="preserve">Am J Respir Cell Mol Biol</w:t>
      </w:r>
      <w:r>
        <w:t xml:space="preserve"> </w:t>
      </w:r>
      <w:r>
        <w:t xml:space="preserve">2018;58(2):216–231.</w:t>
      </w:r>
    </w:p>
    <w:bookmarkEnd w:id="49"/>
    <w:bookmarkStart w:id="51" w:name="ref-hamanaka2019"/>
    <w:p>
      <w:pPr>
        <w:pStyle w:val="Bibliography"/>
      </w:pPr>
      <w:r>
        <w:t xml:space="preserve">11. Hamanaka RB et al.</w:t>
      </w:r>
      <w:r>
        <w:t xml:space="preserve"> </w:t>
      </w:r>
      <w:hyperlink r:id="rId50">
        <w:r>
          <w:rPr>
            <w:rStyle w:val="Hyperlink"/>
          </w:rPr>
          <w:t xml:space="preserve">Glutamine</w:t>
        </w:r>
        <w:r>
          <w:rPr>
            <w:rStyle w:val="Hyperlink"/>
          </w:rPr>
          <w:t xml:space="preserve"> </w:t>
        </w:r>
        <w:r>
          <w:rPr>
            <w:rStyle w:val="Hyperlink"/>
          </w:rPr>
          <w:t xml:space="preserve">Metabolism Is Required</w:t>
        </w:r>
        <w:r>
          <w:rPr>
            <w:rStyle w:val="Hyperlink"/>
          </w:rPr>
          <w:t xml:space="preserve"> </w:t>
        </w:r>
        <w:r>
          <w:rPr>
            <w:rStyle w:val="Hyperlink"/>
          </w:rPr>
          <w:t xml:space="preserve">for</w:t>
        </w:r>
        <w:r>
          <w:rPr>
            <w:rStyle w:val="Hyperlink"/>
          </w:rPr>
          <w:t xml:space="preserve"> </w:t>
        </w:r>
        <w:r>
          <w:rPr>
            <w:rStyle w:val="Hyperlink"/>
          </w:rPr>
          <w:t xml:space="preserve">Collagen Protein Synthesis</w:t>
        </w:r>
        <w:r>
          <w:rPr>
            <w:rStyle w:val="Hyperlink"/>
          </w:rPr>
          <w:t xml:space="preserve"> </w:t>
        </w:r>
        <w:r>
          <w:rPr>
            <w:rStyle w:val="Hyperlink"/>
          </w:rPr>
          <w:t xml:space="preserve">in</w:t>
        </w:r>
        <w:r>
          <w:rPr>
            <w:rStyle w:val="Hyperlink"/>
          </w:rPr>
          <w:t xml:space="preserve"> </w:t>
        </w:r>
        <w:r>
          <w:rPr>
            <w:rStyle w:val="Hyperlink"/>
          </w:rPr>
          <w:t xml:space="preserve">Lung Fibroblasts</w:t>
        </w:r>
      </w:hyperlink>
      <w:r>
        <w:t xml:space="preserve">.</w:t>
      </w:r>
      <w:r>
        <w:t xml:space="preserve"> </w:t>
      </w:r>
      <w:r>
        <w:rPr>
          <w:iCs/>
          <w:i/>
        </w:rPr>
        <w:t xml:space="preserve">Am J Respir Cell Mol Biol</w:t>
      </w:r>
      <w:r>
        <w:t xml:space="preserve"> </w:t>
      </w:r>
      <w:r>
        <w:t xml:space="preserve">2019;61(5):597–606.</w:t>
      </w:r>
    </w:p>
    <w:bookmarkEnd w:id="51"/>
    <w:bookmarkStart w:id="53" w:name="ref-selvarajah2019"/>
    <w:p>
      <w:pPr>
        <w:pStyle w:val="Bibliography"/>
      </w:pPr>
      <w:r>
        <w:t xml:space="preserve">12. Selvarajah B et al.</w:t>
      </w:r>
      <w:r>
        <w:t xml:space="preserve"> </w:t>
      </w:r>
      <w:hyperlink r:id="rId52">
        <w:r>
          <w:rPr>
            <w:rStyle w:val="Hyperlink"/>
          </w:rPr>
          <w:t xml:space="preserve">mTORC1</w:t>
        </w:r>
        <w:r>
          <w:rPr>
            <w:rStyle w:val="Hyperlink"/>
          </w:rPr>
          <w:t xml:space="preserve"> </w:t>
        </w:r>
        <w:r>
          <w:rPr>
            <w:rStyle w:val="Hyperlink"/>
          </w:rPr>
          <w:t xml:space="preserve">amplifies the</w:t>
        </w:r>
        <w:r>
          <w:rPr>
            <w:rStyle w:val="Hyperlink"/>
          </w:rPr>
          <w:t xml:space="preserve"> </w:t>
        </w:r>
        <w:r>
          <w:rPr>
            <w:rStyle w:val="Hyperlink"/>
          </w:rPr>
          <w:t xml:space="preserve">ATF4-dependent</w:t>
        </w:r>
        <w:r>
          <w:rPr>
            <w:rStyle w:val="Hyperlink"/>
          </w:rPr>
          <w:t xml:space="preserve"> </w:t>
        </w:r>
        <w:r>
          <w:rPr>
            <w:rStyle w:val="Hyperlink"/>
          </w:rPr>
          <w:t xml:space="preserve">de novo serine-glycine pathway to supply glycine during</w:t>
        </w:r>
        <w:r>
          <w:rPr>
            <w:rStyle w:val="Hyperlink"/>
          </w:rPr>
          <w:t xml:space="preserve"> </w:t>
        </w:r>
        <w:r>
          <w:rPr>
            <w:rStyle w:val="Hyperlink"/>
          </w:rPr>
          <w:t xml:space="preserve">TGF-β1-induced</w:t>
        </w:r>
        <w:r>
          <w:rPr>
            <w:rStyle w:val="Hyperlink"/>
          </w:rPr>
          <w:t xml:space="preserve"> </w:t>
        </w:r>
        <w:r>
          <w:rPr>
            <w:rStyle w:val="Hyperlink"/>
          </w:rPr>
          <w:t xml:space="preserve">collagen biosynthesis</w:t>
        </w:r>
      </w:hyperlink>
      <w:r>
        <w:t xml:space="preserve">.</w:t>
      </w:r>
      <w:r>
        <w:t xml:space="preserve"> </w:t>
      </w:r>
      <w:r>
        <w:rPr>
          <w:iCs/>
          <w:i/>
        </w:rPr>
        <w:t xml:space="preserve">Sci Signal</w:t>
      </w:r>
      <w:r>
        <w:t xml:space="preserve"> </w:t>
      </w:r>
      <w:r>
        <w:t xml:space="preserve">2019;12(582):eaav3048.</w:t>
      </w:r>
    </w:p>
    <w:bookmarkEnd w:id="53"/>
    <w:bookmarkStart w:id="55" w:name="ref-kottmann2012"/>
    <w:p>
      <w:pPr>
        <w:pStyle w:val="Bibliography"/>
      </w:pPr>
      <w:r>
        <w:t xml:space="preserve">13. Kottmann RM et al.</w:t>
      </w:r>
      <w:r>
        <w:t xml:space="preserve"> </w:t>
      </w:r>
      <w:hyperlink r:id="rId54">
        <w:r>
          <w:rPr>
            <w:rStyle w:val="Hyperlink"/>
          </w:rPr>
          <w:t xml:space="preserve">Lactic acid is elevated in idiopathic pulmonary fibrosis and induces myofibroblast differentiation via</w:t>
        </w:r>
        <w:r>
          <w:rPr>
            <w:rStyle w:val="Hyperlink"/>
          </w:rPr>
          <w:t xml:space="preserve"> </w:t>
        </w:r>
        <w:r>
          <w:rPr>
            <w:rStyle w:val="Hyperlink"/>
          </w:rPr>
          <w:t xml:space="preserve">pH-dependent</w:t>
        </w:r>
        <w:r>
          <w:rPr>
            <w:rStyle w:val="Hyperlink"/>
          </w:rPr>
          <w:t xml:space="preserve"> </w:t>
        </w:r>
        <w:r>
          <w:rPr>
            <w:rStyle w:val="Hyperlink"/>
          </w:rPr>
          <w:t xml:space="preserve">activation of transforming growth factor-β</w:t>
        </w:r>
      </w:hyperlink>
      <w:r>
        <w:t xml:space="preserve">.</w:t>
      </w:r>
      <w:r>
        <w:t xml:space="preserve"> </w:t>
      </w:r>
      <w:r>
        <w:rPr>
          <w:iCs/>
          <w:i/>
        </w:rPr>
        <w:t xml:space="preserve">Am J Respir Crit Care Med</w:t>
      </w:r>
      <w:r>
        <w:t xml:space="preserve"> </w:t>
      </w:r>
      <w:r>
        <w:t xml:space="preserve">2012;186(8):740–751.</w:t>
      </w:r>
    </w:p>
    <w:bookmarkEnd w:id="55"/>
    <w:bookmarkStart w:id="57" w:name="ref-kottmann2015"/>
    <w:p>
      <w:pPr>
        <w:pStyle w:val="Bibliography"/>
      </w:pPr>
      <w:r>
        <w:t xml:space="preserve">14. Kottmann RM et al.</w:t>
      </w:r>
      <w:r>
        <w:t xml:space="preserve"> </w:t>
      </w:r>
      <w:hyperlink r:id="rId56">
        <w:r>
          <w:rPr>
            <w:rStyle w:val="Hyperlink"/>
          </w:rPr>
          <w:t xml:space="preserve">Pharmacologic inhibition of lactate production prevents myofibroblast differentiation</w:t>
        </w:r>
      </w:hyperlink>
      <w:r>
        <w:t xml:space="preserve">.</w:t>
      </w:r>
      <w:r>
        <w:t xml:space="preserve"> </w:t>
      </w:r>
      <w:r>
        <w:rPr>
          <w:iCs/>
          <w:i/>
        </w:rPr>
        <w:t xml:space="preserve">Am J Physiol Lung Cell Mol Physiol</w:t>
      </w:r>
      <w:r>
        <w:t xml:space="preserve"> </w:t>
      </w:r>
      <w:r>
        <w:t xml:space="preserve">2015;309(11):L1305–1312.</w:t>
      </w:r>
    </w:p>
    <w:bookmarkEnd w:id="57"/>
    <w:bookmarkStart w:id="59" w:name="ref-judge2018"/>
    <w:p>
      <w:pPr>
        <w:pStyle w:val="Bibliography"/>
      </w:pPr>
      <w:r>
        <w:t xml:space="preserve">15. Judge JL et al.</w:t>
      </w:r>
      <w:r>
        <w:t xml:space="preserve"> </w:t>
      </w:r>
      <w:hyperlink r:id="rId58">
        <w:r>
          <w:rPr>
            <w:rStyle w:val="Hyperlink"/>
          </w:rPr>
          <w:t xml:space="preserve">Prevention and treatment of bleomycin-induced pulmonary fibrosis with the lactate dehydrogenase inhibitor gossypol</w:t>
        </w:r>
      </w:hyperlink>
      <w:r>
        <w:t xml:space="preserve">.</w:t>
      </w:r>
      <w:r>
        <w:t xml:space="preserve"> </w:t>
      </w:r>
      <w:r>
        <w:rPr>
          <w:iCs/>
          <w:i/>
        </w:rPr>
        <w:t xml:space="preserve">PLoS One</w:t>
      </w:r>
      <w:r>
        <w:t xml:space="preserve"> </w:t>
      </w:r>
      <w:r>
        <w:t xml:space="preserve">2018;13(5):e0197936.</w:t>
      </w:r>
    </w:p>
    <w:bookmarkEnd w:id="59"/>
    <w:bookmarkStart w:id="61" w:name="ref-cho2017"/>
    <w:p>
      <w:pPr>
        <w:pStyle w:val="Bibliography"/>
      </w:pPr>
      <w:r>
        <w:t xml:space="preserve">16. Cho SJ, Moon J-S, Lee C-M, Choi AMK, Stout-Delgado HW.</w:t>
      </w:r>
      <w:r>
        <w:t xml:space="preserve"> </w:t>
      </w:r>
      <w:hyperlink r:id="rId60">
        <w:r>
          <w:rPr>
            <w:rStyle w:val="Hyperlink"/>
          </w:rPr>
          <w:t xml:space="preserve">Glucose</w:t>
        </w:r>
        <w:r>
          <w:rPr>
            <w:rStyle w:val="Hyperlink"/>
          </w:rPr>
          <w:t xml:space="preserve"> </w:t>
        </w:r>
        <w:r>
          <w:rPr>
            <w:rStyle w:val="Hyperlink"/>
          </w:rPr>
          <w:t xml:space="preserve">Transporter</w:t>
        </w:r>
        <w:r>
          <w:rPr>
            <w:rStyle w:val="Hyperlink"/>
          </w:rPr>
          <w:t xml:space="preserve"> </w:t>
        </w:r>
        <w:r>
          <w:rPr>
            <w:rStyle w:val="Hyperlink"/>
          </w:rPr>
          <w:t xml:space="preserve">1-</w:t>
        </w:r>
        <w:r>
          <w:rPr>
            <w:rStyle w:val="Hyperlink"/>
          </w:rPr>
          <w:t xml:space="preserve">Dependent Glycolysis Is Increased</w:t>
        </w:r>
        <w:r>
          <w:rPr>
            <w:rStyle w:val="Hyperlink"/>
          </w:rPr>
          <w:t xml:space="preserve"> </w:t>
        </w:r>
        <w:r>
          <w:rPr>
            <w:rStyle w:val="Hyperlink"/>
          </w:rPr>
          <w:t xml:space="preserve">during</w:t>
        </w:r>
        <w:r>
          <w:rPr>
            <w:rStyle w:val="Hyperlink"/>
          </w:rPr>
          <w:t xml:space="preserve"> </w:t>
        </w:r>
        <w:r>
          <w:rPr>
            <w:rStyle w:val="Hyperlink"/>
          </w:rPr>
          <w:t xml:space="preserve">Aging-Related Lung Fibrosis</w:t>
        </w:r>
        <w:r>
          <w:rPr>
            <w:rStyle w:val="Hyperlink"/>
          </w:rPr>
          <w:t xml:space="preserve">, and</w:t>
        </w:r>
        <w:r>
          <w:rPr>
            <w:rStyle w:val="Hyperlink"/>
          </w:rPr>
          <w:t xml:space="preserve"> </w:t>
        </w:r>
        <w:r>
          <w:rPr>
            <w:rStyle w:val="Hyperlink"/>
          </w:rPr>
          <w:t xml:space="preserve">Phloretin Inhibits Lung Fibrosis</w:t>
        </w:r>
      </w:hyperlink>
      <w:r>
        <w:t xml:space="preserve">.</w:t>
      </w:r>
      <w:r>
        <w:t xml:space="preserve"> </w:t>
      </w:r>
      <w:r>
        <w:rPr>
          <w:iCs/>
          <w:i/>
        </w:rPr>
        <w:t xml:space="preserve">Am J Respir Cell Mol Biol</w:t>
      </w:r>
      <w:r>
        <w:t xml:space="preserve"> </w:t>
      </w:r>
      <w:r>
        <w:t xml:space="preserve">2017;56(4):521–531.</w:t>
      </w:r>
    </w:p>
    <w:bookmarkEnd w:id="61"/>
    <w:bookmarkStart w:id="63" w:name="ref-rodriguez-enriquez2009"/>
    <w:p>
      <w:pPr>
        <w:pStyle w:val="Bibliography"/>
      </w:pPr>
      <w:r>
        <w:t xml:space="preserve">17. Rodríguez-Enríquez S, Marín-Hernández A, Gallardo-Pérez JC, Carreño-Fuentes L, Moreno-Sánchez R.</w:t>
      </w:r>
      <w:r>
        <w:t xml:space="preserve"> </w:t>
      </w:r>
      <w:hyperlink r:id="rId62">
        <w:r>
          <w:rPr>
            <w:rStyle w:val="Hyperlink"/>
          </w:rPr>
          <w:t xml:space="preserve">Targeting of cancer energy metabolism</w:t>
        </w:r>
      </w:hyperlink>
      <w:r>
        <w:t xml:space="preserve">.</w:t>
      </w:r>
      <w:r>
        <w:t xml:space="preserve"> </w:t>
      </w:r>
      <w:r>
        <w:rPr>
          <w:iCs/>
          <w:i/>
        </w:rPr>
        <w:t xml:space="preserve">Mol Nutr Food Res</w:t>
      </w:r>
      <w:r>
        <w:t xml:space="preserve"> </w:t>
      </w:r>
      <w:r>
        <w:t xml:space="preserve">2009;53(1):29–48.</w:t>
      </w:r>
    </w:p>
    <w:bookmarkEnd w:id="63"/>
    <w:bookmarkStart w:id="65" w:name="ref-michelakis2017"/>
    <w:p>
      <w:pPr>
        <w:pStyle w:val="Bibliography"/>
      </w:pPr>
      <w:r>
        <w:t xml:space="preserve">18. Michelakis ED et al.</w:t>
      </w:r>
      <w:r>
        <w:t xml:space="preserve"> </w:t>
      </w:r>
      <w:hyperlink r:id="rId64">
        <w:r>
          <w:rPr>
            <w:rStyle w:val="Hyperlink"/>
          </w:rPr>
          <w:t xml:space="preserve">Inhibition of pyruvate dehydrogenase kinase improves pulmonary arterial hypertension in genetically susceptible patients</w:t>
        </w:r>
      </w:hyperlink>
      <w:r>
        <w:t xml:space="preserve">.</w:t>
      </w:r>
      <w:r>
        <w:t xml:space="preserve"> </w:t>
      </w:r>
      <w:r>
        <w:rPr>
          <w:iCs/>
          <w:i/>
        </w:rPr>
        <w:t xml:space="preserve">Sci Transl Med</w:t>
      </w:r>
      <w:r>
        <w:t xml:space="preserve"> </w:t>
      </w:r>
      <w:r>
        <w:t xml:space="preserve">2017;9(413):eaao4583.</w:t>
      </w:r>
    </w:p>
    <w:bookmarkEnd w:id="65"/>
    <w:bookmarkStart w:id="67" w:name="ref-pelicano2006"/>
    <w:p>
      <w:pPr>
        <w:pStyle w:val="Bibliography"/>
      </w:pPr>
      <w:r>
        <w:t xml:space="preserve">19. Pelicano H, Martin DS, Xu R-H, Huang P.</w:t>
      </w:r>
      <w:r>
        <w:t xml:space="preserve"> </w:t>
      </w:r>
      <w:hyperlink r:id="rId66">
        <w:r>
          <w:rPr>
            <w:rStyle w:val="Hyperlink"/>
          </w:rPr>
          <w:t xml:space="preserve">Glycolysis inhibition for anticancer treatment</w:t>
        </w:r>
      </w:hyperlink>
      <w:r>
        <w:t xml:space="preserve">.</w:t>
      </w:r>
      <w:r>
        <w:t xml:space="preserve"> </w:t>
      </w:r>
      <w:r>
        <w:rPr>
          <w:iCs/>
          <w:i/>
        </w:rPr>
        <w:t xml:space="preserve">Oncogene</w:t>
      </w:r>
      <w:r>
        <w:t xml:space="preserve"> </w:t>
      </w:r>
      <w:r>
        <w:t xml:space="preserve">2006;25(34):4633–4646.</w:t>
      </w:r>
    </w:p>
    <w:bookmarkEnd w:id="67"/>
    <w:bookmarkStart w:id="69" w:name="ref-puri2020"/>
    <w:p>
      <w:pPr>
        <w:pStyle w:val="Bibliography"/>
      </w:pPr>
      <w:r>
        <w:t xml:space="preserve">20. Puri S, Juvale K.</w:t>
      </w:r>
      <w:r>
        <w:t xml:space="preserve"> </w:t>
      </w:r>
      <w:hyperlink r:id="rId68">
        <w:r>
          <w:rPr>
            <w:rStyle w:val="Hyperlink"/>
          </w:rPr>
          <w:t xml:space="preserve">Monocarboxylate transporter 1 and 4 inhibitors as potential therapeutics for treating solid tumours:</w:t>
        </w:r>
        <w:r>
          <w:rPr>
            <w:rStyle w:val="Hyperlink"/>
          </w:rPr>
          <w:t xml:space="preserve"> </w:t>
        </w:r>
        <w:r>
          <w:rPr>
            <w:rStyle w:val="Hyperlink"/>
          </w:rPr>
          <w:t xml:space="preserve">A</w:t>
        </w:r>
        <w:r>
          <w:rPr>
            <w:rStyle w:val="Hyperlink"/>
          </w:rPr>
          <w:t xml:space="preserve"> </w:t>
        </w:r>
        <w:r>
          <w:rPr>
            <w:rStyle w:val="Hyperlink"/>
          </w:rPr>
          <w:t xml:space="preserve">review with structure-activity relationship insights</w:t>
        </w:r>
      </w:hyperlink>
      <w:r>
        <w:t xml:space="preserve">.</w:t>
      </w:r>
      <w:r>
        <w:t xml:space="preserve"> </w:t>
      </w:r>
      <w:r>
        <w:rPr>
          <w:iCs/>
          <w:i/>
        </w:rPr>
        <w:t xml:space="preserve">Eur J Med Chem</w:t>
      </w:r>
      <w:r>
        <w:t xml:space="preserve"> </w:t>
      </w:r>
      <w:r>
        <w:t xml:space="preserve">2020;199:112393.</w:t>
      </w:r>
    </w:p>
    <w:bookmarkEnd w:id="69"/>
    <w:bookmarkStart w:id="71" w:name="ref-cluntun2021"/>
    <w:p>
      <w:pPr>
        <w:pStyle w:val="Bibliography"/>
      </w:pPr>
      <w:r>
        <w:t xml:space="preserve">21. Cluntun AA et al.</w:t>
      </w:r>
      <w:r>
        <w:t xml:space="preserve"> </w:t>
      </w:r>
      <w:hyperlink r:id="rId70">
        <w:r>
          <w:rPr>
            <w:rStyle w:val="Hyperlink"/>
          </w:rPr>
          <w:t xml:space="preserve">The pyruvate-lactate axis modulates cardiac hypertrophy and heart failure</w:t>
        </w:r>
      </w:hyperlink>
      <w:r>
        <w:t xml:space="preserve">.</w:t>
      </w:r>
      <w:r>
        <w:t xml:space="preserve"> </w:t>
      </w:r>
      <w:r>
        <w:rPr>
          <w:iCs/>
          <w:i/>
        </w:rPr>
        <w:t xml:space="preserve">Cell Metab</w:t>
      </w:r>
      <w:r>
        <w:t xml:space="preserve"> </w:t>
      </w:r>
      <w:r>
        <w:t xml:space="preserve">2021;33(3):629–648.e10.</w:t>
      </w:r>
    </w:p>
    <w:bookmarkEnd w:id="71"/>
    <w:bookmarkStart w:id="73" w:name="ref-halford2023"/>
    <w:p>
      <w:pPr>
        <w:pStyle w:val="Bibliography"/>
      </w:pPr>
      <w:r>
        <w:t xml:space="preserve">22. Halford S et al.</w:t>
      </w:r>
      <w:r>
        <w:t xml:space="preserve"> </w:t>
      </w:r>
      <w:hyperlink r:id="rId72">
        <w:r>
          <w:rPr>
            <w:rStyle w:val="Hyperlink"/>
          </w:rPr>
          <w:t xml:space="preserve">A</w:t>
        </w:r>
        <w:r>
          <w:rPr>
            <w:rStyle w:val="Hyperlink"/>
          </w:rPr>
          <w:t xml:space="preserve"> </w:t>
        </w:r>
        <w:r>
          <w:rPr>
            <w:rStyle w:val="Hyperlink"/>
          </w:rPr>
          <w:t xml:space="preserve">Phase I Dose-escalation Study</w:t>
        </w:r>
        <w:r>
          <w:rPr>
            <w:rStyle w:val="Hyperlink"/>
          </w:rPr>
          <w:t xml:space="preserve"> </w:t>
        </w:r>
        <w:r>
          <w:rPr>
            <w:rStyle w:val="Hyperlink"/>
          </w:rPr>
          <w:t xml:space="preserve">of</w:t>
        </w:r>
        <w:r>
          <w:rPr>
            <w:rStyle w:val="Hyperlink"/>
          </w:rPr>
          <w:t xml:space="preserve"> </w:t>
        </w:r>
        <w:r>
          <w:rPr>
            <w:rStyle w:val="Hyperlink"/>
          </w:rPr>
          <w:t xml:space="preserve">AZD3965</w:t>
        </w:r>
        <w:r>
          <w:rPr>
            <w:rStyle w:val="Hyperlink"/>
          </w:rPr>
          <w:t xml:space="preserve">, an</w:t>
        </w:r>
        <w:r>
          <w:rPr>
            <w:rStyle w:val="Hyperlink"/>
          </w:rPr>
          <w:t xml:space="preserve"> </w:t>
        </w:r>
        <w:r>
          <w:rPr>
            <w:rStyle w:val="Hyperlink"/>
          </w:rPr>
          <w:t xml:space="preserve">Oral Monocarboxylate Transporter</w:t>
        </w:r>
        <w:r>
          <w:rPr>
            <w:rStyle w:val="Hyperlink"/>
          </w:rPr>
          <w:t xml:space="preserve"> </w:t>
        </w:r>
        <w:r>
          <w:rPr>
            <w:rStyle w:val="Hyperlink"/>
          </w:rPr>
          <w:t xml:space="preserve">1</w:t>
        </w:r>
        <w:r>
          <w:rPr>
            <w:rStyle w:val="Hyperlink"/>
          </w:rPr>
          <w:t xml:space="preserve"> </w:t>
        </w:r>
        <w:r>
          <w:rPr>
            <w:rStyle w:val="Hyperlink"/>
          </w:rPr>
          <w:t xml:space="preserve">Inhibitor</w:t>
        </w:r>
        <w:r>
          <w:rPr>
            <w:rStyle w:val="Hyperlink"/>
          </w:rPr>
          <w:t xml:space="preserve">, in</w:t>
        </w:r>
        <w:r>
          <w:rPr>
            <w:rStyle w:val="Hyperlink"/>
          </w:rPr>
          <w:t xml:space="preserve"> </w:t>
        </w:r>
        <w:r>
          <w:rPr>
            <w:rStyle w:val="Hyperlink"/>
          </w:rPr>
          <w:t xml:space="preserve">Patients</w:t>
        </w:r>
        <w:r>
          <w:rPr>
            <w:rStyle w:val="Hyperlink"/>
          </w:rPr>
          <w:t xml:space="preserve"> </w:t>
        </w:r>
        <w:r>
          <w:rPr>
            <w:rStyle w:val="Hyperlink"/>
          </w:rPr>
          <w:t xml:space="preserve">with</w:t>
        </w:r>
        <w:r>
          <w:rPr>
            <w:rStyle w:val="Hyperlink"/>
          </w:rPr>
          <w:t xml:space="preserve"> </w:t>
        </w:r>
        <w:r>
          <w:rPr>
            <w:rStyle w:val="Hyperlink"/>
          </w:rPr>
          <w:t xml:space="preserve">Advanced Cancer</w:t>
        </w:r>
      </w:hyperlink>
      <w:r>
        <w:t xml:space="preserve">.</w:t>
      </w:r>
      <w:r>
        <w:t xml:space="preserve"> </w:t>
      </w:r>
      <w:r>
        <w:rPr>
          <w:iCs/>
          <w:i/>
        </w:rPr>
        <w:t xml:space="preserve">Clin Cancer Res</w:t>
      </w:r>
      <w:r>
        <w:t xml:space="preserve"> </w:t>
      </w:r>
      <w:r>
        <w:t xml:space="preserve">2023;29(8):1429–1439.</w:t>
      </w:r>
    </w:p>
    <w:bookmarkEnd w:id="73"/>
    <w:bookmarkStart w:id="75" w:name="ref-frangogiannis2020"/>
    <w:p>
      <w:pPr>
        <w:pStyle w:val="Bibliography"/>
      </w:pPr>
      <w:r>
        <w:t xml:space="preserve">23. Frangogiannis N.</w:t>
      </w:r>
      <w:r>
        <w:t xml:space="preserve"> </w:t>
      </w:r>
      <w:hyperlink r:id="rId74">
        <w:r>
          <w:rPr>
            <w:rStyle w:val="Hyperlink"/>
          </w:rPr>
          <w:t xml:space="preserve">Transforming growth factor-β in tissue fibrosis</w:t>
        </w:r>
      </w:hyperlink>
      <w:r>
        <w:t xml:space="preserve">.</w:t>
      </w:r>
      <w:r>
        <w:t xml:space="preserve"> </w:t>
      </w:r>
      <w:r>
        <w:rPr>
          <w:iCs/>
          <w:i/>
        </w:rPr>
        <w:t xml:space="preserve">J Exp Med</w:t>
      </w:r>
      <w:r>
        <w:t xml:space="preserve"> </w:t>
      </w:r>
      <w:r>
        <w:t xml:space="preserve">2020;217(3):e20190103.</w:t>
      </w:r>
    </w:p>
    <w:bookmarkEnd w:id="75"/>
    <w:bookmarkStart w:id="77" w:name="ref-tomasek2002"/>
    <w:p>
      <w:pPr>
        <w:pStyle w:val="Bibliography"/>
      </w:pPr>
      <w:r>
        <w:t xml:space="preserve">24. Tomasek JJ, Gabbiani G, Hinz B, Chaponnier C, Brown RA.</w:t>
      </w:r>
      <w:r>
        <w:t xml:space="preserve"> </w:t>
      </w:r>
      <w:hyperlink r:id="rId76">
        <w:r>
          <w:rPr>
            <w:rStyle w:val="Hyperlink"/>
          </w:rPr>
          <w:t xml:space="preserve">Myofibroblasts and mechano-regulation of connective tissue remodelling</w:t>
        </w:r>
      </w:hyperlink>
      <w:r>
        <w:t xml:space="preserve">.</w:t>
      </w:r>
      <w:r>
        <w:t xml:space="preserve"> </w:t>
      </w:r>
      <w:r>
        <w:rPr>
          <w:iCs/>
          <w:i/>
        </w:rPr>
        <w:t xml:space="preserve">Nat Rev Mol Cell Biol</w:t>
      </w:r>
      <w:r>
        <w:t xml:space="preserve"> </w:t>
      </w:r>
      <w:r>
        <w:t xml:space="preserve">2002;3(5):349–363.</w:t>
      </w:r>
    </w:p>
    <w:bookmarkEnd w:id="77"/>
    <w:bookmarkStart w:id="79" w:name="ref-cui2019"/>
    <w:p>
      <w:pPr>
        <w:pStyle w:val="Bibliography"/>
      </w:pPr>
      <w:r>
        <w:t xml:space="preserve">25. Cui H et al.</w:t>
      </w:r>
      <w:r>
        <w:t xml:space="preserve"> </w:t>
      </w:r>
      <w:hyperlink r:id="rId78">
        <w:r>
          <w:rPr>
            <w:rStyle w:val="Hyperlink"/>
          </w:rPr>
          <w:t xml:space="preserve">Inhibition of</w:t>
        </w:r>
        <w:r>
          <w:rPr>
            <w:rStyle w:val="Hyperlink"/>
          </w:rPr>
          <w:t xml:space="preserve"> </w:t>
        </w:r>
        <w:r>
          <w:rPr>
            <w:rStyle w:val="Hyperlink"/>
          </w:rPr>
          <w:t xml:space="preserve">Glutaminase</w:t>
        </w:r>
        <w:r>
          <w:rPr>
            <w:rStyle w:val="Hyperlink"/>
          </w:rPr>
          <w:t xml:space="preserve"> </w:t>
        </w:r>
        <w:r>
          <w:rPr>
            <w:rStyle w:val="Hyperlink"/>
          </w:rPr>
          <w:t xml:space="preserve">1</w:t>
        </w:r>
        <w:r>
          <w:rPr>
            <w:rStyle w:val="Hyperlink"/>
          </w:rPr>
          <w:t xml:space="preserve"> </w:t>
        </w:r>
        <w:r>
          <w:rPr>
            <w:rStyle w:val="Hyperlink"/>
          </w:rPr>
          <w:t xml:space="preserve">Attenuates Experimental Pulmonary Fibrosis</w:t>
        </w:r>
      </w:hyperlink>
      <w:r>
        <w:t xml:space="preserve">.</w:t>
      </w:r>
      <w:r>
        <w:t xml:space="preserve"> </w:t>
      </w:r>
      <w:r>
        <w:rPr>
          <w:iCs/>
          <w:i/>
        </w:rPr>
        <w:t xml:space="preserve">Am J Respir Cell Mol Biol</w:t>
      </w:r>
      <w:r>
        <w:t xml:space="preserve"> </w:t>
      </w:r>
      <w:r>
        <w:t xml:space="preserve">2019;61(4):492–500.</w:t>
      </w:r>
    </w:p>
    <w:bookmarkEnd w:id="79"/>
    <w:bookmarkStart w:id="81" w:name="ref-rangarajan2018"/>
    <w:p>
      <w:pPr>
        <w:pStyle w:val="Bibliography"/>
      </w:pPr>
      <w:r>
        <w:t xml:space="preserve">26. Rangarajan S et al.</w:t>
      </w:r>
      <w:r>
        <w:t xml:space="preserve"> </w:t>
      </w:r>
      <w:hyperlink r:id="rId80">
        <w:r>
          <w:rPr>
            <w:rStyle w:val="Hyperlink"/>
          </w:rPr>
          <w:t xml:space="preserve">Metformin reverses established lung fibrosis in a bleomycin model</w:t>
        </w:r>
      </w:hyperlink>
      <w:r>
        <w:t xml:space="preserve">.</w:t>
      </w:r>
      <w:r>
        <w:t xml:space="preserve"> </w:t>
      </w:r>
      <w:r>
        <w:rPr>
          <w:iCs/>
          <w:i/>
        </w:rPr>
        <w:t xml:space="preserve">Nat Med</w:t>
      </w:r>
      <w:r>
        <w:t xml:space="preserve"> </w:t>
      </w:r>
      <w:r>
        <w:t xml:space="preserve">2018;24(8):1121–1127.</w:t>
      </w:r>
    </w:p>
    <w:bookmarkEnd w:id="81"/>
    <w:bookmarkStart w:id="83" w:name="ref-locy2020"/>
    <w:p>
      <w:pPr>
        <w:pStyle w:val="Bibliography"/>
      </w:pPr>
      <w:r>
        <w:t xml:space="preserve">27. Locy ML et al.</w:t>
      </w:r>
      <w:r>
        <w:t xml:space="preserve"> </w:t>
      </w:r>
      <w:hyperlink r:id="rId82">
        <w:r>
          <w:rPr>
            <w:rStyle w:val="Hyperlink"/>
          </w:rPr>
          <w:t xml:space="preserve">Oxidative cross-linking of fibronectin confers protease resistance and inhibits cellular migration</w:t>
        </w:r>
      </w:hyperlink>
      <w:r>
        <w:t xml:space="preserve">.</w:t>
      </w:r>
      <w:r>
        <w:t xml:space="preserve"> </w:t>
      </w:r>
      <w:r>
        <w:rPr>
          <w:iCs/>
          <w:i/>
        </w:rPr>
        <w:t xml:space="preserve">Sci Signal</w:t>
      </w:r>
      <w:r>
        <w:t xml:space="preserve"> </w:t>
      </w:r>
      <w:r>
        <w:t xml:space="preserve">2020;13(644):eaau2803.</w:t>
      </w:r>
    </w:p>
    <w:bookmarkEnd w:id="83"/>
    <w:bookmarkStart w:id="85" w:name="ref-curtis2017"/>
    <w:p>
      <w:pPr>
        <w:pStyle w:val="Bibliography"/>
      </w:pPr>
      <w:r>
        <w:t xml:space="preserve">28. Curtis NJ et al.</w:t>
      </w:r>
      <w:r>
        <w:t xml:space="preserve"> </w:t>
      </w:r>
      <w:hyperlink r:id="rId84">
        <w:r>
          <w:rPr>
            <w:rStyle w:val="Hyperlink"/>
          </w:rPr>
          <w:t xml:space="preserve">Pre-clinical pharmacology of</w:t>
        </w:r>
        <w:r>
          <w:rPr>
            <w:rStyle w:val="Hyperlink"/>
          </w:rPr>
          <w:t xml:space="preserve"> </w:t>
        </w:r>
        <w:r>
          <w:rPr>
            <w:rStyle w:val="Hyperlink"/>
          </w:rPr>
          <w:t xml:space="preserve">AZD3965</w:t>
        </w:r>
        <w:r>
          <w:rPr>
            <w:rStyle w:val="Hyperlink"/>
          </w:rPr>
          <w:t xml:space="preserve">, a selective inhibitor of</w:t>
        </w:r>
        <w:r>
          <w:rPr>
            <w:rStyle w:val="Hyperlink"/>
          </w:rPr>
          <w:t xml:space="preserve"> </w:t>
        </w:r>
        <w:r>
          <w:rPr>
            <w:rStyle w:val="Hyperlink"/>
          </w:rPr>
          <w:t xml:space="preserve">MCT1</w:t>
        </w:r>
        <w:r>
          <w:rPr>
            <w:rStyle w:val="Hyperlink"/>
          </w:rPr>
          <w:t xml:space="preserve">:</w:t>
        </w:r>
        <w:r>
          <w:rPr>
            <w:rStyle w:val="Hyperlink"/>
          </w:rPr>
          <w:t xml:space="preserve"> </w:t>
        </w:r>
        <w:r>
          <w:rPr>
            <w:rStyle w:val="Hyperlink"/>
          </w:rPr>
          <w:t xml:space="preserve">DLBCL</w:t>
        </w:r>
        <w:r>
          <w:rPr>
            <w:rStyle w:val="Hyperlink"/>
          </w:rPr>
          <w:t xml:space="preserve">,</w:t>
        </w:r>
        <w:r>
          <w:rPr>
            <w:rStyle w:val="Hyperlink"/>
          </w:rPr>
          <w:t xml:space="preserve"> </w:t>
        </w:r>
        <w:r>
          <w:rPr>
            <w:rStyle w:val="Hyperlink"/>
          </w:rPr>
          <w:t xml:space="preserve">NHL</w:t>
        </w:r>
        <w:r>
          <w:rPr>
            <w:rStyle w:val="Hyperlink"/>
          </w:rPr>
          <w:t xml:space="preserve"> </w:t>
        </w:r>
        <w:r>
          <w:rPr>
            <w:rStyle w:val="Hyperlink"/>
          </w:rPr>
          <w:t xml:space="preserve">and</w:t>
        </w:r>
        <w:r>
          <w:rPr>
            <w:rStyle w:val="Hyperlink"/>
          </w:rPr>
          <w:t xml:space="preserve"> </w:t>
        </w:r>
        <w:r>
          <w:rPr>
            <w:rStyle w:val="Hyperlink"/>
          </w:rPr>
          <w:t xml:space="preserve">Burkitt</w:t>
        </w:r>
        <w:r>
          <w:rPr>
            <w:rStyle w:val="Hyperlink"/>
          </w:rPr>
          <w:t xml:space="preserve">’s lymphoma anti-tumor activity</w:t>
        </w:r>
      </w:hyperlink>
      <w:r>
        <w:t xml:space="preserve">.</w:t>
      </w:r>
      <w:r>
        <w:t xml:space="preserve"> </w:t>
      </w:r>
      <w:r>
        <w:rPr>
          <w:iCs/>
          <w:i/>
        </w:rPr>
        <w:t xml:space="preserve">Oncotarget</w:t>
      </w:r>
      <w:r>
        <w:t xml:space="preserve"> </w:t>
      </w:r>
      <w:r>
        <w:t xml:space="preserve">2017;8(41):69219–69236.</w:t>
      </w:r>
    </w:p>
    <w:bookmarkEnd w:id="85"/>
    <w:bookmarkStart w:id="87" w:name="ref-ovens2010"/>
    <w:p>
      <w:pPr>
        <w:pStyle w:val="Bibliography"/>
      </w:pPr>
      <w:r>
        <w:t xml:space="preserve">29. Ovens MJ, Davies AJ, Wilson MC, Murray CM, Halestrap AP.</w:t>
      </w:r>
      <w:r>
        <w:t xml:space="preserve"> </w:t>
      </w:r>
      <w:hyperlink r:id="rId86">
        <w:r>
          <w:rPr>
            <w:rStyle w:val="Hyperlink"/>
          </w:rPr>
          <w:t xml:space="preserve">AR-C155858</w:t>
        </w:r>
        <w:r>
          <w:rPr>
            <w:rStyle w:val="Hyperlink"/>
          </w:rPr>
          <w:t xml:space="preserve"> </w:t>
        </w:r>
        <w:r>
          <w:rPr>
            <w:rStyle w:val="Hyperlink"/>
          </w:rPr>
          <w:t xml:space="preserve">is a potent inhibitor of monocarboxylate transporters</w:t>
        </w:r>
        <w:r>
          <w:rPr>
            <w:rStyle w:val="Hyperlink"/>
          </w:rPr>
          <w:t xml:space="preserve"> </w:t>
        </w:r>
        <w:r>
          <w:rPr>
            <w:rStyle w:val="Hyperlink"/>
          </w:rPr>
          <w:t xml:space="preserve">MCT1</w:t>
        </w:r>
        <w:r>
          <w:rPr>
            <w:rStyle w:val="Hyperlink"/>
          </w:rPr>
          <w:t xml:space="preserve"> </w:t>
        </w:r>
        <w:r>
          <w:rPr>
            <w:rStyle w:val="Hyperlink"/>
          </w:rPr>
          <w:t xml:space="preserve">and</w:t>
        </w:r>
        <w:r>
          <w:rPr>
            <w:rStyle w:val="Hyperlink"/>
          </w:rPr>
          <w:t xml:space="preserve"> </w:t>
        </w:r>
        <w:r>
          <w:rPr>
            <w:rStyle w:val="Hyperlink"/>
          </w:rPr>
          <w:t xml:space="preserve">MCT2</w:t>
        </w:r>
        <w:r>
          <w:rPr>
            <w:rStyle w:val="Hyperlink"/>
          </w:rPr>
          <w:t xml:space="preserve"> </w:t>
        </w:r>
        <w:r>
          <w:rPr>
            <w:rStyle w:val="Hyperlink"/>
          </w:rPr>
          <w:t xml:space="preserve">that binds to an intracellular site involving transmembrane helices 7-10</w:t>
        </w:r>
      </w:hyperlink>
      <w:r>
        <w:t xml:space="preserve">.</w:t>
      </w:r>
      <w:r>
        <w:t xml:space="preserve"> </w:t>
      </w:r>
      <w:r>
        <w:rPr>
          <w:iCs/>
          <w:i/>
        </w:rPr>
        <w:t xml:space="preserve">Biochem J</w:t>
      </w:r>
      <w:r>
        <w:t xml:space="preserve"> </w:t>
      </w:r>
      <w:r>
        <w:t xml:space="preserve">2010;425(3):523–530.</w:t>
      </w:r>
    </w:p>
    <w:bookmarkEnd w:id="87"/>
    <w:bookmarkEnd w:id="88"/>
    <w:p>
      <w:r>
        <w:br w:type="page"/>
      </w:r>
    </w:p>
    <w:bookmarkEnd w:id="89"/>
    <w:bookmarkStart w:id="93"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0373" cy="4302878"/>
                  <wp:effectExtent b="0" l="0" r="0" t="0"/>
                  <wp:docPr descr="" title="" id="91" name="Picture"/>
                  <a:graphic>
                    <a:graphicData uri="http://schemas.openxmlformats.org/drawingml/2006/picture">
                      <pic:pic>
                        <pic:nvPicPr>
                          <pic:cNvPr descr="figs/Figure%2001.png" id="92" name="Picture"/>
                          <pic:cNvPicPr>
                            <a:picLocks noChangeArrowheads="1" noChangeAspect="1"/>
                          </pic:cNvPicPr>
                        </pic:nvPicPr>
                        <pic:blipFill>
                          <a:blip r:embed="rId90"/>
                          <a:stretch>
                            <a:fillRect/>
                          </a:stretch>
                        </pic:blipFill>
                        <pic:spPr bwMode="auto">
                          <a:xfrm>
                            <a:off x="0" y="0"/>
                            <a:ext cx="3330373" cy="430287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 Lactate transporter expression increases in human IPF and experimental models.</w:t>
            </w:r>
            <w:r>
              <w:t xml:space="preserve"> </w:t>
            </w:r>
            <w:r>
              <w:t xml:space="preserve">(</w:t>
            </w:r>
            <w:r>
              <w:rPr>
                <w:bCs/>
                <w:b/>
              </w:rPr>
              <w:t xml:space="preserve">A</w:t>
            </w:r>
            <w:r>
              <w:t xml:space="preserve">) Immunoblot of whole lung homogenates from explanted IPF lungs and controls (Ctl). (</w:t>
            </w:r>
            <w:r>
              <w:rPr>
                <w:bCs/>
                <w:b/>
              </w:rPr>
              <w:t xml:space="preserve">B</w:t>
            </w:r>
            <w:r>
              <w:t xml:space="preserve">) Quantification of band densities from (A). (</w:t>
            </w:r>
            <w:r>
              <w:rPr>
                <w:bCs/>
                <w:b/>
              </w:rPr>
              <w:t xml:space="preserve">C</w:t>
            </w:r>
            <w:r>
              <w:t xml:space="preserve">) Immunoblot of whole lung homogenates from bleomycin (bleo)- and vehicle (Ctl)-treated mice. (</w:t>
            </w:r>
            <w:r>
              <w:rPr>
                <w:bCs/>
                <w:b/>
              </w:rPr>
              <w:t xml:space="preserve">D</w:t>
            </w:r>
            <w:r>
              <w:t xml:space="preserve">) Quantification of band densities from (C). (</w:t>
            </w:r>
            <w:r>
              <w:rPr>
                <w:bCs/>
                <w:b/>
              </w:rPr>
              <w:t xml:space="preserve">E</w:t>
            </w:r>
            <w:r>
              <w:t xml:space="preserve">) Representative immunoblot of cell lysates from normal human lung fibroblasts treated with TGFβ to induce myofibroblast differentiation. (</w:t>
            </w:r>
            <w:r>
              <w:rPr>
                <w:bCs/>
                <w:b/>
              </w:rPr>
              <w:t xml:space="preserve">F</w:t>
            </w:r>
            <w:r>
              <w:t xml:space="preserve">) Quantification of band densities from (E). Individual data points are biological replicates. Summary data are mean ± SEM (* p &lt; 0.05).</w:t>
            </w:r>
          </w:p>
        </w:tc>
      </w:tr>
    </w:tbl>
    <w:bookmarkEnd w:id="93"/>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90" Target="media/rId90.png" /><Relationship Type="http://schemas.openxmlformats.org/officeDocument/2006/relationships/hyperlink" Id="rId62" Target="https://doi.org/10.1002/mnfr.200700470" TargetMode="External" /><Relationship Type="http://schemas.openxmlformats.org/officeDocument/2006/relationships/hyperlink" Id="rId70" Target="https://doi.org/10.1016/j.cmet.2020.12.003" TargetMode="External" /><Relationship Type="http://schemas.openxmlformats.org/officeDocument/2006/relationships/hyperlink" Id="rId68" Target="https://doi.org/10.1016/j.ejmech.2020.112393" TargetMode="External" /><Relationship Type="http://schemas.openxmlformats.org/officeDocument/2006/relationships/hyperlink" Id="rId40" Target="https://doi.org/10.1016/j.redox.2020.101509" TargetMode="External" /><Relationship Type="http://schemas.openxmlformats.org/officeDocument/2006/relationships/hyperlink" Id="rId34" Target="https://doi.org/10.1038/nrdp.2017.74" TargetMode="External" /><Relationship Type="http://schemas.openxmlformats.org/officeDocument/2006/relationships/hyperlink" Id="rId76" Target="https://doi.org/10.1038/nrm809" TargetMode="External" /><Relationship Type="http://schemas.openxmlformats.org/officeDocument/2006/relationships/hyperlink" Id="rId80" Target="https://doi.org/10.1038/s41591-018-0087-6" TargetMode="External" /><Relationship Type="http://schemas.openxmlformats.org/officeDocument/2006/relationships/hyperlink" Id="rId66" Target="https://doi.org/10.1038/sj.onc.1209597" TargetMode="External" /><Relationship Type="http://schemas.openxmlformats.org/officeDocument/2006/relationships/hyperlink" Id="rId86" Target="https://doi.org/10.1042/BJ20091515" TargetMode="External" /><Relationship Type="http://schemas.openxmlformats.org/officeDocument/2006/relationships/hyperlink" Id="rId36" Target="https://doi.org/10.1056/NEJMoa1402582" TargetMode="External" /><Relationship Type="http://schemas.openxmlformats.org/officeDocument/2006/relationships/hyperlink" Id="rId38" Target="https://doi.org/10.1056/NEJMoa1402584" TargetMode="External" /><Relationship Type="http://schemas.openxmlformats.org/officeDocument/2006/relationships/hyperlink" Id="rId44" Target="https://doi.org/10.1074/jbc.M115.646984" TargetMode="External" /><Relationship Type="http://schemas.openxmlformats.org/officeDocument/2006/relationships/hyperlink" Id="rId74" Target="https://doi.org/10.1084/jem.20190103" TargetMode="External" /><Relationship Type="http://schemas.openxmlformats.org/officeDocument/2006/relationships/hyperlink" Id="rId82" Target="https://doi.org/10.1126/scisignal.aau2803" TargetMode="External" /><Relationship Type="http://schemas.openxmlformats.org/officeDocument/2006/relationships/hyperlink" Id="rId52" Target="https://doi.org/10.1126/scisignal.aav3048" TargetMode="External" /><Relationship Type="http://schemas.openxmlformats.org/officeDocument/2006/relationships/hyperlink" Id="rId42" Target="https://doi.org/10.1126/scisignal.aay1027" TargetMode="External" /><Relationship Type="http://schemas.openxmlformats.org/officeDocument/2006/relationships/hyperlink" Id="rId64" Target="https://doi.org/10.1126/scitranslmed.aao4583" TargetMode="External" /><Relationship Type="http://schemas.openxmlformats.org/officeDocument/2006/relationships/hyperlink" Id="rId56" Target="https://doi.org/10.1152/ajplung.00058.2015" TargetMode="External" /><Relationship Type="http://schemas.openxmlformats.org/officeDocument/2006/relationships/hyperlink" Id="rId72" Target="https://doi.org/10.1158/1078-0432.CCR-22-2263" TargetMode="External" /><Relationship Type="http://schemas.openxmlformats.org/officeDocument/2006/relationships/hyperlink" Id="rId54" Target="https://doi.org/10.1164/rccm.201201-0084OC" TargetMode="External" /><Relationship Type="http://schemas.openxmlformats.org/officeDocument/2006/relationships/hyperlink" Id="rId46" Target="https://doi.org/10.1164/rccm.201504-0780OC" TargetMode="External" /><Relationship Type="http://schemas.openxmlformats.org/officeDocument/2006/relationships/hyperlink" Id="rId30" Target="https://doi.org/10.1164/rccm.201504-0818OC" TargetMode="External" /><Relationship Type="http://schemas.openxmlformats.org/officeDocument/2006/relationships/hyperlink" Id="rId48" Target="https://doi.org/10.1165/rcmb.2016-0186OC" TargetMode="External" /><Relationship Type="http://schemas.openxmlformats.org/officeDocument/2006/relationships/hyperlink" Id="rId60" Target="https://doi.org/10.1165/rcmb.2016-0225OC" TargetMode="External" /><Relationship Type="http://schemas.openxmlformats.org/officeDocument/2006/relationships/hyperlink" Id="rId50" Target="https://doi.org/10.1165/rcmb.2019-0008OC" TargetMode="External" /><Relationship Type="http://schemas.openxmlformats.org/officeDocument/2006/relationships/hyperlink" Id="rId78" Target="https://doi.org/10.1165/rcmb.2019-0051OC" TargetMode="External" /><Relationship Type="http://schemas.openxmlformats.org/officeDocument/2006/relationships/hyperlink" Id="rId32" Target="https://doi.org/10.1183/13993003.01653-2015" TargetMode="External" /><Relationship Type="http://schemas.openxmlformats.org/officeDocument/2006/relationships/hyperlink" Id="rId58" Target="https://doi.org/10.1371/journal.pone.0197936" TargetMode="External" /><Relationship Type="http://schemas.openxmlformats.org/officeDocument/2006/relationships/hyperlink" Id="rId84" Target="https://doi.org/10.18632/oncotarget.18215"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02/mnfr.200700470" TargetMode="External" /><Relationship Type="http://schemas.openxmlformats.org/officeDocument/2006/relationships/hyperlink" Id="rId70" Target="https://doi.org/10.1016/j.cmet.2020.12.003" TargetMode="External" /><Relationship Type="http://schemas.openxmlformats.org/officeDocument/2006/relationships/hyperlink" Id="rId68" Target="https://doi.org/10.1016/j.ejmech.2020.112393" TargetMode="External" /><Relationship Type="http://schemas.openxmlformats.org/officeDocument/2006/relationships/hyperlink" Id="rId40" Target="https://doi.org/10.1016/j.redox.2020.101509" TargetMode="External" /><Relationship Type="http://schemas.openxmlformats.org/officeDocument/2006/relationships/hyperlink" Id="rId34" Target="https://doi.org/10.1038/nrdp.2017.74" TargetMode="External" /><Relationship Type="http://schemas.openxmlformats.org/officeDocument/2006/relationships/hyperlink" Id="rId76" Target="https://doi.org/10.1038/nrm809" TargetMode="External" /><Relationship Type="http://schemas.openxmlformats.org/officeDocument/2006/relationships/hyperlink" Id="rId80" Target="https://doi.org/10.1038/s41591-018-0087-6" TargetMode="External" /><Relationship Type="http://schemas.openxmlformats.org/officeDocument/2006/relationships/hyperlink" Id="rId66" Target="https://doi.org/10.1038/sj.onc.1209597" TargetMode="External" /><Relationship Type="http://schemas.openxmlformats.org/officeDocument/2006/relationships/hyperlink" Id="rId86" Target="https://doi.org/10.1042/BJ20091515" TargetMode="External" /><Relationship Type="http://schemas.openxmlformats.org/officeDocument/2006/relationships/hyperlink" Id="rId36" Target="https://doi.org/10.1056/NEJMoa1402582" TargetMode="External" /><Relationship Type="http://schemas.openxmlformats.org/officeDocument/2006/relationships/hyperlink" Id="rId38" Target="https://doi.org/10.1056/NEJMoa1402584" TargetMode="External" /><Relationship Type="http://schemas.openxmlformats.org/officeDocument/2006/relationships/hyperlink" Id="rId44" Target="https://doi.org/10.1074/jbc.M115.646984" TargetMode="External" /><Relationship Type="http://schemas.openxmlformats.org/officeDocument/2006/relationships/hyperlink" Id="rId74" Target="https://doi.org/10.1084/jem.20190103" TargetMode="External" /><Relationship Type="http://schemas.openxmlformats.org/officeDocument/2006/relationships/hyperlink" Id="rId82" Target="https://doi.org/10.1126/scisignal.aau2803" TargetMode="External" /><Relationship Type="http://schemas.openxmlformats.org/officeDocument/2006/relationships/hyperlink" Id="rId52" Target="https://doi.org/10.1126/scisignal.aav3048" TargetMode="External" /><Relationship Type="http://schemas.openxmlformats.org/officeDocument/2006/relationships/hyperlink" Id="rId42" Target="https://doi.org/10.1126/scisignal.aay1027" TargetMode="External" /><Relationship Type="http://schemas.openxmlformats.org/officeDocument/2006/relationships/hyperlink" Id="rId64" Target="https://doi.org/10.1126/scitranslmed.aao4583" TargetMode="External" /><Relationship Type="http://schemas.openxmlformats.org/officeDocument/2006/relationships/hyperlink" Id="rId56" Target="https://doi.org/10.1152/ajplung.00058.2015" TargetMode="External" /><Relationship Type="http://schemas.openxmlformats.org/officeDocument/2006/relationships/hyperlink" Id="rId72" Target="https://doi.org/10.1158/1078-0432.CCR-22-2263" TargetMode="External" /><Relationship Type="http://schemas.openxmlformats.org/officeDocument/2006/relationships/hyperlink" Id="rId54" Target="https://doi.org/10.1164/rccm.201201-0084OC" TargetMode="External" /><Relationship Type="http://schemas.openxmlformats.org/officeDocument/2006/relationships/hyperlink" Id="rId46" Target="https://doi.org/10.1164/rccm.201504-0780OC" TargetMode="External" /><Relationship Type="http://schemas.openxmlformats.org/officeDocument/2006/relationships/hyperlink" Id="rId30" Target="https://doi.org/10.1164/rccm.201504-0818OC" TargetMode="External" /><Relationship Type="http://schemas.openxmlformats.org/officeDocument/2006/relationships/hyperlink" Id="rId48" Target="https://doi.org/10.1165/rcmb.2016-0186OC" TargetMode="External" /><Relationship Type="http://schemas.openxmlformats.org/officeDocument/2006/relationships/hyperlink" Id="rId60" Target="https://doi.org/10.1165/rcmb.2016-0225OC" TargetMode="External" /><Relationship Type="http://schemas.openxmlformats.org/officeDocument/2006/relationships/hyperlink" Id="rId50" Target="https://doi.org/10.1165/rcmb.2019-0008OC" TargetMode="External" /><Relationship Type="http://schemas.openxmlformats.org/officeDocument/2006/relationships/hyperlink" Id="rId78" Target="https://doi.org/10.1165/rcmb.2019-0051OC" TargetMode="External" /><Relationship Type="http://schemas.openxmlformats.org/officeDocument/2006/relationships/hyperlink" Id="rId32" Target="https://doi.org/10.1183/13993003.01653-2015" TargetMode="External" /><Relationship Type="http://schemas.openxmlformats.org/officeDocument/2006/relationships/hyperlink" Id="rId58" Target="https://doi.org/10.1371/journal.pone.0197936" TargetMode="External" /><Relationship Type="http://schemas.openxmlformats.org/officeDocument/2006/relationships/hyperlink" Id="rId84" Target="https://doi.org/10.18632/oncotarget.18215"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Lactate transport inhibition therapeutically reprograms fibroblast metabolism in experimental pulmonary fibrosis</dc:title>
  <dc:creator>David R. Ziehr1,2,3, Nathan M. Krah4, Kevin Leahy2, K. Mark Parnell5, Jack Varon2,3, Rebecca M. Baron2,3, Nancy J. Philp6, Lida P. Hariri3,7, Edy Y. Kim2,3, Rachel S. Knipe1,3, Jared Rutter8,9, and William M. Oldham2,3,‡</dc:creator>
  <cp:keywords/>
  <dcterms:created xsi:type="dcterms:W3CDTF">2024-01-22T19:33:41Z</dcterms:created>
  <dcterms:modified xsi:type="dcterms:W3CDTF">2024-01-22T19:33:41Z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