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01.png" ContentType="image/png"/>
  <Override PartName="/word/media/rId104.png" ContentType="image/png"/>
  <Override PartName="/word/media/rId107.png" ContentType="image/png"/>
  <Override PartName="/word/media/rId11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Supplementary</w:t>
      </w:r>
      <w:r>
        <w:t xml:space="preserve"> </w:t>
      </w:r>
      <w:r>
        <w:t xml:space="preserve">Material</w:t>
      </w:r>
    </w:p>
    <w:p>
      <w:pPr>
        <w:pStyle w:val="Subtitle"/>
      </w:pPr>
      <w:r>
        <w:t xml:space="preserve">Lactate</w:t>
      </w:r>
      <w:r>
        <w:t xml:space="preserve"> </w:t>
      </w:r>
      <w:r>
        <w:t xml:space="preserve">transport</w:t>
      </w:r>
      <w:r>
        <w:t xml:space="preserve"> </w:t>
      </w:r>
      <w:r>
        <w:t xml:space="preserve">inhibition</w:t>
      </w:r>
      <w:r>
        <w:t xml:space="preserve"> </w:t>
      </w:r>
      <w:r>
        <w:t xml:space="preserve">therapeutically</w:t>
      </w:r>
      <w:r>
        <w:t xml:space="preserve"> </w:t>
      </w:r>
      <w:r>
        <w:t xml:space="preserve">reprograms</w:t>
      </w:r>
      <w:r>
        <w:t xml:space="preserve"> </w:t>
      </w:r>
      <w:r>
        <w:t xml:space="preserve">fibroblast</w:t>
      </w:r>
      <w:r>
        <w:t xml:space="preserve"> </w:t>
      </w:r>
      <w:r>
        <w:t xml:space="preserve">metabolism</w:t>
      </w:r>
      <w:r>
        <w:t xml:space="preserve"> </w:t>
      </w:r>
      <w:r>
        <w:t xml:space="preserve">in</w:t>
      </w:r>
      <w:r>
        <w:t xml:space="preserve"> </w:t>
      </w:r>
      <w:r>
        <w:t xml:space="preserve">experimental</w:t>
      </w:r>
      <w:r>
        <w:t xml:space="preserve"> </w:t>
      </w:r>
      <w:r>
        <w:t xml:space="preserve">pulmonary</w:t>
      </w:r>
      <w:r>
        <w:t xml:space="preserve"> </w:t>
      </w:r>
      <w:r>
        <w:t xml:space="preserve">fibrosis</w:t>
      </w:r>
    </w:p>
    <w:p>
      <w:pPr>
        <w:pStyle w:val="Author"/>
      </w:pPr>
      <w:r>
        <w:t xml:space="preserve">David</w:t>
      </w:r>
      <w:r>
        <w:t xml:space="preserve"> </w:t>
      </w:r>
      <w:r>
        <w:t xml:space="preserve">R.</w:t>
      </w:r>
      <w:r>
        <w:t xml:space="preserve"> </w:t>
      </w:r>
      <w:r>
        <w:t xml:space="preserve">Ziehr</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Fei</w:t>
      </w:r>
      <w:r>
        <w:t xml:space="preserve"> </w:t>
      </w:r>
      <w:r>
        <w:t xml:space="preserve">Li</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K.</w:t>
      </w:r>
      <w:r>
        <w:t xml:space="preserve"> </w:t>
      </w:r>
      <w:r>
        <w:t xml:space="preserve">Mark</w:t>
      </w:r>
      <w:r>
        <w:t xml:space="preserve"> </w:t>
      </w:r>
      <w:r>
        <w:t xml:space="preserve">Parnell</w:t>
      </w:r>
      <w:r>
        <w:rPr>
          <w:vertAlign w:val="superscript"/>
        </w:rPr>
        <w:t xml:space="preserve">4</w:t>
      </w:r>
      <w:r>
        <w:t xml:space="preserve">,</w:t>
      </w:r>
      <w:r>
        <w:t xml:space="preserve"> </w:t>
      </w:r>
      <w:r>
        <w:t xml:space="preserve">Nathan</w:t>
      </w:r>
      <w:r>
        <w:t xml:space="preserve"> </w:t>
      </w:r>
      <w:r>
        <w:t xml:space="preserve">M.</w:t>
      </w:r>
      <w:r>
        <w:t xml:space="preserve"> </w:t>
      </w:r>
      <w:r>
        <w:t xml:space="preserve">Krah</w:t>
      </w:r>
      <w:r>
        <w:rPr>
          <w:vertAlign w:val="superscript"/>
        </w:rPr>
        <w:t xml:space="preserve">5</w:t>
      </w:r>
      <w:r>
        <w:rPr>
          <w:vertAlign w:val="superscript"/>
        </w:rPr>
        <w:t xml:space="preserve">,</w:t>
      </w:r>
      <w:r>
        <w:rPr>
          <w:vertAlign w:val="superscript"/>
        </w:rPr>
        <w:t xml:space="preserve">6</w:t>
      </w:r>
      <w:r>
        <w:t xml:space="preserve">,</w:t>
      </w:r>
      <w:r>
        <w:t xml:space="preserve"> </w:t>
      </w:r>
      <w:r>
        <w:t xml:space="preserve">Kevin</w:t>
      </w:r>
      <w:r>
        <w:t xml:space="preserve"> </w:t>
      </w:r>
      <w:r>
        <w:t xml:space="preserve">J.</w:t>
      </w:r>
      <w:r>
        <w:t xml:space="preserve"> </w:t>
      </w:r>
      <w:r>
        <w:t xml:space="preserve">Leahy</w:t>
      </w:r>
      <w:r>
        <w:rPr>
          <w:vertAlign w:val="superscript"/>
        </w:rPr>
        <w:t xml:space="preserve">1</w:t>
      </w:r>
      <w:r>
        <w:t xml:space="preserve">,</w:t>
      </w:r>
      <w:r>
        <w:t xml:space="preserve"> </w:t>
      </w:r>
      <w:r>
        <w:t xml:space="preserve">Christelle</w:t>
      </w:r>
      <w:r>
        <w:t xml:space="preserve"> </w:t>
      </w:r>
      <w:r>
        <w:t xml:space="preserve">Guillermier</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Jack</w:t>
      </w:r>
      <w:r>
        <w:t xml:space="preserve"> </w:t>
      </w:r>
      <w:r>
        <w:t xml:space="preserve">Varon</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Rebecca</w:t>
      </w:r>
      <w:r>
        <w:t xml:space="preserve"> </w:t>
      </w:r>
      <w:r>
        <w:t xml:space="preserve">M.</w:t>
      </w:r>
      <w:r>
        <w:t xml:space="preserve"> </w:t>
      </w:r>
      <w:r>
        <w:t xml:space="preserve">Baron</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Bradley</w:t>
      </w:r>
      <w:r>
        <w:t xml:space="preserve"> </w:t>
      </w:r>
      <w:r>
        <w:t xml:space="preserve">A.</w:t>
      </w:r>
      <w:r>
        <w:t xml:space="preserve"> </w:t>
      </w:r>
      <w:r>
        <w:t xml:space="preserve">Maron</w:t>
      </w:r>
      <w:r>
        <w:rPr>
          <w:vertAlign w:val="superscript"/>
        </w:rPr>
        <w:t xml:space="preserve">7</w:t>
      </w:r>
      <w:r>
        <w:rPr>
          <w:vertAlign w:val="superscript"/>
        </w:rPr>
        <w:t xml:space="preserve">,</w:t>
      </w:r>
      <w:r>
        <w:rPr>
          <w:vertAlign w:val="superscript"/>
        </w:rPr>
        <w:t xml:space="preserve">8</w:t>
      </w:r>
      <w:r>
        <w:t xml:space="preserve">,</w:t>
      </w:r>
      <w:r>
        <w:t xml:space="preserve"> </w:t>
      </w:r>
      <w:r>
        <w:t xml:space="preserve">Nancy</w:t>
      </w:r>
      <w:r>
        <w:t xml:space="preserve"> </w:t>
      </w:r>
      <w:r>
        <w:t xml:space="preserve">J.</w:t>
      </w:r>
      <w:r>
        <w:t xml:space="preserve"> </w:t>
      </w:r>
      <w:r>
        <w:t xml:space="preserve">Philp</w:t>
      </w:r>
      <w:r>
        <w:rPr>
          <w:vertAlign w:val="superscript"/>
        </w:rPr>
        <w:t xml:space="preserve">9</w:t>
      </w:r>
      <w:r>
        <w:t xml:space="preserve">,</w:t>
      </w:r>
      <w:r>
        <w:t xml:space="preserve"> </w:t>
      </w:r>
      <w:r>
        <w:t xml:space="preserve">Lida</w:t>
      </w:r>
      <w:r>
        <w:t xml:space="preserve"> </w:t>
      </w:r>
      <w:r>
        <w:t xml:space="preserve">P.</w:t>
      </w:r>
      <w:r>
        <w:t xml:space="preserve"> </w:t>
      </w:r>
      <w:r>
        <w:t xml:space="preserve">Hariri</w:t>
      </w:r>
      <w:r>
        <w:rPr>
          <w:vertAlign w:val="superscript"/>
        </w:rPr>
        <w:t xml:space="preserve">3</w:t>
      </w:r>
      <w:r>
        <w:rPr>
          <w:vertAlign w:val="superscript"/>
        </w:rPr>
        <w:t xml:space="preserve">,</w:t>
      </w:r>
      <w:r>
        <w:rPr>
          <w:vertAlign w:val="superscript"/>
        </w:rPr>
        <w:t xml:space="preserve">10</w:t>
      </w:r>
      <w:r>
        <w:t xml:space="preserve">,</w:t>
      </w:r>
      <w:r>
        <w:t xml:space="preserve"> </w:t>
      </w:r>
      <w:r>
        <w:t xml:space="preserve">Edy</w:t>
      </w:r>
      <w:r>
        <w:t xml:space="preserve"> </w:t>
      </w:r>
      <w:r>
        <w:t xml:space="preserve">Y.</w:t>
      </w:r>
      <w:r>
        <w:t xml:space="preserve"> </w:t>
      </w:r>
      <w:r>
        <w:t xml:space="preserve">Kim</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Matthew</w:t>
      </w:r>
      <w:r>
        <w:t xml:space="preserve"> </w:t>
      </w:r>
      <w:r>
        <w:t xml:space="preserve">L.</w:t>
      </w:r>
      <w:r>
        <w:t xml:space="preserve"> </w:t>
      </w:r>
      <w:r>
        <w:t xml:space="preserve">Steinhauser</w:t>
      </w:r>
      <w:r>
        <w:rPr>
          <w:vertAlign w:val="superscript"/>
        </w:rPr>
        <w:t xml:space="preserve">11</w:t>
      </w:r>
      <w:r>
        <w:rPr>
          <w:vertAlign w:val="superscript"/>
        </w:rPr>
        <w:t xml:space="preserve">,</w:t>
      </w:r>
      <w:r>
        <w:rPr>
          <w:vertAlign w:val="superscript"/>
        </w:rPr>
        <w:t xml:space="preserve">12</w:t>
      </w:r>
      <w:r>
        <w:t xml:space="preserve">,</w:t>
      </w:r>
      <w:r>
        <w:t xml:space="preserve"> </w:t>
      </w:r>
      <w:r>
        <w:t xml:space="preserve">Rachel</w:t>
      </w:r>
      <w:r>
        <w:t xml:space="preserve"> </w:t>
      </w:r>
      <w:r>
        <w:t xml:space="preserve">S.</w:t>
      </w:r>
      <w:r>
        <w:t xml:space="preserve"> </w:t>
      </w:r>
      <w:r>
        <w:t xml:space="preserve">Knipe</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Jared</w:t>
      </w:r>
      <w:r>
        <w:t xml:space="preserve"> </w:t>
      </w:r>
      <w:r>
        <w:t xml:space="preserve">Rutter</w:t>
      </w:r>
      <w:r>
        <w:rPr>
          <w:vertAlign w:val="superscript"/>
        </w:rPr>
        <w:t xml:space="preserve">6</w:t>
      </w:r>
      <w:r>
        <w:rPr>
          <w:vertAlign w:val="superscript"/>
        </w:rPr>
        <w:t xml:space="preserve">,</w:t>
      </w:r>
      <w:r>
        <w:rPr>
          <w:vertAlign w:val="superscript"/>
        </w:rPr>
        <w:t xml:space="preserve">13</w:t>
      </w:r>
      <w:r>
        <w:t xml:space="preserve">,</w:t>
      </w:r>
      <w:r>
        <w:t xml:space="preserve"> </w:t>
      </w:r>
      <w:r>
        <w:t xml:space="preserve">and</w:t>
      </w:r>
      <w:r>
        <w:t xml:space="preserve"> </w:t>
      </w:r>
      <w:r>
        <w:t xml:space="preserve">William</w:t>
      </w:r>
      <w:r>
        <w:t xml:space="preserve"> </w:t>
      </w:r>
      <w:r>
        <w:t xml:space="preserve">M.</w:t>
      </w:r>
      <w:r>
        <w:t xml:space="preserve"> </w:t>
      </w:r>
      <w:r>
        <w:t xml:space="preserve">Oldham</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Department of Medicine, Brigham and Women’s Hospital, Boston, MA</w:t>
      </w:r>
      <w:r>
        <w:br/>
      </w:r>
      <w:r>
        <w:rPr>
          <w:vertAlign w:val="superscript"/>
        </w:rPr>
        <w:t xml:space="preserve">2</w:t>
      </w:r>
      <w:r>
        <w:t xml:space="preserve"> </w:t>
      </w:r>
      <w:r>
        <w:t xml:space="preserve">Department of Medicine, Massachusetts General Hospital, Boston, MA</w:t>
      </w:r>
      <w:r>
        <w:br/>
      </w:r>
      <w:r>
        <w:rPr>
          <w:vertAlign w:val="superscript"/>
        </w:rPr>
        <w:t xml:space="preserve">3</w:t>
      </w:r>
      <w:r>
        <w:t xml:space="preserve"> </w:t>
      </w:r>
      <w:r>
        <w:t xml:space="preserve">Department of Medicine, Harvard Medical School, Boston, MA</w:t>
      </w:r>
      <w:r>
        <w:br/>
      </w:r>
      <w:r>
        <w:rPr>
          <w:vertAlign w:val="superscript"/>
        </w:rPr>
        <w:t xml:space="preserve">4</w:t>
      </w:r>
      <w:r>
        <w:t xml:space="preserve"> </w:t>
      </w:r>
      <w:r>
        <w:t xml:space="preserve">Vettore Biosciences, San Francisco, CA</w:t>
      </w:r>
      <w:r>
        <w:br/>
      </w:r>
      <w:r>
        <w:rPr>
          <w:vertAlign w:val="superscript"/>
        </w:rPr>
        <w:t xml:space="preserve">5</w:t>
      </w:r>
      <w:r>
        <w:t xml:space="preserve"> </w:t>
      </w:r>
      <w:r>
        <w:t xml:space="preserve">Department of Internal Medicine, University of Utah, Salt Lake City, UT</w:t>
      </w:r>
      <w:r>
        <w:br/>
      </w:r>
      <w:r>
        <w:rPr>
          <w:vertAlign w:val="superscript"/>
        </w:rPr>
        <w:t xml:space="preserve">6</w:t>
      </w:r>
      <w:r>
        <w:t xml:space="preserve"> </w:t>
      </w:r>
      <w:r>
        <w:t xml:space="preserve">Department of Biochemistry, University of Utah, Salt Lake City, UT</w:t>
      </w:r>
      <w:r>
        <w:br/>
      </w:r>
      <w:r>
        <w:rPr>
          <w:vertAlign w:val="superscript"/>
        </w:rPr>
        <w:t xml:space="preserve">7</w:t>
      </w:r>
      <w:r>
        <w:t xml:space="preserve"> </w:t>
      </w:r>
      <w:r>
        <w:t xml:space="preserve">Department of Medicine, University of Maryland School of Medicine, Baltimore, MD</w:t>
      </w:r>
      <w:r>
        <w:br/>
      </w:r>
      <w:r>
        <w:rPr>
          <w:vertAlign w:val="superscript"/>
        </w:rPr>
        <w:t xml:space="preserve">8</w:t>
      </w:r>
      <w:r>
        <w:t xml:space="preserve"> </w:t>
      </w:r>
      <w:r>
        <w:t xml:space="preserve">University of Maryland Institute for Health Computing, Bethesda, MD</w:t>
      </w:r>
      <w:r>
        <w:br/>
      </w:r>
      <w:r>
        <w:rPr>
          <w:vertAlign w:val="superscript"/>
        </w:rPr>
        <w:t xml:space="preserve">9</w:t>
      </w:r>
      <w:r>
        <w:t xml:space="preserve"> </w:t>
      </w:r>
      <w:r>
        <w:t xml:space="preserve">Department of Pathology and Genomic Medicine, Thomas Jefferson University, Philadelphia, PA</w:t>
      </w:r>
      <w:r>
        <w:br/>
      </w:r>
      <w:r>
        <w:rPr>
          <w:vertAlign w:val="superscript"/>
        </w:rPr>
        <w:t xml:space="preserve">10</w:t>
      </w:r>
      <w:r>
        <w:t xml:space="preserve"> </w:t>
      </w:r>
      <w:r>
        <w:t xml:space="preserve">Department of Pathology, Massachusetts General Hospital, Boston, MA</w:t>
      </w:r>
      <w:r>
        <w:br/>
      </w:r>
      <w:r>
        <w:rPr>
          <w:vertAlign w:val="superscript"/>
        </w:rPr>
        <w:t xml:space="preserve">11</w:t>
      </w:r>
      <w:r>
        <w:t xml:space="preserve"> </w:t>
      </w:r>
      <w:r>
        <w:t xml:space="preserve">Aging Institute, University of Pittsburgh, Pittsburgh, PA</w:t>
      </w:r>
      <w:r>
        <w:br/>
      </w:r>
      <w:r>
        <w:rPr>
          <w:vertAlign w:val="superscript"/>
        </w:rPr>
        <w:t xml:space="preserve">12</w:t>
      </w:r>
      <w:r>
        <w:t xml:space="preserve"> </w:t>
      </w:r>
      <w:r>
        <w:t xml:space="preserve">UPMC Heart and Vascular Institute, UPMC Presbyterian, Pittsburgh, PA</w:t>
      </w:r>
      <w:r>
        <w:br/>
      </w:r>
      <w:r>
        <w:rPr>
          <w:vertAlign w:val="superscript"/>
        </w:rPr>
        <w:t xml:space="preserve">13</w:t>
      </w:r>
      <w:r>
        <w:t xml:space="preserve"> </w:t>
      </w:r>
      <w:r>
        <w:t xml:space="preserve">Howard Hughes Medical Institute, University of Utah School of Medicine, Salt Lake City, UT</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William M. Oldham &lt;woldham@bwh.harvard.edu&gt;</w:t>
        </w:r>
      </w:hyperlink>
    </w:p>
    <w:p>
      <w:r>
        <w:br w:type="page"/>
      </w:r>
    </w:p>
    <w:bookmarkStart w:id="21" w:name="vb253-pharmacokinetic-and-safety-data"/>
    <w:p>
      <w:pPr>
        <w:pStyle w:val="Heading1"/>
      </w:pPr>
      <w:r>
        <w:t xml:space="preserve">VB253 Pharmacokinetic and Safety Data</w:t>
      </w:r>
    </w:p>
    <w:p>
      <w:pPr>
        <w:pStyle w:val="FirstParagraph"/>
      </w:pPr>
      <w:r>
        <w:t xml:space="preserve">Safety pharmacology of VB253 was evaluated in an</w:t>
      </w:r>
      <w:r>
        <w:t xml:space="preserve"> </w:t>
      </w:r>
      <w:r>
        <w:rPr>
          <w:i/>
          <w:iCs/>
        </w:rPr>
        <w:t xml:space="preserve">in vitro</w:t>
      </w:r>
      <w:r>
        <w:t xml:space="preserve"> </w:t>
      </w:r>
      <w:r>
        <w:t xml:space="preserve">hERG assay, a behavioral study in Sprague-Dawley (SD) rats, and a respiratory and cardiovascular system assessment using ECG telemetered beagle dogs. VB253 had an IC</w:t>
      </w:r>
      <w:r>
        <w:rPr>
          <w:i/>
          <w:iCs/>
        </w:rPr>
        <w:t xml:space="preserve">50</w:t>
      </w:r>
      <w:r>
        <w:t xml:space="preserve"> </w:t>
      </w:r>
      <w:r>
        <w:t xml:space="preserve">value &gt; 300 µM against the hERG channel. There were no VB253-related behavioral effects following an oral dose of up to 400 mg/kg in male rats (the highest dose tested). There were no significant respiratory effects following an oral dose of up to 150 mg/kg in dogs (the highest dose tested). Cardiovascular safety pharmacology assessments noted decreases in PR interval duration that were detected up to 9 h post administration of VB253 and were usually dose related and associated with potential changes in heart rate. These changes were considered biologically insignificant due to their small magnitude (up to 10 msec compared to vehicle control), association with potential increases in heart rate, and the absence of correlated findings.</w:t>
      </w:r>
    </w:p>
    <w:p>
      <w:pPr>
        <w:pStyle w:val="BodyText"/>
      </w:pPr>
      <w:r>
        <w:t xml:space="preserve">The ADME properties of VB253 have been characterized in both</w:t>
      </w:r>
      <w:r>
        <w:t xml:space="preserve"> </w:t>
      </w:r>
      <w:r>
        <w:rPr>
          <w:i/>
          <w:iCs/>
        </w:rPr>
        <w:t xml:space="preserve">in vitro</w:t>
      </w:r>
      <w:r>
        <w:t xml:space="preserve"> </w:t>
      </w:r>
      <w:r>
        <w:t xml:space="preserve">and</w:t>
      </w:r>
      <w:r>
        <w:t xml:space="preserve"> </w:t>
      </w:r>
      <w:r>
        <w:rPr>
          <w:i/>
          <w:iCs/>
        </w:rPr>
        <w:t xml:space="preserve">in vivo</w:t>
      </w:r>
      <w:r>
        <w:t xml:space="preserve"> </w:t>
      </w:r>
      <w:r>
        <w:t xml:space="preserve">studies. Sensitive and selective bioanalytical methods have been developed and validated for rat and dog plasma. Following IV administration, the systemic clearance of VB253 in all species evaluated was considered low. Following oral administration, bioavailability was generally greater than 30% in the species evaluated. Initial studies utilized VB253 free form; however, due to higher bioavailability, a tris salt form of VB253 was chosen for further development. All GLP studies were performed using the VB253 tris salt form. Dose levels indicate VB253 free form equivalents unless otherwise noted.</w:t>
      </w:r>
    </w:p>
    <w:p>
      <w:pPr>
        <w:pStyle w:val="BodyText"/>
      </w:pPr>
      <w:r>
        <w:t xml:space="preserve">In Caco-2 cells, VB253 demonstrated high permeability with no evidence of being a substrate for an efflux transporter. Plasma protein binding was 98.7% in human plasma, 99.9% in rat plasma, and 98.5% in dog plasma. The metabolic profile of VB253 was evaluated in rat, dog, and human liver microsomes. Rat and dog appeared to cover the metabolites produced in human microsomes and were considered the suitable species for toxicology studies. Study of the oxidative metabolism of VB253 by recombinant CYP enzymes indicated that CYP2C8, CYP3A4, and CYP3A5 are involved in VB253 metabolism</w:t>
      </w:r>
      <w:r>
        <w:t xml:space="preserve"> </w:t>
      </w:r>
      <w:r>
        <w:rPr>
          <w:i/>
          <w:iCs/>
        </w:rPr>
        <w:t xml:space="preserve">in vitro</w:t>
      </w:r>
      <w:r>
        <w:t xml:space="preserve">. VB253 demonstrated negligible inhibition of any of the CYP isozymes, with IC</w:t>
      </w:r>
      <w:r>
        <w:rPr>
          <w:i/>
          <w:iCs/>
        </w:rPr>
        <w:t xml:space="preserve">50</w:t>
      </w:r>
      <w:r>
        <w:t xml:space="preserve"> </w:t>
      </w:r>
      <w:r>
        <w:t xml:space="preserve">values being greater than 30 µM. VB253 was a weak activator of human PXR</w:t>
      </w:r>
      <w:r>
        <w:t xml:space="preserve"> </w:t>
      </w:r>
      <w:r>
        <w:rPr>
          <w:i/>
          <w:iCs/>
        </w:rPr>
        <w:t xml:space="preserve">in vitro</w:t>
      </w:r>
      <w:r>
        <w:t xml:space="preserve"> </w:t>
      </w:r>
      <w:r>
        <w:t xml:space="preserve">and is therefore unlikely to cause induction of PXR target genes, including CYP3A,</w:t>
      </w:r>
      <w:r>
        <w:t xml:space="preserve"> </w:t>
      </w:r>
      <w:r>
        <w:rPr>
          <w:i/>
          <w:iCs/>
        </w:rPr>
        <w:t xml:space="preserve">in vivo</w:t>
      </w:r>
      <w:r>
        <w:t xml:space="preserve">. VB253 was a weak inhibitor of BCRP, OAT1, OAT3, OAT1B1, OAT1B3, and OCT1 transporters, with IC</w:t>
      </w:r>
      <w:r>
        <w:rPr>
          <w:i/>
          <w:iCs/>
        </w:rPr>
        <w:t xml:space="preserve">50</w:t>
      </w:r>
      <w:r>
        <w:t xml:space="preserve"> </w:t>
      </w:r>
      <w:r>
        <w:t xml:space="preserve">values ranging from 1.81-6.53 µM.</w:t>
      </w:r>
    </w:p>
    <w:p>
      <w:pPr>
        <w:pStyle w:val="BodyText"/>
      </w:pPr>
      <w:r>
        <w:t xml:space="preserve">Toxicokinetic studies generally demonstrated less-than-dose-proportional increases in exposure in the rat and dog. In the rat, sex differences were noted with female rats demonstrating higher exposure than male rats, while in the dog no differences in exposure between the sexes was noted. Generally, exposure was slightly higher following multiple doses relative to single dose administration.</w:t>
      </w:r>
    </w:p>
    <w:p>
      <w:pPr>
        <w:pStyle w:val="BodyText"/>
      </w:pPr>
      <w:r>
        <w:t xml:space="preserve">The toxicology of VB253 was evaluated in pivotal GLP studies in SD rats and beagle dogs, as well as mutagenicity studies. VB253 was not mutagenic in the bacterial reverse mutation assay or in the</w:t>
      </w:r>
      <w:r>
        <w:t xml:space="preserve"> </w:t>
      </w:r>
      <w:r>
        <w:rPr>
          <w:i/>
          <w:iCs/>
        </w:rPr>
        <w:t xml:space="preserve">in vitro</w:t>
      </w:r>
      <w:r>
        <w:t xml:space="preserve"> </w:t>
      </w:r>
      <w:r>
        <w:t xml:space="preserve">human lymphocyte micronucleus assay.</w:t>
      </w:r>
    </w:p>
    <w:p>
      <w:pPr>
        <w:pStyle w:val="BodyText"/>
      </w:pPr>
      <w:r>
        <w:t xml:space="preserve">VB253 was administered to SD rats by oral gavage at doses of 25, 75, and 250 mg/kg/day (females) and 40, 120, and 400 mg/kg/day (males) for 28 days. VB253-related mortality occurred in 8 of the 15 toxicity males administered 400 mg/kg/day beginning on Day 8 through 24. VB253-related effects in males administered 400 mg/kg/day and females administered 250 mg/kg/day were decreased body weight, decreased food consumption, clinical pathology changes in hematology and serum chemistry parameters, and histopathological changes. Target tissues included bone marrow, spleen, thymus, liver, lymph nodes, epididymides, seminal vescicles, prostate, testes, uterus, and ovaries. Administration of 40 or 120 mg/kg/day VB253 to male and 25 or 75 mg/kg/day in female rats</w:t>
      </w:r>
      <w:r>
        <w:t xml:space="preserve"> </w:t>
      </w:r>
      <w:r>
        <w:rPr>
          <w:i/>
          <w:iCs/>
        </w:rPr>
        <w:t xml:space="preserve">via</w:t>
      </w:r>
      <w:r>
        <w:t xml:space="preserve"> </w:t>
      </w:r>
      <w:r>
        <w:t xml:space="preserve">oral gavage once daily for 4 weeks with a 4-week recovery phase was well-tolerated. Based on these adverse findings the no-observed-adverse-effect level (NOAEL) was considered to be 120 mg/kg/day in male rats and 75 mg/kg/day in female rats with C</w:t>
      </w:r>
      <w:r>
        <w:rPr>
          <w:i/>
          <w:iCs/>
        </w:rPr>
        <w:t xml:space="preserve">max</w:t>
      </w:r>
      <w:r>
        <w:t xml:space="preserve"> </w:t>
      </w:r>
      <w:r>
        <w:t xml:space="preserve">of 180,000 ng/mL and 198,000 ng/mL, respectively, and an AUC0-24 of 2,780,000 and 3,230,000 ng•h/mL, respectively.</w:t>
      </w:r>
    </w:p>
    <w:p>
      <w:pPr>
        <w:pStyle w:val="BodyText"/>
      </w:pPr>
      <w:r>
        <w:t xml:space="preserve">VB253 was administered to beagle dogs by oral gavage in a range finding study at doses of 30, 79, 240 or 790 mg/kg. Watery feces and emesis were occasionally observed in dogs at all dose levels. Male dogs administered 790 mg/kg VB253 had increased potassium and decreased sodium and chloride, indicating a possible VB253-related effect on electrolyte homeostasis. Decreased thymus weights were observed at ≥ 240 mg/kg and correlated with microscopic findings of decreased thymic lymphoid cellularity. VB253 was administered at doses of 10, 50, and 150 mg/kg/day in the pivotal repeat dose toxicity studies for 28 days. Based on a lack of adverse findings, the NOAEL was considered to be 150 mg/kg/day in dogs with an associated sex-combined C</w:t>
      </w:r>
      <w:r>
        <w:rPr>
          <w:i/>
          <w:iCs/>
        </w:rPr>
        <w:t xml:space="preserve">max</w:t>
      </w:r>
      <w:r>
        <w:t xml:space="preserve"> </w:t>
      </w:r>
      <w:r>
        <w:t xml:space="preserve">of 80,400 ng/mL and sex-combined AUC0-24 of 474,000 ng•h/mL.</w:t>
      </w:r>
    </w:p>
    <w:p>
      <w:r>
        <w:br w:type="page"/>
      </w:r>
    </w:p>
    <w:bookmarkEnd w:id="21"/>
    <w:bookmarkStart w:id="46" w:name="materials-and-methods"/>
    <w:p>
      <w:pPr>
        <w:pStyle w:val="Heading1"/>
      </w:pPr>
      <w:r>
        <w:t xml:space="preserve">Materials and Methods</w:t>
      </w:r>
    </w:p>
    <w:bookmarkStart w:id="22" w:name="key-resources"/>
    <w:p>
      <w:pPr>
        <w:pStyle w:val="Heading2"/>
      </w:pPr>
      <w:r>
        <w:t xml:space="preserve">Key Resources</w:t>
      </w:r>
    </w:p>
    <w:p>
      <w:pPr>
        <w:pStyle w:val="SourceCode"/>
      </w:pPr>
      <w:r>
        <w:rPr>
          <w:rStyle w:val="NormalTok"/>
        </w:rPr>
        <w:t xml:space="preserve">flextable</w:t>
      </w:r>
      <w:r>
        <w:rPr>
          <w:rStyle w:val="SpecialCharTok"/>
        </w:rPr>
        <w:t xml:space="preserve">::</w:t>
      </w:r>
      <w:r>
        <w:rPr>
          <w:rStyle w:val="FunctionTok"/>
        </w:rPr>
        <w:t xml:space="preserve">flextable_to_rmd</w:t>
      </w:r>
      <w:r>
        <w:rPr>
          <w:rStyle w:val="NormalTok"/>
        </w:rPr>
        <w:t xml:space="preserve">(resources_table)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Resource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Designation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Source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Identifiers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Notes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HRP-anti-Rabbit IgG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7074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1:5000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HRP-anti-Mouse IgG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7076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1:5000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anti-MCT1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Thermo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PA5-72957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1:1000 WB</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anti-MCT4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abcam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ab244385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anti-α-SMA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abcam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ab32575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anti-Col1a1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39952S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1:1000 WB</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anti-HIF-1α</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BD Biosciences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610958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1:1000 WB</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anti-Smad3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abcam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ab40854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anti-pSmad3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abcam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ab52903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anti-ERK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4696S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anti-pERK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4370S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anti-Col1a2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Proteintech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14695-1-AP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1:1000 WB</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anti-FN1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26836S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1:1000 WB</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siRNA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siMCT1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Dharmacon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L-007402-00-0005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siRNA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siMCT4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Dharmacon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L-005126-02-0005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siRNA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siCTL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Dharmacon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D-001810-10-05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chemical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AZD3965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Medkoo Biosciences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206040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chemical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AR-C155858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Tocris Bioscience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chemical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VB124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Vettore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bl>
    <w:p>
      <w:r>
        <w:br w:type="page"/>
      </w:r>
    </w:p>
    <w:bookmarkEnd w:id="22"/>
    <w:bookmarkStart w:id="23" w:name="chemicals"/>
    <w:p>
      <w:pPr>
        <w:pStyle w:val="Heading2"/>
      </w:pPr>
      <w:r>
        <w:t xml:space="preserve">Chemicals</w:t>
      </w:r>
    </w:p>
    <w:p>
      <w:pPr>
        <w:pStyle w:val="FirstParagraph"/>
      </w:pPr>
      <w:r>
        <w:t xml:space="preserve">Recombinant human TGFβ was purchased commercially , dissolved in 10 mM citric acid, pH 3.0, filtered, and diluted to 10 μg/mL in PBS with 0.1% BSA prior to aliquoting and storing at -80 °C. AZD3965 (100 nM; Medkoo) and AR-C155858 (200 nM; Tocris) were purchased from commercial vendors. VB124 (10 μM) was a gift from Vettore, LLC. The drugs were prepared in DMSO and used at the indicated doses unless otherwise indicated. These doses were chosen based on prior reports and their target affinities.</w:t>
      </w:r>
    </w:p>
    <w:bookmarkEnd w:id="23"/>
    <w:bookmarkStart w:id="24" w:name="human-lung-tissue-and-fibroblasts"/>
    <w:p>
      <w:pPr>
        <w:pStyle w:val="Heading2"/>
      </w:pPr>
      <w:r>
        <w:t xml:space="preserve">Human lung tissue and fibroblasts</w:t>
      </w:r>
    </w:p>
    <w:p>
      <w:pPr>
        <w:pStyle w:val="FirstParagraph"/>
      </w:pPr>
      <w:r>
        <w:t xml:space="preserve">Human IPF lung samples were obtained at the time of lung transplant. Control samples were prepared from non-fibrotic and unaffected border regions of lung nodule biopsy specimens or from failed donor controls. To isolate human lung fibroblasts, lung tissue was minced, digested with liberase and DNase, and passed through a sterile 70 μm filter. The filtrate was centrifuged at 300 ×</w:t>
      </w:r>
      <w:r>
        <w:rPr>
          <w:i/>
          <w:iCs/>
        </w:rPr>
        <w:t xml:space="preserve">g</w:t>
      </w:r>
      <w:r>
        <w:t xml:space="preserve"> </w:t>
      </w:r>
      <w:r>
        <w:t xml:space="preserve">and washed once with RPMI medium (Lonza). Cells were plated in DMEM (Lonza) supplemented with 10% FBS, penicillin, and streptomycin. After two passages, medium was changed to FGM-2 (Lonza).</w:t>
      </w:r>
    </w:p>
    <w:bookmarkEnd w:id="24"/>
    <w:bookmarkStart w:id="25" w:name="bleomycin-model"/>
    <w:p>
      <w:pPr>
        <w:pStyle w:val="Heading2"/>
      </w:pPr>
      <w:r>
        <w:t xml:space="preserve">Bleomycin model</w:t>
      </w:r>
    </w:p>
    <w:p>
      <w:pPr>
        <w:pStyle w:val="FirstParagraph"/>
      </w:pPr>
      <w:r>
        <w:t xml:space="preserve">C57Bl6/N mice aged 10-12 weeks were anesthetized with ketamine (90 mg/kg) and xylazine (5 mg/kg) and administered 1.2 U/kg bleomycin in PBS (Fresenius Kabi) intratracheally. Control animals received an equivalent volume of PBS. For drug treatments, AZD3965 (100 mg/kg twice daily) and VB124 (30 mg/kg daily) were prepared in 0.5% methylcellulose and 0.1% Tween-20 with sonication and administered by oral gavage every day beginning on day 7 following bleomycin. Control animals received vehicle alone twice daily. After 21 d, lung function measurements were performed. Animals were euthanized and plasma samples were obtained by right ventricular puncture and collected in EDTA-coated tubes. The lungs were dissected and perfused with PBS. The right lung was isolated while the left lung was inflated to 20 cmH</w:t>
      </w:r>
      <w:r>
        <w:rPr>
          <w:vertAlign w:val="subscript"/>
        </w:rPr>
        <w:t xml:space="preserve">2</w:t>
      </w:r>
      <w:r>
        <w:t xml:space="preserve">O prior to fixation. The right lungs were snap frozen.</w:t>
      </w:r>
    </w:p>
    <w:p>
      <w:pPr>
        <w:pStyle w:val="BodyText"/>
      </w:pPr>
      <w:r>
        <w:t xml:space="preserve">Lung physiology measurements were performed as previously described</w:t>
      </w:r>
      <w:r>
        <w:t xml:space="preserve"> </w:t>
      </w:r>
      <w:r>
        <w:rPr>
          <w:i/>
          <w:iCs/>
        </w:rPr>
        <w:t xml:space="preserve">(1)</w:t>
      </w:r>
      <w:r>
        <w:t xml:space="preserve">. Briefly, animals were anesthetized with pentobarbital (100 μg/g; Covetrus, Portland, ME) and tracheally cannulated for pulmonary function measurements using a flexiVent (SCIREQ). Animals were ventilated for 3-5 min with 150 breaths per minute at 10 mL/kg and 3 cmH</w:t>
      </w:r>
      <w:r>
        <w:rPr>
          <w:vertAlign w:val="subscript"/>
        </w:rPr>
        <w:t xml:space="preserve">2</w:t>
      </w:r>
      <w:r>
        <w:t xml:space="preserve">O positive end-expiratory pressure. After two total lung capacity maneuvers to prevent atelectasis and standardize volume history, respiratory elastance was measured using two Prime-8 maneuvers; values reported are the average of these two maneuvers. A pressure-volume loop was then generated, and static compliance was calculated using the Salazar-Knowles equation.</w:t>
      </w:r>
    </w:p>
    <w:p>
      <w:pPr>
        <w:pStyle w:val="BodyText"/>
      </w:pPr>
      <w:r>
        <w:t xml:space="preserve">Histologic fibrosis severity was assessed by Ashcroft scoring of trichrome-stained lung sections in a blinded fashion by an experienced lung pathologist</w:t>
      </w:r>
      <w:r>
        <w:t xml:space="preserve"> </w:t>
      </w:r>
      <w:r>
        <w:rPr>
          <w:i/>
          <w:iCs/>
        </w:rPr>
        <w:t xml:space="preserve">(2)</w:t>
      </w:r>
      <w:r>
        <w:t xml:space="preserve">. The average of twenty 10× fields is reported for each animal.</w:t>
      </w:r>
    </w:p>
    <w:p>
      <w:pPr>
        <w:pStyle w:val="BodyText"/>
      </w:pPr>
      <w:r>
        <w:t xml:space="preserve">Lung hydroxyproline content was determined as described previously</w:t>
      </w:r>
      <w:r>
        <w:t xml:space="preserve"> </w:t>
      </w:r>
      <w:r>
        <w:rPr>
          <w:i/>
          <w:iCs/>
        </w:rPr>
        <w:t xml:space="preserve">(3)</w:t>
      </w:r>
      <w:r>
        <w:t xml:space="preserve">. The four lobes of the R lung were homogenized in PBS with Halt protease inhibitors (Thermo) and hydrolyzed in 6 N HCl at 120 °C for 12 h, with an aliquot added to 1.4% chloramine-T, 10% 1-propanol, and 0.5 M sodium acetate, pH 6.0. After incubating 20 min at room temperature, 1 ml of Ehrlich’s solution (1 M p-value-dimethylaminobenzaldehyde in 70% 1-propanol and 20% perchloric acid) was added. Samples were incubated at 65 °C for 15 minutes. Absorbance was measured at 550 nm and hydroxyproline content was interpolated from a standard curve.</w:t>
      </w:r>
    </w:p>
    <w:bookmarkEnd w:id="25"/>
    <w:bookmarkStart w:id="26" w:name="precision-cut-lung-slices"/>
    <w:p>
      <w:pPr>
        <w:pStyle w:val="Heading2"/>
      </w:pPr>
      <w:r>
        <w:t xml:space="preserve">Precision-cut lung slices</w:t>
      </w:r>
    </w:p>
    <w:p>
      <w:pPr>
        <w:pStyle w:val="FirstParagraph"/>
      </w:pPr>
      <w:r>
        <w:t xml:space="preserve">Human precision-cut lung slices (PCLS) were purchased from Anabios (240326LuHA, 26 y.o. female without lung disease). The slices were incubated for 48 h in DMEM/F12 with 10% serum and then treated with TGFβ (5 ng/mL) and AZD3965 (100 nM) plus VB124 (10 μM) for 6 d, exchanging the medium every 48 h with fresh TGFβ and inhibitors. PCLS were lysed in RIPA buffer containing protease inhibitors, homogenized by bead-beating, and analyzed for extracellular matrix production by immunoblot.</w:t>
      </w:r>
    </w:p>
    <w:bookmarkEnd w:id="26"/>
    <w:bookmarkStart w:id="27" w:name="myofibroblast-differentiation-in-vitro"/>
    <w:p>
      <w:pPr>
        <w:pStyle w:val="Heading2"/>
      </w:pPr>
      <w:r>
        <w:t xml:space="preserve">Myofibroblast differentiation</w:t>
      </w:r>
      <w:r>
        <w:t xml:space="preserve"> </w:t>
      </w:r>
      <w:r>
        <w:rPr>
          <w:i/>
          <w:iCs/>
        </w:rPr>
        <w:t xml:space="preserve">in vitro</w:t>
      </w:r>
    </w:p>
    <w:p>
      <w:pPr>
        <w:pStyle w:val="FirstParagraph"/>
      </w:pPr>
      <w:r>
        <w:t xml:space="preserve">Normal lung fibroblasts were purchased commercially (Lonza). All fibroblasts were cultured in FGM-2 medium (Lonza). Passages 3-8 were used for experiments. Myofibroblast differentiation was induced</w:t>
      </w:r>
      <w:r>
        <w:t xml:space="preserve"> </w:t>
      </w:r>
      <w:r>
        <w:rPr>
          <w:i/>
          <w:iCs/>
        </w:rPr>
        <w:t xml:space="preserve">in vitro</w:t>
      </w:r>
      <w:r>
        <w:t xml:space="preserve"> </w:t>
      </w:r>
      <w:r>
        <w:t xml:space="preserve">using recombinant human TGFβ (2 ng/mL) (Peprotech) for 48 h following 24 h serum starvation unless otherwise indicated.</w:t>
      </w:r>
    </w:p>
    <w:bookmarkEnd w:id="27"/>
    <w:bookmarkStart w:id="28" w:name="isotope-labeling"/>
    <w:p>
      <w:pPr>
        <w:pStyle w:val="Heading2"/>
      </w:pPr>
      <w:r>
        <w:t xml:space="preserve">Isotope labeling</w:t>
      </w:r>
    </w:p>
    <w:p>
      <w:pPr>
        <w:pStyle w:val="FirstParagraph"/>
      </w:pPr>
      <w:r>
        <w:t xml:space="preserve">Cells were seeded and serum starved in MCDB131 medium lacking glucose, glutamine, and phenol red (genDEPOT) which was supplemented with naturally labeled glucose (8 mM), glutamine (1 mM), and lactate (2 mM) (</w:t>
      </w:r>
      <w:r>
        <w:t xml:space="preserve">“</w:t>
      </w:r>
      <w:r>
        <w:t xml:space="preserve">light</w:t>
      </w:r>
      <w:r>
        <w:t xml:space="preserve">”</w:t>
      </w:r>
      <w:r>
        <w:t xml:space="preserve"> </w:t>
      </w:r>
      <w:r>
        <w:t xml:space="preserve">labeling medium). The concentrations of glucose and glutamine match the concentrations of these substrates determined in standard (FGM-2) growth medium. After 24 h, cells were washed with PBS and the medium was changed to</w:t>
      </w:r>
      <w:r>
        <w:t xml:space="preserve"> </w:t>
      </w:r>
      <w:r>
        <w:t xml:space="preserve">“</w:t>
      </w:r>
      <w:r>
        <w:t xml:space="preserve">heavy</w:t>
      </w:r>
      <w:r>
        <w:t xml:space="preserve">”</w:t>
      </w:r>
      <w:r>
        <w:t xml:space="preserve"> </w:t>
      </w:r>
      <w:r>
        <w:t xml:space="preserve">labeling medium containing [1,2-</w:t>
      </w:r>
      <w:r>
        <w:rPr>
          <w:vertAlign w:val="superscript"/>
        </w:rPr>
        <w:t xml:space="preserve">13</w:t>
      </w:r>
      <w:r>
        <w:t xml:space="preserve">C</w:t>
      </w:r>
      <w:r>
        <w:rPr>
          <w:vertAlign w:val="subscript"/>
        </w:rPr>
        <w:t xml:space="preserve">2</w:t>
      </w:r>
      <w:r>
        <w:t xml:space="preserve">]-glucose, [U-</w:t>
      </w:r>
      <w:r>
        <w:rPr>
          <w:vertAlign w:val="superscript"/>
        </w:rPr>
        <w:t xml:space="preserve">13</w:t>
      </w:r>
      <w:r>
        <w:t xml:space="preserve">C</w:t>
      </w:r>
      <w:r>
        <w:rPr>
          <w:vertAlign w:val="subscript"/>
        </w:rPr>
        <w:t xml:space="preserve">6</w:t>
      </w:r>
      <w:r>
        <w:t xml:space="preserve">]-glucose, [U-</w:t>
      </w:r>
      <w:r>
        <w:rPr>
          <w:vertAlign w:val="superscript"/>
        </w:rPr>
        <w:t xml:space="preserve">13</w:t>
      </w:r>
      <w:r>
        <w:t xml:space="preserve">C</w:t>
      </w:r>
      <w:r>
        <w:rPr>
          <w:vertAlign w:val="subscript"/>
        </w:rPr>
        <w:t xml:space="preserve">5</w:t>
      </w:r>
      <w:r>
        <w:t xml:space="preserve">]-glutamine, or [U-</w:t>
      </w:r>
      <w:r>
        <w:rPr>
          <w:vertAlign w:val="superscript"/>
        </w:rPr>
        <w:t xml:space="preserve">13</w:t>
      </w:r>
      <w:r>
        <w:t xml:space="preserve">C</w:t>
      </w:r>
      <w:r>
        <w:rPr>
          <w:vertAlign w:val="subscript"/>
        </w:rPr>
        <w:t xml:space="preserve">2</w:t>
      </w:r>
      <w:r>
        <w:t xml:space="preserve">]-lactate (Cambridge Isotope Labs) along with TGFβ and MCT inhibitors for 48 h. Cell lysates were prepared for metabolomics as described below.</w:t>
      </w:r>
    </w:p>
    <w:bookmarkEnd w:id="28"/>
    <w:bookmarkStart w:id="29" w:name="immunoblotting"/>
    <w:p>
      <w:pPr>
        <w:pStyle w:val="Heading2"/>
      </w:pPr>
      <w:r>
        <w:t xml:space="preserve">Immunoblotting</w:t>
      </w:r>
    </w:p>
    <w:p>
      <w:pPr>
        <w:pStyle w:val="FirstParagraph"/>
      </w:pPr>
      <w:r>
        <w:t xml:space="preserve">Human and mouse lung samples were mechanically homogenized in RIPA lysis buffer containing Halt Protease Inhibitor Cocktail (Thermo). Cells were washed with one volume of PBS and collected by scraping in PBS. Cell suspensions were centrifuged at 5,000 ×</w:t>
      </w:r>
      <w:r>
        <w:rPr>
          <w:i/>
          <w:iCs/>
        </w:rPr>
        <w:t xml:space="preserve">g</w:t>
      </w:r>
      <w:r>
        <w:t xml:space="preserve"> </w:t>
      </w:r>
      <w:r>
        <w:t xml:space="preserve">for 5 min at 4 °C. Pellets were lysed in buffer containing Tris 10 mM, pH 7.4, NaCl 150 mM, EDTA 1 mM, EGTA 1 mM, Triton X-100 1% v/v, NP-40 0.5% v/v, and protease inhibitors. Protein concentrations were determined by BCA Protein Assay (Thermo). Lysates were normalized for protein concentration and subjected to SDS-PAGE separation on stain-free tris-glycine gels (Bio-Rad), cross-linked and imaged with the Chemidoc system (Bio-Rad), transferred to PVDF membranes with the Trans-Blot Turbo transfer system (Bio-Rad), imaged, blocked in 5% blocking buffer (Bio-Rad), blotted in primary and secondary antibodies, and developed using WesternBright ECL (Advansta). Band signal intensity was normalized to total protein per lane as determined from the stain-free gel or membrane images using Image Lab software (Bio-Rad).</w:t>
      </w:r>
    </w:p>
    <w:bookmarkEnd w:id="29"/>
    <w:bookmarkStart w:id="30" w:name="rna-interference"/>
    <w:p>
      <w:pPr>
        <w:pStyle w:val="Heading2"/>
      </w:pPr>
      <w:r>
        <w:t xml:space="preserve">RNA interference</w:t>
      </w:r>
    </w:p>
    <w:p>
      <w:pPr>
        <w:pStyle w:val="FirstParagraph"/>
      </w:pPr>
      <w:r>
        <w:t xml:space="preserve">Lung fibroblasts were reverse transfected with ON-TARGETplus SMARTpool siRNA (Dharmacon) targeting MCT1 or MCT4 using Lipofectamine RNAiMAX (Thermo). A non-targeting siRNA pool was used a transfection control (Dharmacon). For combined siMCT1 and siMCT4 treatment, the total siRNA dose was kept constant. After 24 h, cells were serum starved for an additional 24 h prior to treatment with TGFβ.</w:t>
      </w:r>
    </w:p>
    <w:bookmarkEnd w:id="30"/>
    <w:bookmarkStart w:id="31" w:name="gel-contraction-assay"/>
    <w:p>
      <w:pPr>
        <w:pStyle w:val="Heading2"/>
      </w:pPr>
      <w:r>
        <w:t xml:space="preserve">Gel contraction assay</w:t>
      </w:r>
    </w:p>
    <w:p>
      <w:pPr>
        <w:pStyle w:val="FirstParagraph"/>
      </w:pPr>
      <w:r>
        <w:t xml:space="preserve">Lung fibroblasts in FBM and neutralized collagen solution (TeloCol-3, Advanced Biomatrix) were combined 1:2 to yield 100,000 cells/mL and 1.8 mg/mL collagen. This solution was added to 24-well plates (0.5 mL) and allowed to harden for 10 min at 37 °C prior to the addition of 1 mL FBM. Cells were serum starved overnight prior to releasing the gels and treating them with TGFβ and MCT inhibitors in triplicate. Images were acquired after 24 and 48 h using a ChemiDoc imager (Bio-Rad). Gel areas were measured using Image Lab software (Bio-Rad). Data are expressed as the ratio of TGFβ-treated gel area to control gel area.</w:t>
      </w:r>
    </w:p>
    <w:bookmarkEnd w:id="31"/>
    <w:bookmarkStart w:id="32" w:name="cell-count"/>
    <w:p>
      <w:pPr>
        <w:pStyle w:val="Heading2"/>
      </w:pPr>
      <w:r>
        <w:t xml:space="preserve">Cell count</w:t>
      </w:r>
    </w:p>
    <w:p>
      <w:pPr>
        <w:pStyle w:val="FirstParagraph"/>
      </w:pPr>
      <w:r>
        <w:t xml:space="preserve">Cell counts were estimated from total DNA quantified using the Quant-iT PicoGreen dsDNA Assay Kit (Thermo) as described previously</w:t>
      </w:r>
      <w:r>
        <w:t xml:space="preserve"> </w:t>
      </w:r>
      <w:r>
        <w:rPr>
          <w:i/>
          <w:iCs/>
        </w:rPr>
        <w:t xml:space="preserve">(4)</w:t>
      </w:r>
      <w:r>
        <w:t xml:space="preserve">.</w:t>
      </w:r>
    </w:p>
    <w:bookmarkEnd w:id="32"/>
    <w:bookmarkStart w:id="33" w:name="lactate-assay"/>
    <w:p>
      <w:pPr>
        <w:pStyle w:val="Heading2"/>
      </w:pPr>
      <w:r>
        <w:t xml:space="preserve">Lactate assay</w:t>
      </w:r>
    </w:p>
    <w:p>
      <w:pPr>
        <w:pStyle w:val="FirstParagraph"/>
      </w:pPr>
      <w:r>
        <w:t xml:space="preserve">Lactate was determined using an enzymatic cycling assay resulting in the reduction of resazurin to the fluorescent chemical resorufin. Medium samples were diluted 1:10 in PBS. Samples were combined with a solution of diaphorase (125 mU), lactate dehydrogenase, NAD (250 μM), and resazurin (25 μM) in Tris buffer (100 mM, pH 8.5) then incubated for 30 min at room temperature. Resorufin fluorescence was measured using a SpectraMax i3x microplate reader (Molecular Devices) and lactate concentration was interpolated from a standard curve. Data were normalized to estimated cell count.</w:t>
      </w:r>
    </w:p>
    <w:bookmarkEnd w:id="33"/>
    <w:bookmarkStart w:id="34" w:name="glucose-assay"/>
    <w:p>
      <w:pPr>
        <w:pStyle w:val="Heading2"/>
      </w:pPr>
      <w:r>
        <w:t xml:space="preserve">Glucose assay</w:t>
      </w:r>
    </w:p>
    <w:p>
      <w:pPr>
        <w:pStyle w:val="FirstParagraph"/>
      </w:pPr>
      <w:r>
        <w:t xml:space="preserve">Medium samples were diluted 10-fold in PBS. Glucose concentration was determined using the Glucose Colorimetric Assay Kit (Cayman) according to the manufacturer’s protocol. Standards were prepared in PBS.</w:t>
      </w:r>
    </w:p>
    <w:bookmarkEnd w:id="34"/>
    <w:bookmarkStart w:id="35" w:name="seahorse-assays"/>
    <w:p>
      <w:pPr>
        <w:pStyle w:val="Heading2"/>
      </w:pPr>
      <w:r>
        <w:t xml:space="preserve">Seahorse assays</w:t>
      </w:r>
    </w:p>
    <w:p>
      <w:pPr>
        <w:pStyle w:val="FirstParagraph"/>
      </w:pPr>
      <w:r>
        <w:t xml:space="preserve">Lung fibroblasts were seeded in Seahorse assay plates at a density of 20,000 cells per well. On the following day, the cells were serum starved for 24 h prior to treatment with TGFβ and MCT inhibitors for 48 h. On the day of the assay, the medium was exchanged to Seahorse DMEM without phenol red supplemented with 5 mM HEPES, 10 mM glucose, 2 mM glutamine, and 1 mM pyruvate. OCR and extracellular acidification rates (ECAR) were measured at baseline and following the sequential injections of oligomycin (1 μM final), FCCP (2 μM final), and rotenone plus antimycin A (0.5 μM final each) using an XFe24 bioanalyzer (Agilent). At the end of the assay, cells were stained for 30 min with the fluorescent dye Nuclear Green LCS1 (10 μM; Abcam). Stained cells were quantified using a SpectraMax MiniMax 300 Imaging Cytometer (Molecular Devices) and these cell counts were used to normalize the rate data. Proton efflux rate (PER) was calculated from the ECAR and buffer capacity of the medium. PER from glycolysis was determined by subtracting the contribution of oxidative phosphorylation to total PER using the empirically measured CO</w:t>
      </w:r>
      <w:r>
        <w:rPr>
          <w:vertAlign w:val="subscript"/>
        </w:rPr>
        <w:t xml:space="preserve">2</w:t>
      </w:r>
      <w:r>
        <w:t xml:space="preserve"> </w:t>
      </w:r>
      <w:r>
        <w:t xml:space="preserve">correction factor of 0.41. ATP from glycolysis was assumed to be equal to basal glycolytic PER. ATP from oxidative phosphorylation was assumed to be 2 × 2.75 × oligomycin-sensitive OCR</w:t>
      </w:r>
      <w:r>
        <w:t xml:space="preserve"> </w:t>
      </w:r>
      <w:r>
        <w:rPr>
          <w:i/>
          <w:iCs/>
        </w:rPr>
        <w:t xml:space="preserve">(5)</w:t>
      </w:r>
      <w:r>
        <w:t xml:space="preserve">.</w:t>
      </w:r>
    </w:p>
    <w:bookmarkEnd w:id="35"/>
    <w:bookmarkStart w:id="40" w:name="metabolomics"/>
    <w:p>
      <w:pPr>
        <w:pStyle w:val="Heading2"/>
      </w:pPr>
      <w:r>
        <w:t xml:space="preserve">Metabolomics</w:t>
      </w:r>
    </w:p>
    <w:p>
      <w:pPr>
        <w:pStyle w:val="FirstParagraph"/>
      </w:pPr>
      <w:r>
        <w:t xml:space="preserve">Metabolomics data acquisition and analysis were performed as described previously</w:t>
      </w:r>
      <w:r>
        <w:t xml:space="preserve"> </w:t>
      </w:r>
      <w:r>
        <w:rPr>
          <w:i/>
          <w:iCs/>
        </w:rPr>
        <w:t xml:space="preserve">(4)</w:t>
      </w:r>
      <w:r>
        <w:t xml:space="preserve">.</w:t>
      </w:r>
    </w:p>
    <w:bookmarkStart w:id="36" w:name="metabolite-extraction"/>
    <w:p>
      <w:pPr>
        <w:pStyle w:val="Heading3"/>
      </w:pPr>
      <w:r>
        <w:t xml:space="preserve">Metabolite extraction</w:t>
      </w:r>
    </w:p>
    <w:p>
      <w:pPr>
        <w:pStyle w:val="FirstParagraph"/>
      </w:pPr>
      <w:r>
        <w:t xml:space="preserve">Extracellular metabolites were obtained by mixing conditioned medium 1:4 with 100% MeOH precooled to -80 °C. Intracellular metabolites were obtained after washing cells with 2 volumes of ice-cold PBS and floating on liquid nitrogen. Plates were stored at -80 °C until extraction. Metabolites were extracted with 1 mL 80% MeOH pre-cooled to -80 °C. Mouse plasma and lung homogenates were mixed 1:4 with 100% MeOH precooled to -80 °C. Samples were extracted at -80 °C for 4 h. Insoluble material from these samples was removed by centrifugation at 21,000 ×</w:t>
      </w:r>
      <w:r>
        <w:rPr>
          <w:i/>
          <w:iCs/>
        </w:rPr>
        <w:t xml:space="preserve">g</w:t>
      </w:r>
      <w:r>
        <w:t xml:space="preserve"> </w:t>
      </w:r>
      <w:r>
        <w:t xml:space="preserve">for 15 min at 4 °C. The supernatant was evaporated to dryness at 42 °C using a SpeedVac concentrator (Thermo Savant). Samples were resuspended in 35 μL 20 mM ammonium phosphate in LC-MS-grade water prior to analysis.</w:t>
      </w:r>
    </w:p>
    <w:bookmarkEnd w:id="36"/>
    <w:bookmarkStart w:id="37" w:name="acquisition-parameters"/>
    <w:p>
      <w:pPr>
        <w:pStyle w:val="Heading3"/>
      </w:pPr>
      <w:r>
        <w:t xml:space="preserve">Acquisition parameters</w:t>
      </w:r>
    </w:p>
    <w:p>
      <w:pPr>
        <w:pStyle w:val="FirstParagraph"/>
      </w:pPr>
      <w:r>
        <w:t xml:space="preserve">LC-MS analysis was performed on a Vanquish ultra-high-performance liquid chromatography system coupled to a Q Exactive orbitrap mass spectrometer by a HESI-II electrospray ionization probe (Thermo). External mass calibration was performed weekly. Metabolite samples (2.5 μL) were separated using a ZIC-pHILIC stationary phase (2.1 × 150 mm, 5 μm) (Merck). The autosampler temperature was 4 °C and the column compartment was maintained at 25 °C. Mobile phase A was 20 mM ammonium carbonate, 0.1% ammonium hydroxide, and 5 μM medronic acid. Mobile phase B was acetonitrile. The flow rate was 0.1 mL/min. Solvent was introduced to the mass spectrometer</w:t>
      </w:r>
      <w:r>
        <w:t xml:space="preserve"> </w:t>
      </w:r>
      <w:r>
        <w:rPr>
          <w:i/>
          <w:iCs/>
        </w:rPr>
        <w:t xml:space="preserve">via</w:t>
      </w:r>
      <w:r>
        <w:t xml:space="preserve"> </w:t>
      </w:r>
      <w:r>
        <w:t xml:space="preserve">electrospray ionization with the following source parameters: sheath gas 40, auxiliary gas 15, sweep gas 1, spray voltage +3.0 kV for positive mode and -3.1 kV for negative mode, capillary temperature 275 °C, S-lens RF level 40, and probe temperature 350 °C. Data were acquired and peaks integrated using TraceFinder 4.1 (Thermo).</w:t>
      </w:r>
    </w:p>
    <w:bookmarkEnd w:id="37"/>
    <w:bookmarkStart w:id="38" w:name="metabolomic-profiling"/>
    <w:p>
      <w:pPr>
        <w:pStyle w:val="Heading3"/>
      </w:pPr>
      <w:r>
        <w:t xml:space="preserve">Metabolomic profiling</w:t>
      </w:r>
    </w:p>
    <w:p>
      <w:pPr>
        <w:pStyle w:val="FirstParagraph"/>
      </w:pPr>
      <w:r>
        <w:t xml:space="preserve">For metabolomic profiling, the following mobile phase gradient was used: 0 min, 80% B; 20 min, 20% B; 20.5 min, 80% B; 28 min, 80% B; 42 min, 80% B. The mass spectrometer was operated in polarity switching full scan mode from 70-1000 m/</w:t>
      </w:r>
      <w:r>
        <w:rPr>
          <w:i/>
          <w:iCs/>
        </w:rPr>
        <w:t xml:space="preserve">z</w:t>
      </w:r>
      <w:r>
        <w:t xml:space="preserve">. Resolution was set to 70,000 and the AGC target was 1×10</w:t>
      </w:r>
      <w:r>
        <w:rPr>
          <w:vertAlign w:val="superscript"/>
        </w:rPr>
        <w:t xml:space="preserve">6</w:t>
      </w:r>
      <w:r>
        <w:t xml:space="preserve"> </w:t>
      </w:r>
      <w:r>
        <w:t xml:space="preserve">ions. Peak identifications were based on an in-house library of authentic metabolite standards previously analyzed utilizing this method. For metabolomics studies, pooled quality control (QC) samples were injected at the beginning, end, and between every four samples of the run. Raw peak areas for each metabolite were corrected for instrument drift using a cubic spline model of QC peak areas. Low quality features were removed on the basis of a relative standard deviation greater than 0.2 in the QC samples and a dispersion ratio greater than 0.4</w:t>
      </w:r>
      <w:r>
        <w:t xml:space="preserve"> </w:t>
      </w:r>
      <w:r>
        <w:rPr>
          <w:i/>
          <w:iCs/>
        </w:rPr>
        <w:t xml:space="preserve">(6)</w:t>
      </w:r>
      <w:r>
        <w:t xml:space="preserve">. Missing values were imputed using random forest. Sample peak areas were normalized using probabilistic quotient normalization</w:t>
      </w:r>
      <w:r>
        <w:t xml:space="preserve"> </w:t>
      </w:r>
      <w:r>
        <w:rPr>
          <w:i/>
          <w:iCs/>
        </w:rPr>
        <w:t xml:space="preserve">(7)</w:t>
      </w:r>
      <w:r>
        <w:t xml:space="preserve">. Differentially regulated metabolites were identified using limma</w:t>
      </w:r>
      <w:r>
        <w:t xml:space="preserve"> </w:t>
      </w:r>
      <w:r>
        <w:rPr>
          <w:i/>
          <w:iCs/>
        </w:rPr>
        <w:t xml:space="preserve">(8)</w:t>
      </w:r>
      <w:r>
        <w:t xml:space="preserve">. Exploratory data analysis and review of PCA plots suggested orthogonal effects of TGFβ and MCT inhibitor treatment. For this reason, differentially regulated metabolites were determined based on the main effects of TGFβ or MCT inhibitor. Metabolite set enrichment analysis was performed using the fgsea package</w:t>
      </w:r>
      <w:r>
        <w:t xml:space="preserve"> </w:t>
      </w:r>
      <w:r>
        <w:rPr>
          <w:i/>
          <w:iCs/>
        </w:rPr>
        <w:t xml:space="preserve">(9)</w:t>
      </w:r>
      <w:r>
        <w:t xml:space="preserve"> </w:t>
      </w:r>
      <w:r>
        <w:t xml:space="preserve">with KEGG metabolite pathways</w:t>
      </w:r>
      <w:r>
        <w:t xml:space="preserve"> </w:t>
      </w:r>
      <w:r>
        <w:rPr>
          <w:i/>
          <w:iCs/>
        </w:rPr>
        <w:t xml:space="preserve">(10)</w:t>
      </w:r>
      <w:r>
        <w:t xml:space="preserve">.</w:t>
      </w:r>
    </w:p>
    <w:bookmarkEnd w:id="38"/>
    <w:bookmarkStart w:id="39" w:name="stable-isotope-quantification"/>
    <w:p>
      <w:pPr>
        <w:pStyle w:val="Heading3"/>
      </w:pPr>
      <w:r>
        <w:t xml:space="preserve">Stable isotope quantification</w:t>
      </w:r>
    </w:p>
    <w:p>
      <w:pPr>
        <w:pStyle w:val="FirstParagraph"/>
      </w:pPr>
      <w:r>
        <w:t xml:space="preserve">Metabolites were measured using the following mobile phase gradient: 0 min, 80% B; 5 min, 80% B; 30 min, 20% B; 31 min, 80% B; 42 min, 80% B. The mass spectrometer was operated in selected ion monitoring mode with an m/</w:t>
      </w:r>
      <w:r>
        <w:rPr>
          <w:i/>
          <w:iCs/>
        </w:rPr>
        <w:t xml:space="preserve">z</w:t>
      </w:r>
      <w:r>
        <w:t xml:space="preserve"> </w:t>
      </w:r>
      <w:r>
        <w:t xml:space="preserve">window width of 9.0 centered at 1.003355-times half the number of carbon atoms in the target metabolite. The resolution was set at 70,000 and AGC target was 1×10</w:t>
      </w:r>
      <w:r>
        <w:rPr>
          <w:vertAlign w:val="superscript"/>
        </w:rPr>
        <w:t xml:space="preserve">5</w:t>
      </w:r>
      <w:r>
        <w:t xml:space="preserve"> </w:t>
      </w:r>
      <w:r>
        <w:t xml:space="preserve">ions. Peak areas were corrected for quadrupole bias as in Kim</w:t>
      </w:r>
      <w:r>
        <w:t xml:space="preserve"> </w:t>
      </w:r>
      <w:r>
        <w:rPr>
          <w:i/>
          <w:iCs/>
        </w:rPr>
        <w:t xml:space="preserve">et al.</w:t>
      </w:r>
      <w:r>
        <w:t xml:space="preserve"> </w:t>
      </w:r>
      <w:r>
        <w:rPr>
          <w:i/>
          <w:iCs/>
        </w:rPr>
        <w:t xml:space="preserve">(11)</w:t>
      </w:r>
      <w:r>
        <w:t xml:space="preserve">. Raw mass isotopomer distributions were corrected for natural isotope abundance using a custom R package (mzrtools, github.com/oldhamlab/mzrtools) employing the method of Fernandez,</w:t>
      </w:r>
      <w:r>
        <w:t xml:space="preserve"> </w:t>
      </w:r>
      <w:r>
        <w:rPr>
          <w:i/>
          <w:iCs/>
        </w:rPr>
        <w:t xml:space="preserve">et al.</w:t>
      </w:r>
      <w:r>
        <w:t xml:space="preserve"> </w:t>
      </w:r>
      <w:r>
        <w:rPr>
          <w:i/>
          <w:iCs/>
        </w:rPr>
        <w:t xml:space="preserve">(12)</w:t>
      </w:r>
      <w:r>
        <w:t xml:space="preserve">.</w:t>
      </w:r>
    </w:p>
    <w:bookmarkEnd w:id="39"/>
    <w:bookmarkEnd w:id="40"/>
    <w:bookmarkStart w:id="41" w:name="rna-seq-transcriptomics"/>
    <w:p>
      <w:pPr>
        <w:pStyle w:val="Heading2"/>
      </w:pPr>
      <w:r>
        <w:t xml:space="preserve">RNA-seq transcriptomics</w:t>
      </w:r>
    </w:p>
    <w:p>
      <w:pPr>
        <w:pStyle w:val="FirstParagraph"/>
      </w:pPr>
      <w:r>
        <w:t xml:space="preserve">RNA was collected from LFs treated with TGFβ and MCT inhibitors as described above. Four biological replicates were analyzed. Library construction and sequencing was performed by BGI Genomics using 100 bp paired end analysis and a read depth of 50 M reads per sample. Sequences were mapped to the human GRCh38 primary assembly and counts summarized using salmon</w:t>
      </w:r>
      <w:r>
        <w:t xml:space="preserve"> </w:t>
      </w:r>
      <w:r>
        <w:rPr>
          <w:i/>
          <w:iCs/>
        </w:rPr>
        <w:t xml:space="preserve">(13)</w:t>
      </w:r>
      <w:r>
        <w:t xml:space="preserve">. Differentially expressed genes were identified using DESeq2</w:t>
      </w:r>
      <w:r>
        <w:t xml:space="preserve"> </w:t>
      </w:r>
      <w:r>
        <w:rPr>
          <w:i/>
          <w:iCs/>
        </w:rPr>
        <w:t xml:space="preserve">(14)</w:t>
      </w:r>
      <w:r>
        <w:t xml:space="preserve">. Gene set enrichment was performed using the fgsea R package</w:t>
      </w:r>
      <w:r>
        <w:t xml:space="preserve"> </w:t>
      </w:r>
      <w:r>
        <w:rPr>
          <w:i/>
          <w:iCs/>
        </w:rPr>
        <w:t xml:space="preserve">(9)</w:t>
      </w:r>
      <w:r>
        <w:t xml:space="preserve">.</w:t>
      </w:r>
    </w:p>
    <w:bookmarkEnd w:id="41"/>
    <w:bookmarkStart w:id="42" w:name="pyridine-dinucleotide-measurements"/>
    <w:p>
      <w:pPr>
        <w:pStyle w:val="Heading2"/>
      </w:pPr>
      <w:r>
        <w:t xml:space="preserve">Pyridine dinucleotide measurements</w:t>
      </w:r>
    </w:p>
    <w:p>
      <w:pPr>
        <w:pStyle w:val="FirstParagraph"/>
      </w:pPr>
      <w:r>
        <w:t xml:space="preserve">Cellular NAD</w:t>
      </w:r>
      <w:r>
        <w:rPr>
          <w:vertAlign w:val="superscript"/>
        </w:rPr>
        <w:t xml:space="preserve">+</w:t>
      </w:r>
      <w:r>
        <w:t xml:space="preserve"> </w:t>
      </w:r>
      <w:r>
        <w:t xml:space="preserve">and NADH were measured using an enzymatic fluorometric cycling assay as previously described</w:t>
      </w:r>
      <w:r>
        <w:t xml:space="preserve"> </w:t>
      </w:r>
      <w:r>
        <w:rPr>
          <w:i/>
          <w:iCs/>
        </w:rPr>
        <w:t xml:space="preserve">(4, 15)</w:t>
      </w:r>
      <w:r>
        <w:t xml:space="preserve">. Samples for NADP</w:t>
      </w:r>
      <w:r>
        <w:rPr>
          <w:vertAlign w:val="superscript"/>
        </w:rPr>
        <w:t xml:space="preserve">+</w:t>
      </w:r>
      <w:r>
        <w:t xml:space="preserve"> </w:t>
      </w:r>
      <w:r>
        <w:t xml:space="preserve">and NADPH quantification were similarly prepared and analyzed using the luminescence-based NADP/NADPH-Glo assay (Promega).</w:t>
      </w:r>
    </w:p>
    <w:bookmarkEnd w:id="42"/>
    <w:bookmarkStart w:id="43" w:name="reactive-oxygen-species"/>
    <w:p>
      <w:pPr>
        <w:pStyle w:val="Heading2"/>
      </w:pPr>
      <w:r>
        <w:t xml:space="preserve">Reactive oxygen species</w:t>
      </w:r>
    </w:p>
    <w:p>
      <w:pPr>
        <w:pStyle w:val="FirstParagraph"/>
      </w:pPr>
      <w:r>
        <w:t xml:space="preserve">Intracellular and mitochondrial ROS were measured using the fluorescent probes CellROX Deep Red (1 μM) and MitoSOX Green (2 μM), respectively. Mitochondria were also labeled with MitoTracker (200 nM). Briefly, lung fibroblasts were seeded in a 24-well plate and serum starved for 24 h prior to treatment with TGFβ, with or without MCT inhibitors, for 3 hours. This was followed by staining with the specified probes for 30 min at 37 °C. The cells were then harvested and analyzed using the CytoFLEX flow cytometry analyzer (Beckman Coulter). The mean fluorescence intensity of DAPI-negative cells was analyzed using FlowJo V10.8.1.</w:t>
      </w:r>
    </w:p>
    <w:bookmarkEnd w:id="43"/>
    <w:bookmarkStart w:id="44" w:name="multi-isotope-imaging-mass-spectrometry"/>
    <w:p>
      <w:pPr>
        <w:pStyle w:val="Heading2"/>
      </w:pPr>
      <w:r>
        <w:t xml:space="preserve">Multi-isotope imaging mass spectrometry</w:t>
      </w:r>
    </w:p>
    <w:p>
      <w:pPr>
        <w:pStyle w:val="FirstParagraph"/>
      </w:pPr>
      <w:r>
        <w:t xml:space="preserve">For multi-isotope imaging mass spectrometry, mice received five intraperitoneal doses of 250 μL of [</w:t>
      </w:r>
      <w:r>
        <w:rPr>
          <w:vertAlign w:val="superscript"/>
        </w:rPr>
        <w:t xml:space="preserve">2</w:t>
      </w:r>
      <w:r>
        <w:t xml:space="preserve">H</w:t>
      </w:r>
      <w:r>
        <w:rPr>
          <w:vertAlign w:val="subscript"/>
        </w:rPr>
        <w:t xml:space="preserve">7</w:t>
      </w:r>
      <w:r>
        <w:t xml:space="preserve">]-glucose or [U-</w:t>
      </w:r>
      <w:r>
        <w:rPr>
          <w:vertAlign w:val="superscript"/>
        </w:rPr>
        <w:t xml:space="preserve">13</w:t>
      </w:r>
      <w:r>
        <w:t xml:space="preserve">C</w:t>
      </w:r>
      <w:r>
        <w:rPr>
          <w:vertAlign w:val="subscript"/>
        </w:rPr>
        <w:t xml:space="preserve">6</w:t>
      </w:r>
      <w:r>
        <w:t xml:space="preserve">]-glucose (200 mg/mL) and [</w:t>
      </w:r>
      <w:r>
        <w:rPr>
          <w:vertAlign w:val="superscript"/>
        </w:rPr>
        <w:t xml:space="preserve">15</w:t>
      </w:r>
      <w:r>
        <w:t xml:space="preserve">N]-proline (20 mg/mL) every 12 h prior to euthanasia on either day 21 or day 14 after bleomycin. Perfused and inflated lungs were fixed with formaldehyde/glutaraldehyde 2.5% in sodium cacodylate buffer, pH 7.4, embedded in EPON, section to 0.5 μm, mounted on silicon wafers, and gold coated. Sections were analyzed with the NanoSIMS 50L (CAMECA) housed in the Brigham and Women’s Hospital Center for NanoImaging, using previously developed analytical protocols</w:t>
      </w:r>
      <w:r>
        <w:t xml:space="preserve"> </w:t>
      </w:r>
      <w:r>
        <w:rPr>
          <w:i/>
          <w:iCs/>
        </w:rPr>
        <w:t xml:space="preserve">(16, 17)</w:t>
      </w:r>
      <w:r>
        <w:t xml:space="preserve">. The instrument was tuned to simultaneously acquire images of</w:t>
      </w:r>
      <w:r>
        <w:t xml:space="preserve"> </w:t>
      </w:r>
      <w:r>
        <w:rPr>
          <w:vertAlign w:val="superscript"/>
        </w:rPr>
        <w:t xml:space="preserve">12</w:t>
      </w:r>
      <w:r>
        <w:t xml:space="preserve">C</w:t>
      </w:r>
      <w:r>
        <w:rPr>
          <w:vertAlign w:val="subscript"/>
        </w:rPr>
        <w:t xml:space="preserve">2</w:t>
      </w:r>
      <w:r>
        <w:rPr>
          <w:vertAlign w:val="superscript"/>
        </w:rPr>
        <w:t xml:space="preserve">1</w:t>
      </w:r>
      <w:r>
        <w:t xml:space="preserve">H,</w:t>
      </w:r>
      <w:r>
        <w:t xml:space="preserve"> </w:t>
      </w:r>
      <w:r>
        <w:rPr>
          <w:vertAlign w:val="superscript"/>
        </w:rPr>
        <w:t xml:space="preserve">12</w:t>
      </w:r>
      <w:r>
        <w:t xml:space="preserve">C</w:t>
      </w:r>
      <w:r>
        <w:rPr>
          <w:vertAlign w:val="superscript"/>
        </w:rPr>
        <w:t xml:space="preserve">14</w:t>
      </w:r>
      <w:r>
        <w:t xml:space="preserve">N,</w:t>
      </w:r>
      <w:r>
        <w:t xml:space="preserve"> </w:t>
      </w:r>
      <w:r>
        <w:rPr>
          <w:vertAlign w:val="superscript"/>
        </w:rPr>
        <w:t xml:space="preserve">12</w:t>
      </w:r>
      <w:r>
        <w:t xml:space="preserve">C</w:t>
      </w:r>
      <w:r>
        <w:rPr>
          <w:vertAlign w:val="subscript"/>
        </w:rPr>
        <w:t xml:space="preserve">2</w:t>
      </w:r>
      <w:r>
        <w:rPr>
          <w:vertAlign w:val="superscript"/>
        </w:rPr>
        <w:t xml:space="preserve">2</w:t>
      </w:r>
      <w:r>
        <w:t xml:space="preserve">H, and</w:t>
      </w:r>
      <w:r>
        <w:t xml:space="preserve"> </w:t>
      </w:r>
      <w:r>
        <w:rPr>
          <w:vertAlign w:val="superscript"/>
        </w:rPr>
        <w:t xml:space="preserve">12</w:t>
      </w:r>
      <w:r>
        <w:t xml:space="preserve">C</w:t>
      </w:r>
      <w:r>
        <w:rPr>
          <w:vertAlign w:val="superscript"/>
        </w:rPr>
        <w:t xml:space="preserve">15</w:t>
      </w:r>
      <w:r>
        <w:t xml:space="preserve">N secondary ions. Spatial distribution visualization and quantification of</w:t>
      </w:r>
      <w:r>
        <w:t xml:space="preserve"> </w:t>
      </w:r>
      <w:r>
        <w:rPr>
          <w:vertAlign w:val="superscript"/>
        </w:rPr>
        <w:t xml:space="preserve">15</w:t>
      </w:r>
      <w:r>
        <w:t xml:space="preserve">N-proline and</w:t>
      </w:r>
      <w:r>
        <w:t xml:space="preserve"> </w:t>
      </w:r>
      <w:r>
        <w:rPr>
          <w:vertAlign w:val="superscript"/>
        </w:rPr>
        <w:t xml:space="preserve">2</w:t>
      </w:r>
      <w:r>
        <w:t xml:space="preserve">H-glucose labeling was derived from</w:t>
      </w:r>
      <w:r>
        <w:t xml:space="preserve"> </w:t>
      </w:r>
      <w:r>
        <w:rPr>
          <w:vertAlign w:val="superscript"/>
        </w:rPr>
        <w:t xml:space="preserve">12</w:t>
      </w:r>
      <w:r>
        <w:t xml:space="preserve">C</w:t>
      </w:r>
      <w:r>
        <w:rPr>
          <w:vertAlign w:val="superscript"/>
        </w:rPr>
        <w:t xml:space="preserve">15</w:t>
      </w:r>
      <w:r>
        <w:t xml:space="preserve">N/</w:t>
      </w:r>
      <w:r>
        <w:rPr>
          <w:vertAlign w:val="superscript"/>
        </w:rPr>
        <w:t xml:space="preserve">12</w:t>
      </w:r>
      <w:r>
        <w:t xml:space="preserve">C</w:t>
      </w:r>
      <w:r>
        <w:rPr>
          <w:vertAlign w:val="superscript"/>
        </w:rPr>
        <w:t xml:space="preserve">14</w:t>
      </w:r>
      <w:r>
        <w:t xml:space="preserve">N and</w:t>
      </w:r>
      <w:r>
        <w:t xml:space="preserve"> </w:t>
      </w:r>
      <w:r>
        <w:rPr>
          <w:vertAlign w:val="superscript"/>
        </w:rPr>
        <w:t xml:space="preserve">12</w:t>
      </w:r>
      <w:r>
        <w:t xml:space="preserve">C</w:t>
      </w:r>
      <w:r>
        <w:rPr>
          <w:vertAlign w:val="subscript"/>
        </w:rPr>
        <w:t xml:space="preserve">2</w:t>
      </w:r>
      <w:r>
        <w:rPr>
          <w:vertAlign w:val="superscript"/>
        </w:rPr>
        <w:t xml:space="preserve">2</w:t>
      </w:r>
      <w:r>
        <w:t xml:space="preserve">H/</w:t>
      </w:r>
      <w:r>
        <w:rPr>
          <w:vertAlign w:val="superscript"/>
        </w:rPr>
        <w:t xml:space="preserve">12</w:t>
      </w:r>
      <w:r>
        <w:t xml:space="preserve">C</w:t>
      </w:r>
      <w:r>
        <w:rPr>
          <w:vertAlign w:val="subscript"/>
        </w:rPr>
        <w:t xml:space="preserve">2</w:t>
      </w:r>
      <w:r>
        <w:rPr>
          <w:vertAlign w:val="superscript"/>
        </w:rPr>
        <w:t xml:space="preserve">1</w:t>
      </w:r>
      <w:r>
        <w:t xml:space="preserve">H ratios, respectively, using an open source plugin to ImageJ, OpenMIMS 3.0 (github.com/BWHCNI/OpenMIMS). Ratio images are presented visually as hue saturation intensity images, with the blue lower bound of the scale set to the natural background ratio and the red upper bound of the scale set such that within tissue labeling differences are visually apparent. Changes to the scaling modify the visual appearance but not affect the quantitative data. Quantification of isotopic enrichment was based on a pixel ratio analysis of several MIMS images acquired per animal. Specifically, image masks were generated by Otsu thresholding the</w:t>
      </w:r>
      <w:r>
        <w:t xml:space="preserve"> </w:t>
      </w:r>
      <w:r>
        <w:rPr>
          <w:vertAlign w:val="superscript"/>
        </w:rPr>
        <w:t xml:space="preserve">12</w:t>
      </w:r>
      <w:r>
        <w:t xml:space="preserve">C</w:t>
      </w:r>
      <w:r>
        <w:rPr>
          <w:vertAlign w:val="superscript"/>
        </w:rPr>
        <w:t xml:space="preserve">14</w:t>
      </w:r>
      <w:r>
        <w:t xml:space="preserve">N to exclude background regions. The ratio of</w:t>
      </w:r>
      <w:r>
        <w:t xml:space="preserve"> </w:t>
      </w:r>
      <w:r>
        <w:t xml:space="preserve">“</w:t>
      </w:r>
      <w:r>
        <w:t xml:space="preserve">heavy</w:t>
      </w:r>
      <w:r>
        <w:t xml:space="preserve">”</w:t>
      </w:r>
      <w:r>
        <w:t xml:space="preserve"> </w:t>
      </w:r>
      <w:r>
        <w:t xml:space="preserve">to</w:t>
      </w:r>
      <w:r>
        <w:t xml:space="preserve"> </w:t>
      </w:r>
      <w:r>
        <w:t xml:space="preserve">“</w:t>
      </w:r>
      <w:r>
        <w:t xml:space="preserve">light</w:t>
      </w:r>
      <w:r>
        <w:t xml:space="preserve">”</w:t>
      </w:r>
      <w:r>
        <w:t xml:space="preserve"> </w:t>
      </w:r>
      <w:r>
        <w:t xml:space="preserve">ion intensities in tissue regions was calculated. Pixel ratios equal to zero were excluded. The average of the remaining pixel ratios was then averaged to provide a mean tissue isotope enrichment value for the image.</w:t>
      </w:r>
    </w:p>
    <w:bookmarkEnd w:id="44"/>
    <w:bookmarkStart w:id="45" w:name="vb253"/>
    <w:p>
      <w:pPr>
        <w:pStyle w:val="Heading2"/>
      </w:pPr>
      <w:r>
        <w:t xml:space="preserve">VB253</w:t>
      </w:r>
    </w:p>
    <w:p>
      <w:pPr>
        <w:pStyle w:val="FirstParagraph"/>
      </w:pPr>
      <w:r>
        <w:t xml:space="preserve">VB253 was developed by Vettore, LLC as a more potent small molecule inhibitor of MCT4. Experiments involving VB253 were conducted by several contract research organizations under the supervision of Vettore, LLC, as described in detail below. These experiments were completed independently of the other studies presented in the manuscript and offer independent validation of the antifibrotic effects of MCT4 inhibition in cells and mice.</w:t>
      </w:r>
    </w:p>
    <w:p>
      <w:pPr>
        <w:pStyle w:val="BodyText"/>
      </w:pPr>
      <w:r>
        <w:t xml:space="preserve">MCT4 and MCT1 inhibition by VB253 were determined using a cell-based lactate transport assay monitoring the change in intracellular pH with BCECF following the addition of extracellular lactate. MDA-MB-231 and BT20 breast cancer cell lines were used to examine MCT4 and MCT1 inhibition, respectively.</w:t>
      </w:r>
    </w:p>
    <w:p>
      <w:pPr>
        <w:pStyle w:val="BodyText"/>
      </w:pPr>
      <w:r>
        <w:t xml:space="preserve">All cell culture experiments were conducted by Charles River Laboratories (Wilmington, MA, USA). Lung fibroblasts from three independent IPF donors were seeded at a density of 750 cells/well in 384-well plates. Fibroblasts were subsequently treated with medium with 0.1% DMSO (vehicle control), 1.25 ng/ml TGFβ alone, 1.25 ng/ml TGFβ in the presence of 1 μM SB525334 (positive control), or 1.25 ng/ml TGFβ with 8-point concentration response curves (CRC) in biologic duplicate with semi-log dilutions of nintedanib or VB253. The top concentration tested was 10 μM. Cells were fixed with 4% paraformaldehyde 72 h post treatment with TGFβ. The principal readout was immunofluorescence staining to for α-SMA and DAPI to quantify the proportion of α-SMA-positive cells.</w:t>
      </w:r>
    </w:p>
    <w:p>
      <w:pPr>
        <w:pStyle w:val="BodyText"/>
      </w:pPr>
      <w:r>
        <w:t xml:space="preserve">SMAD3 nuclear translocation was evaluated in lung fibroblasts from one IPF donor. Cells were plated on Purecol-coated 96-well plates. Unstimulated (medium only) and stimulated cells (0.5 ng/ml TGFβ) were treated with 0.1% DMSO (vehicle control), 1 μM SB525334 (positive control), nintedanib in 8-point CRC, ALK5 inhibitor (SB525334) in 8-point CRC, and VB253 in a 16-point CRC, with a maximum concentration of 30 μM. All cells were fixed 2 h after treatment. The readout was immunofluorescence staining for pSmad3 and DAPI.</w:t>
      </w:r>
    </w:p>
    <w:p>
      <w:pPr>
        <w:pStyle w:val="BodyText"/>
      </w:pPr>
      <w:r>
        <w:t xml:space="preserve">The</w:t>
      </w:r>
      <w:r>
        <w:t xml:space="preserve"> </w:t>
      </w:r>
      <w:r>
        <w:rPr>
          <w:i/>
          <w:iCs/>
        </w:rPr>
        <w:t xml:space="preserve">in vivo</w:t>
      </w:r>
      <w:r>
        <w:t xml:space="preserve"> </w:t>
      </w:r>
      <w:r>
        <w:t xml:space="preserve">therapeutic evaluation of VB253 in bleomycin-induced pulmonary fibrosis in both young and aged mice was conducted by Aragen Biosciences (Morgan Hill, CA, USA). In two separate experiments, C57Bl/6 mice, aged either 6-7 weeks or 68-70 weeks, were obtained from Jackson Labs (Bar Harbor, ME, USA). Under anesthesia, mice were administered either PBS vehicle (N = 10 per experiment) or 1.5 U/kg bleomycin in PBS intratracheally. After 7 days, mice treated with bleomycin were randomized to receive either vehicle (0.5% methylcellulose in saline) (N = 10), VB253 dissolved in 0.5% methylcellulose (3 mg/kg BID), Pirfenidone (Glentham Life Sciences Lid. Cat #GP4948, 100 mg/kg BID), or Nintedinib (Axon MedChem Cat#2648, 50 mg/kg, daily) (N = 10 per group). Mice injected with saline, rather than bleomycin, were administered vehicle. Treatments were administered daily until the experiment was terminated 21 days after bleomycin instillation, approximately 2-4 h after the final treatment dose. Whole-body plethysmography was performed on day 20 using Buxco WBP instrument system measuring Enhanced Pause (Penh) and respiratory rate on unrestrained animals. Upon experiment termination, lungs were inflated with 10% neutral buffered formalin (NBF) and fixed in 10% NBF for histology.</w:t>
      </w:r>
    </w:p>
    <w:p>
      <w:pPr>
        <w:pStyle w:val="BodyText"/>
      </w:pPr>
      <w:r>
        <w:t xml:space="preserve">Histology, imaging, and pathologic analyses were performed by HistoTox Labs (Boulder, CO, USA). Multiple slides per block were sectioned at 5 μm and stained with hematoxylin and eosin (H&amp;E) or by routine immunohistochemistry (IHC) methods for α-SMA. H&amp;E-stained glass slides were evaluated using light microscopy by an ACVP board-certified veterinary pathologist. Lung sections were scored according to the modified Ashcroft scale. Briefly, scores for five representative 200× microscopic fields per sample were averaged to obtain a mean score for each animal. α-SMA-stained glass slides were scanned using an Aperio AT2 whole slide scanner. Whole slide images were annotated to delineate regions of interest (ROI). Exclusions were applied to remove tissue artifacts (folds, tears, non-specific staining), large airways, and blood vessels. Visiopharm (VIS) image analysis software, using imaging filters to separate positive staining from counterstaining and background were applied to quantify α-SMA signal within each sample. Differences in expression levels between samples and treatments were evaluated by calculating the percent positive detection of cells or area within the viable lung tissue.</w:t>
      </w:r>
    </w:p>
    <w:p>
      <w:r>
        <w:br w:type="page"/>
      </w:r>
    </w:p>
    <w:bookmarkEnd w:id="45"/>
    <w:bookmarkEnd w:id="46"/>
    <w:bookmarkStart w:id="82" w:name="references-and-notes"/>
    <w:p>
      <w:pPr>
        <w:pStyle w:val="Heading1"/>
      </w:pPr>
      <w:r>
        <w:t xml:space="preserve">References and Notes</w:t>
      </w:r>
    </w:p>
    <w:bookmarkStart w:id="81" w:name="refs"/>
    <w:bookmarkStart w:id="48" w:name="ref-lee2021"/>
    <w:p>
      <w:pPr>
        <w:pStyle w:val="Bibliography"/>
      </w:pPr>
      <w:r>
        <w:t xml:space="preserve">1. H. Lee, Q. Fei, A. Streicher, W. Zhang, C. Isabelle, P. Patel, H. C. Lam, A. Arciniegas-Rubio, M. Pinilla-Vera, D. P. Amador-Munoz, D. Barragan-Bradford, A. Higuera-Moreno, R. K. Putman, L. M. Sholl, E. P. Henske, C. M. Bobba, N. Higuita-Castro, E. M. Shalosky, R. D. Hite, J. W. Christman, S. N. Ghadiali, R. M. Baron, J. A. Englert,</w:t>
      </w:r>
      <w:r>
        <w:t xml:space="preserve"> </w:t>
      </w:r>
      <w:hyperlink r:id="rId47">
        <w:r>
          <w:rPr>
            <w:rStyle w:val="Hyperlink"/>
          </w:rPr>
          <w:t xml:space="preserve">mTORC1</w:t>
        </w:r>
        <w:r>
          <w:rPr>
            <w:rStyle w:val="Hyperlink"/>
          </w:rPr>
          <w:t xml:space="preserve"> </w:t>
        </w:r>
        <w:r>
          <w:rPr>
            <w:rStyle w:val="Hyperlink"/>
          </w:rPr>
          <w:t xml:space="preserve">is a mechanosensor that regulates surfactant function and lung compliance during ventilator-induced lung injury</w:t>
        </w:r>
      </w:hyperlink>
      <w:r>
        <w:t xml:space="preserve">.</w:t>
      </w:r>
      <w:r>
        <w:t xml:space="preserve"> </w:t>
      </w:r>
      <w:r>
        <w:rPr>
          <w:i/>
          <w:iCs/>
        </w:rPr>
        <w:t xml:space="preserve">JCI Insight</w:t>
      </w:r>
      <w:r>
        <w:t xml:space="preserve"> </w:t>
      </w:r>
      <w:r>
        <w:rPr>
          <w:b/>
          <w:bCs/>
        </w:rPr>
        <w:t xml:space="preserve">6</w:t>
      </w:r>
      <w:r>
        <w:t xml:space="preserve">, e137708 (2021).</w:t>
      </w:r>
    </w:p>
    <w:bookmarkEnd w:id="48"/>
    <w:bookmarkStart w:id="50" w:name="ref-hubner2008"/>
    <w:p>
      <w:pPr>
        <w:pStyle w:val="Bibliography"/>
      </w:pPr>
      <w:r>
        <w:t xml:space="preserve">2. R.-H. Hübner, W. Gitter, N. E. El Mokhtari, M. Mathiak, M. Both, H. Bolte, S. Freitag-Wolf, B. Bewig,</w:t>
      </w:r>
      <w:r>
        <w:t xml:space="preserve"> </w:t>
      </w:r>
      <w:hyperlink r:id="rId49">
        <w:r>
          <w:rPr>
            <w:rStyle w:val="Hyperlink"/>
          </w:rPr>
          <w:t xml:space="preserve">Standardized quantification of pulmonary fibrosis in histological samples</w:t>
        </w:r>
      </w:hyperlink>
      <w:r>
        <w:t xml:space="preserve">.</w:t>
      </w:r>
      <w:r>
        <w:t xml:space="preserve"> </w:t>
      </w:r>
      <w:r>
        <w:rPr>
          <w:i/>
          <w:iCs/>
        </w:rPr>
        <w:t xml:space="preserve">Biotechniques</w:t>
      </w:r>
      <w:r>
        <w:t xml:space="preserve"> </w:t>
      </w:r>
      <w:r>
        <w:rPr>
          <w:b/>
          <w:bCs/>
        </w:rPr>
        <w:t xml:space="preserve">44</w:t>
      </w:r>
      <w:r>
        <w:t xml:space="preserve">, 507–511, 514–517 (2008).</w:t>
      </w:r>
    </w:p>
    <w:bookmarkEnd w:id="50"/>
    <w:bookmarkStart w:id="52" w:name="ref-tager2008"/>
    <w:p>
      <w:pPr>
        <w:pStyle w:val="Bibliography"/>
      </w:pPr>
      <w:r>
        <w:t xml:space="preserve">3. A. M. Tager, P. LaCamera, B. S. Shea, G. S. Campanella, M. Selman, Z. Zhao, V. Polosukhin, J. Wain, B. A. Karimi-Shah, N. D. Kim, W. K. Hart, A. Pardo, T. S. Blackwell, Y. Xu, J. Chun, A. D. Luster,</w:t>
      </w:r>
      <w:r>
        <w:t xml:space="preserve"> </w:t>
      </w:r>
      <w:hyperlink r:id="rId51">
        <w:r>
          <w:rPr>
            <w:rStyle w:val="Hyperlink"/>
          </w:rPr>
          <w:t xml:space="preserve">The lysophosphatidic acid receptor</w:t>
        </w:r>
        <w:r>
          <w:rPr>
            <w:rStyle w:val="Hyperlink"/>
          </w:rPr>
          <w:t xml:space="preserve"> </w:t>
        </w:r>
        <w:r>
          <w:rPr>
            <w:rStyle w:val="Hyperlink"/>
          </w:rPr>
          <w:t xml:space="preserve">LPA1</w:t>
        </w:r>
        <w:r>
          <w:rPr>
            <w:rStyle w:val="Hyperlink"/>
          </w:rPr>
          <w:t xml:space="preserve"> </w:t>
        </w:r>
        <w:r>
          <w:rPr>
            <w:rStyle w:val="Hyperlink"/>
          </w:rPr>
          <w:t xml:space="preserve">links pulmonary fibrosis to lung injury by mediating fibroblast recruitment and vascular leak</w:t>
        </w:r>
      </w:hyperlink>
      <w:r>
        <w:t xml:space="preserve">.</w:t>
      </w:r>
      <w:r>
        <w:t xml:space="preserve"> </w:t>
      </w:r>
      <w:r>
        <w:rPr>
          <w:i/>
          <w:iCs/>
        </w:rPr>
        <w:t xml:space="preserve">Nat Med</w:t>
      </w:r>
      <w:r>
        <w:t xml:space="preserve"> </w:t>
      </w:r>
      <w:r>
        <w:rPr>
          <w:b/>
          <w:bCs/>
        </w:rPr>
        <w:t xml:space="preserve">14</w:t>
      </w:r>
      <w:r>
        <w:t xml:space="preserve">, 45–54 (2008).</w:t>
      </w:r>
    </w:p>
    <w:bookmarkEnd w:id="52"/>
    <w:bookmarkStart w:id="54" w:name="ref-copeland2023"/>
    <w:p>
      <w:pPr>
        <w:pStyle w:val="Bibliography"/>
      </w:pPr>
      <w:r>
        <w:t xml:space="preserve">4. C. A. Copeland, B. A. Olenchock, D. Ziehr, S. McGarrity, K. Leahy, J. D. Young, J. Loscalzo, W. M. Oldham,</w:t>
      </w:r>
      <w:r>
        <w:t xml:space="preserve"> </w:t>
      </w:r>
      <w:hyperlink r:id="rId53">
        <w:r>
          <w:rPr>
            <w:rStyle w:val="Hyperlink"/>
          </w:rPr>
          <w:t xml:space="preserve">MYC</w:t>
        </w:r>
        <w:r>
          <w:rPr>
            <w:rStyle w:val="Hyperlink"/>
          </w:rPr>
          <w:t xml:space="preserve"> </w:t>
        </w:r>
        <w:r>
          <w:rPr>
            <w:rStyle w:val="Hyperlink"/>
          </w:rPr>
          <w:t xml:space="preserve">overrides</w:t>
        </w:r>
        <w:r>
          <w:rPr>
            <w:rStyle w:val="Hyperlink"/>
          </w:rPr>
          <w:t xml:space="preserve"> </w:t>
        </w:r>
        <w:r>
          <w:rPr>
            <w:rStyle w:val="Hyperlink"/>
          </w:rPr>
          <w:t xml:space="preserve">HIF-1α</w:t>
        </w:r>
        <w:r>
          <w:rPr>
            <w:rStyle w:val="Hyperlink"/>
          </w:rPr>
          <w:t xml:space="preserve"> </w:t>
        </w:r>
        <w:r>
          <w:rPr>
            <w:rStyle w:val="Hyperlink"/>
          </w:rPr>
          <w:t xml:space="preserve">to regulate proliferating primary cell metabolism in hypoxia</w:t>
        </w:r>
      </w:hyperlink>
      <w:r>
        <w:t xml:space="preserve">.</w:t>
      </w:r>
      <w:r>
        <w:t xml:space="preserve"> </w:t>
      </w:r>
      <w:r>
        <w:rPr>
          <w:i/>
          <w:iCs/>
        </w:rPr>
        <w:t xml:space="preserve">Elife</w:t>
      </w:r>
      <w:r>
        <w:t xml:space="preserve"> </w:t>
      </w:r>
      <w:r>
        <w:rPr>
          <w:b/>
          <w:bCs/>
        </w:rPr>
        <w:t xml:space="preserve">12</w:t>
      </w:r>
      <w:r>
        <w:t xml:space="preserve">, e82597 (2023).</w:t>
      </w:r>
    </w:p>
    <w:bookmarkEnd w:id="54"/>
    <w:bookmarkStart w:id="56" w:name="ref-mookerjee2017"/>
    <w:p>
      <w:pPr>
        <w:pStyle w:val="Bibliography"/>
      </w:pPr>
      <w:r>
        <w:t xml:space="preserve">5. S. A. Mookerjee, A. A. Gerencser, D. G. Nicholls, M. D. Brand,</w:t>
      </w:r>
      <w:r>
        <w:t xml:space="preserve"> </w:t>
      </w:r>
      <w:hyperlink r:id="rId55">
        <w:r>
          <w:rPr>
            <w:rStyle w:val="Hyperlink"/>
          </w:rPr>
          <w:t xml:space="preserve">Quantifying intracellular rates of glycolytic and oxidative</w:t>
        </w:r>
        <w:r>
          <w:rPr>
            <w:rStyle w:val="Hyperlink"/>
          </w:rPr>
          <w:t xml:space="preserve"> </w:t>
        </w:r>
        <w:r>
          <w:rPr>
            <w:rStyle w:val="Hyperlink"/>
          </w:rPr>
          <w:t xml:space="preserve">ATP</w:t>
        </w:r>
        <w:r>
          <w:rPr>
            <w:rStyle w:val="Hyperlink"/>
          </w:rPr>
          <w:t xml:space="preserve"> </w:t>
        </w:r>
        <w:r>
          <w:rPr>
            <w:rStyle w:val="Hyperlink"/>
          </w:rPr>
          <w:t xml:space="preserve">production and consumption using extracellular flux measurements</w:t>
        </w:r>
      </w:hyperlink>
      <w:r>
        <w:t xml:space="preserve">.</w:t>
      </w:r>
      <w:r>
        <w:t xml:space="preserve"> </w:t>
      </w:r>
      <w:r>
        <w:rPr>
          <w:i/>
          <w:iCs/>
        </w:rPr>
        <w:t xml:space="preserve">J Biol Chem</w:t>
      </w:r>
      <w:r>
        <w:t xml:space="preserve"> </w:t>
      </w:r>
      <w:r>
        <w:rPr>
          <w:b/>
          <w:bCs/>
        </w:rPr>
        <w:t xml:space="preserve">292</w:t>
      </w:r>
      <w:r>
        <w:t xml:space="preserve">, 7189–7207 (2017).</w:t>
      </w:r>
    </w:p>
    <w:bookmarkEnd w:id="56"/>
    <w:bookmarkStart w:id="58" w:name="ref-broadhurst2018"/>
    <w:p>
      <w:pPr>
        <w:pStyle w:val="Bibliography"/>
      </w:pPr>
      <w:r>
        <w:t xml:space="preserve">6. D. Broadhurst, R. Goodacre, S. N. Reinke, J. Kuligowski, I. D. Wilson, M. R. Lewis, W. B. Dunn,</w:t>
      </w:r>
      <w:r>
        <w:t xml:space="preserve"> </w:t>
      </w:r>
      <w:hyperlink r:id="rId57">
        <w:r>
          <w:rPr>
            <w:rStyle w:val="Hyperlink"/>
          </w:rPr>
          <w:t xml:space="preserve">Guidelines and considerations for the use of system suitability and quality control samples in mass spectrometry assays applied in untargeted clinical metabolomic studies</w:t>
        </w:r>
      </w:hyperlink>
      <w:r>
        <w:t xml:space="preserve">.</w:t>
      </w:r>
      <w:r>
        <w:t xml:space="preserve"> </w:t>
      </w:r>
      <w:r>
        <w:rPr>
          <w:i/>
          <w:iCs/>
        </w:rPr>
        <w:t xml:space="preserve">Metabolomics</w:t>
      </w:r>
      <w:r>
        <w:t xml:space="preserve"> </w:t>
      </w:r>
      <w:r>
        <w:rPr>
          <w:b/>
          <w:bCs/>
        </w:rPr>
        <w:t xml:space="preserve">14</w:t>
      </w:r>
      <w:r>
        <w:t xml:space="preserve">, 72 (2018).</w:t>
      </w:r>
    </w:p>
    <w:bookmarkEnd w:id="58"/>
    <w:bookmarkStart w:id="60" w:name="ref-dieterle2006"/>
    <w:p>
      <w:pPr>
        <w:pStyle w:val="Bibliography"/>
      </w:pPr>
      <w:r>
        <w:t xml:space="preserve">7. F. Dieterle, A. Ross, G. Schlotterbeck, H. Senn,</w:t>
      </w:r>
      <w:r>
        <w:t xml:space="preserve"> </w:t>
      </w:r>
      <w:hyperlink r:id="rId59">
        <w:r>
          <w:rPr>
            <w:rStyle w:val="Hyperlink"/>
          </w:rPr>
          <w:t xml:space="preserve">Probabilistic quotient normalization as robust method to account for dilution of complex biological mixtures.</w:t>
        </w:r>
        <w:r>
          <w:rPr>
            <w:rStyle w:val="Hyperlink"/>
          </w:rPr>
          <w:t xml:space="preserve"> </w:t>
        </w:r>
        <w:r>
          <w:rPr>
            <w:rStyle w:val="Hyperlink"/>
          </w:rPr>
          <w:t xml:space="preserve">Application</w:t>
        </w:r>
        <w:r>
          <w:rPr>
            <w:rStyle w:val="Hyperlink"/>
          </w:rPr>
          <w:t xml:space="preserve"> </w:t>
        </w:r>
        <w:r>
          <w:rPr>
            <w:rStyle w:val="Hyperlink"/>
          </w:rPr>
          <w:t xml:space="preserve">in</w:t>
        </w:r>
        <w:r>
          <w:rPr>
            <w:rStyle w:val="Hyperlink"/>
          </w:rPr>
          <w:t xml:space="preserve"> </w:t>
        </w:r>
        <w:r>
          <w:rPr>
            <w:rStyle w:val="Hyperlink"/>
          </w:rPr>
          <w:t xml:space="preserve">1H NMR</w:t>
        </w:r>
        <w:r>
          <w:rPr>
            <w:rStyle w:val="Hyperlink"/>
          </w:rPr>
          <w:t xml:space="preserve"> </w:t>
        </w:r>
        <w:r>
          <w:rPr>
            <w:rStyle w:val="Hyperlink"/>
          </w:rPr>
          <w:t xml:space="preserve">metabonomics</w:t>
        </w:r>
      </w:hyperlink>
      <w:r>
        <w:t xml:space="preserve">.</w:t>
      </w:r>
      <w:r>
        <w:t xml:space="preserve"> </w:t>
      </w:r>
      <w:r>
        <w:rPr>
          <w:i/>
          <w:iCs/>
        </w:rPr>
        <w:t xml:space="preserve">Anal Chem</w:t>
      </w:r>
      <w:r>
        <w:t xml:space="preserve"> </w:t>
      </w:r>
      <w:r>
        <w:rPr>
          <w:b/>
          <w:bCs/>
        </w:rPr>
        <w:t xml:space="preserve">78</w:t>
      </w:r>
      <w:r>
        <w:t xml:space="preserve">, 4281–4290 (2006).</w:t>
      </w:r>
    </w:p>
    <w:bookmarkEnd w:id="60"/>
    <w:bookmarkStart w:id="62" w:name="ref-ritchie2015"/>
    <w:p>
      <w:pPr>
        <w:pStyle w:val="Bibliography"/>
      </w:pPr>
      <w:r>
        <w:t xml:space="preserve">8. M. E. Ritchie, B. Phipson, D. Wu, Y. Hu, C. W. Law, W. Shi, G. K. Smyth,</w:t>
      </w:r>
      <w:r>
        <w:t xml:space="preserve"> </w:t>
      </w:r>
      <w:hyperlink r:id="rId61">
        <w:r>
          <w:rPr>
            <w:rStyle w:val="Hyperlink"/>
          </w:rPr>
          <w:t xml:space="preserve">Limma powers differential expression analyses for</w:t>
        </w:r>
        <w:r>
          <w:rPr>
            <w:rStyle w:val="Hyperlink"/>
          </w:rPr>
          <w:t xml:space="preserve"> </w:t>
        </w:r>
        <w:r>
          <w:rPr>
            <w:rStyle w:val="Hyperlink"/>
          </w:rPr>
          <w:t xml:space="preserve">RNA-sequencing</w:t>
        </w:r>
        <w:r>
          <w:rPr>
            <w:rStyle w:val="Hyperlink"/>
          </w:rPr>
          <w:t xml:space="preserve"> </w:t>
        </w:r>
        <w:r>
          <w:rPr>
            <w:rStyle w:val="Hyperlink"/>
          </w:rPr>
          <w:t xml:space="preserve">and microarray studies</w:t>
        </w:r>
      </w:hyperlink>
      <w:r>
        <w:t xml:space="preserve">.</w:t>
      </w:r>
      <w:r>
        <w:t xml:space="preserve"> </w:t>
      </w:r>
      <w:r>
        <w:rPr>
          <w:i/>
          <w:iCs/>
        </w:rPr>
        <w:t xml:space="preserve">Nucleic Acids Res</w:t>
      </w:r>
      <w:r>
        <w:t xml:space="preserve"> </w:t>
      </w:r>
      <w:r>
        <w:rPr>
          <w:b/>
          <w:bCs/>
        </w:rPr>
        <w:t xml:space="preserve">43</w:t>
      </w:r>
      <w:r>
        <w:t xml:space="preserve">, e47 (2015).</w:t>
      </w:r>
    </w:p>
    <w:bookmarkEnd w:id="62"/>
    <w:bookmarkStart w:id="64" w:name="ref-korotkevich2021"/>
    <w:p>
      <w:pPr>
        <w:pStyle w:val="Bibliography"/>
      </w:pPr>
      <w:r>
        <w:t xml:space="preserve">9. G. Korotkevich, V. Sukhov, N. Budin, B. Shpak, M. N. Artyomov, A. Sergushichev,</w:t>
      </w:r>
      <w:r>
        <w:t xml:space="preserve"> </w:t>
      </w:r>
      <w:hyperlink r:id="rId63">
        <w:r>
          <w:rPr>
            <w:rStyle w:val="Hyperlink"/>
          </w:rPr>
          <w:t xml:space="preserve">Fast gene set enrichment analysis</w:t>
        </w:r>
      </w:hyperlink>
      <w:r>
        <w:t xml:space="preserve">, 060012 (2021).</w:t>
      </w:r>
    </w:p>
    <w:bookmarkEnd w:id="64"/>
    <w:bookmarkStart w:id="66" w:name="ref-kanehisa2000"/>
    <w:p>
      <w:pPr>
        <w:pStyle w:val="Bibliography"/>
      </w:pPr>
      <w:r>
        <w:t xml:space="preserve">10. M. Kanehisa, S. Goto,</w:t>
      </w:r>
      <w:r>
        <w:t xml:space="preserve"> </w:t>
      </w:r>
      <w:hyperlink r:id="rId65">
        <w:r>
          <w:rPr>
            <w:rStyle w:val="Hyperlink"/>
          </w:rPr>
          <w:t xml:space="preserve">KEGG</w:t>
        </w:r>
        <w:r>
          <w:rPr>
            <w:rStyle w:val="Hyperlink"/>
          </w:rPr>
          <w:t xml:space="preserve">: Kyoto encyclopedia of genes and genomes</w:t>
        </w:r>
      </w:hyperlink>
      <w:r>
        <w:t xml:space="preserve">.</w:t>
      </w:r>
      <w:r>
        <w:t xml:space="preserve"> </w:t>
      </w:r>
      <w:r>
        <w:rPr>
          <w:i/>
          <w:iCs/>
        </w:rPr>
        <w:t xml:space="preserve">Nucleic Acids Res</w:t>
      </w:r>
      <w:r>
        <w:t xml:space="preserve"> </w:t>
      </w:r>
      <w:r>
        <w:rPr>
          <w:b/>
          <w:bCs/>
        </w:rPr>
        <w:t xml:space="preserve">28</w:t>
      </w:r>
      <w:r>
        <w:t xml:space="preserve">, 27–30 (2000).</w:t>
      </w:r>
    </w:p>
    <w:bookmarkEnd w:id="66"/>
    <w:bookmarkStart w:id="68" w:name="ref-kim2015"/>
    <w:p>
      <w:pPr>
        <w:pStyle w:val="Bibliography"/>
      </w:pPr>
      <w:r>
        <w:t xml:space="preserve">11. D. Kim, B. P. Fiske, K. Birsoy, E. Freinkman, K. Kami, R. L. Possemato, Y. Chudnovsky, M. E. Pacold, W. W. Chen, J. R. Cantor, L. M. Shelton, D. Y. Gui, M. Kwon, S. H. Ramkissoon, K. L. Ligon, S. W. Kang, M. Snuderl, M. G. Vander Heiden, D. M. Sabatini,</w:t>
      </w:r>
      <w:r>
        <w:t xml:space="preserve"> </w:t>
      </w:r>
      <w:hyperlink r:id="rId67">
        <w:r>
          <w:rPr>
            <w:rStyle w:val="Hyperlink"/>
          </w:rPr>
          <w:t xml:space="preserve">SHMT2</w:t>
        </w:r>
        <w:r>
          <w:rPr>
            <w:rStyle w:val="Hyperlink"/>
          </w:rPr>
          <w:t xml:space="preserve"> </w:t>
        </w:r>
        <w:r>
          <w:rPr>
            <w:rStyle w:val="Hyperlink"/>
          </w:rPr>
          <w:t xml:space="preserve">drives glioma cell survival in ischaemia but imposes a dependence on glycine clearance</w:t>
        </w:r>
      </w:hyperlink>
      <w:r>
        <w:t xml:space="preserve">.</w:t>
      </w:r>
      <w:r>
        <w:t xml:space="preserve"> </w:t>
      </w:r>
      <w:r>
        <w:rPr>
          <w:i/>
          <w:iCs/>
        </w:rPr>
        <w:t xml:space="preserve">Nature</w:t>
      </w:r>
      <w:r>
        <w:t xml:space="preserve"> </w:t>
      </w:r>
      <w:r>
        <w:rPr>
          <w:b/>
          <w:bCs/>
        </w:rPr>
        <w:t xml:space="preserve">520</w:t>
      </w:r>
      <w:r>
        <w:t xml:space="preserve">, 363–367 (2015).</w:t>
      </w:r>
    </w:p>
    <w:bookmarkEnd w:id="68"/>
    <w:bookmarkStart w:id="70" w:name="ref-fernandez1996"/>
    <w:p>
      <w:pPr>
        <w:pStyle w:val="Bibliography"/>
      </w:pPr>
      <w:r>
        <w:t xml:space="preserve">12. C. A. Fernandez, C. Des Rosiers, S. F. Previs, F. David, H. Brunengraber,</w:t>
      </w:r>
      <w:r>
        <w:t xml:space="preserve"> </w:t>
      </w:r>
      <w:hyperlink r:id="rId69">
        <w:r>
          <w:rPr>
            <w:rStyle w:val="Hyperlink"/>
          </w:rPr>
          <w:t xml:space="preserve">Correction of</w:t>
        </w:r>
        <w:r>
          <w:rPr>
            <w:rStyle w:val="Hyperlink"/>
          </w:rPr>
          <w:t xml:space="preserve"> </w:t>
        </w:r>
        <w:r>
          <w:rPr>
            <w:rStyle w:val="Hyperlink"/>
          </w:rPr>
          <w:t xml:space="preserve">13C</w:t>
        </w:r>
        <w:r>
          <w:rPr>
            <w:rStyle w:val="Hyperlink"/>
          </w:rPr>
          <w:t xml:space="preserve"> </w:t>
        </w:r>
        <w:r>
          <w:rPr>
            <w:rStyle w:val="Hyperlink"/>
          </w:rPr>
          <w:t xml:space="preserve">mass isotopomer distributions for natural stable isotope abundance</w:t>
        </w:r>
      </w:hyperlink>
      <w:r>
        <w:t xml:space="preserve">.</w:t>
      </w:r>
      <w:r>
        <w:t xml:space="preserve"> </w:t>
      </w:r>
      <w:r>
        <w:rPr>
          <w:i/>
          <w:iCs/>
        </w:rPr>
        <w:t xml:space="preserve">J Mass Spectrom</w:t>
      </w:r>
      <w:r>
        <w:t xml:space="preserve"> </w:t>
      </w:r>
      <w:r>
        <w:rPr>
          <w:b/>
          <w:bCs/>
        </w:rPr>
        <w:t xml:space="preserve">31</w:t>
      </w:r>
      <w:r>
        <w:t xml:space="preserve">, 255–262 (1996).</w:t>
      </w:r>
    </w:p>
    <w:bookmarkEnd w:id="70"/>
    <w:bookmarkStart w:id="72" w:name="ref-patro2017"/>
    <w:p>
      <w:pPr>
        <w:pStyle w:val="Bibliography"/>
      </w:pPr>
      <w:r>
        <w:t xml:space="preserve">13. R. Patro, G. Duggal, M. I. Love, R. A. Irizarry, C. Kingsford,</w:t>
      </w:r>
      <w:r>
        <w:t xml:space="preserve"> </w:t>
      </w:r>
      <w:hyperlink r:id="rId71">
        <w:r>
          <w:rPr>
            <w:rStyle w:val="Hyperlink"/>
          </w:rPr>
          <w:t xml:space="preserve">Salmon provides fast and bias-aware quantification of transcript expression</w:t>
        </w:r>
      </w:hyperlink>
      <w:r>
        <w:t xml:space="preserve">.</w:t>
      </w:r>
      <w:r>
        <w:t xml:space="preserve"> </w:t>
      </w:r>
      <w:r>
        <w:rPr>
          <w:i/>
          <w:iCs/>
        </w:rPr>
        <w:t xml:space="preserve">Nat Methods</w:t>
      </w:r>
      <w:r>
        <w:t xml:space="preserve"> </w:t>
      </w:r>
      <w:r>
        <w:rPr>
          <w:b/>
          <w:bCs/>
        </w:rPr>
        <w:t xml:space="preserve">14</w:t>
      </w:r>
      <w:r>
        <w:t xml:space="preserve">, 417–419 (2017).</w:t>
      </w:r>
    </w:p>
    <w:bookmarkEnd w:id="72"/>
    <w:bookmarkStart w:id="74" w:name="ref-love2014"/>
    <w:p>
      <w:pPr>
        <w:pStyle w:val="Bibliography"/>
      </w:pPr>
      <w:r>
        <w:t xml:space="preserve">14. M. I. Love, W. Huber, S. Anders,</w:t>
      </w:r>
      <w:r>
        <w:t xml:space="preserve"> </w:t>
      </w:r>
      <w:hyperlink r:id="rId73">
        <w:r>
          <w:rPr>
            <w:rStyle w:val="Hyperlink"/>
          </w:rPr>
          <w:t xml:space="preserve">Moderated estimation of fold change and dispersion for</w:t>
        </w:r>
        <w:r>
          <w:rPr>
            <w:rStyle w:val="Hyperlink"/>
          </w:rPr>
          <w:t xml:space="preserve"> </w:t>
        </w:r>
        <w:r>
          <w:rPr>
            <w:rStyle w:val="Hyperlink"/>
          </w:rPr>
          <w:t xml:space="preserve">RNA-seq</w:t>
        </w:r>
        <w:r>
          <w:rPr>
            <w:rStyle w:val="Hyperlink"/>
          </w:rPr>
          <w:t xml:space="preserve"> </w:t>
        </w:r>
        <w:r>
          <w:rPr>
            <w:rStyle w:val="Hyperlink"/>
          </w:rPr>
          <w:t xml:space="preserve">data with</w:t>
        </w:r>
        <w:r>
          <w:rPr>
            <w:rStyle w:val="Hyperlink"/>
          </w:rPr>
          <w:t xml:space="preserve"> </w:t>
        </w:r>
        <w:r>
          <w:rPr>
            <w:rStyle w:val="Hyperlink"/>
          </w:rPr>
          <w:t xml:space="preserve">DESeq2</w:t>
        </w:r>
      </w:hyperlink>
      <w:r>
        <w:t xml:space="preserve">.</w:t>
      </w:r>
      <w:r>
        <w:t xml:space="preserve"> </w:t>
      </w:r>
      <w:r>
        <w:rPr>
          <w:i/>
          <w:iCs/>
        </w:rPr>
        <w:t xml:space="preserve">Genome Biol</w:t>
      </w:r>
      <w:r>
        <w:t xml:space="preserve"> </w:t>
      </w:r>
      <w:r>
        <w:rPr>
          <w:b/>
          <w:bCs/>
        </w:rPr>
        <w:t xml:space="preserve">15</w:t>
      </w:r>
      <w:r>
        <w:t xml:space="preserve">, 550 (2014).</w:t>
      </w:r>
    </w:p>
    <w:bookmarkEnd w:id="74"/>
    <w:bookmarkStart w:id="76" w:name="ref-oldham2015"/>
    <w:p>
      <w:pPr>
        <w:pStyle w:val="Bibliography"/>
      </w:pPr>
      <w:r>
        <w:t xml:space="preserve">15. W. M. Oldham, C. B. Clish, Y. Yang, J. Loscalzo,</w:t>
      </w:r>
      <w:r>
        <w:t xml:space="preserve"> </w:t>
      </w:r>
      <w:hyperlink r:id="rId75">
        <w:r>
          <w:rPr>
            <w:rStyle w:val="Hyperlink"/>
          </w:rPr>
          <w:t xml:space="preserve">Hypoxia-</w:t>
        </w:r>
        <w:r>
          <w:rPr>
            <w:rStyle w:val="Hyperlink"/>
          </w:rPr>
          <w:t xml:space="preserve">Mediated Increases</w:t>
        </w:r>
        <w:r>
          <w:rPr>
            <w:rStyle w:val="Hyperlink"/>
          </w:rPr>
          <w:t xml:space="preserve"> </w:t>
        </w:r>
        <w:r>
          <w:rPr>
            <w:rStyle w:val="Hyperlink"/>
          </w:rPr>
          <w:t xml:space="preserve">in</w:t>
        </w:r>
        <w:r>
          <w:rPr>
            <w:rStyle w:val="Hyperlink"/>
          </w:rPr>
          <w:t xml:space="preserve"> </w:t>
        </w:r>
        <w:r>
          <w:rPr>
            <w:rStyle w:val="Hyperlink"/>
          </w:rPr>
          <w:t xml:space="preserve">L-2-hydroxyglutarate Coordinate</w:t>
        </w:r>
        <w:r>
          <w:rPr>
            <w:rStyle w:val="Hyperlink"/>
          </w:rPr>
          <w:t xml:space="preserve"> </w:t>
        </w:r>
        <w:r>
          <w:rPr>
            <w:rStyle w:val="Hyperlink"/>
          </w:rPr>
          <w:t xml:space="preserve">the</w:t>
        </w:r>
        <w:r>
          <w:rPr>
            <w:rStyle w:val="Hyperlink"/>
          </w:rPr>
          <w:t xml:space="preserve"> </w:t>
        </w:r>
        <w:r>
          <w:rPr>
            <w:rStyle w:val="Hyperlink"/>
          </w:rPr>
          <w:t xml:space="preserve">Metabolic Response</w:t>
        </w:r>
        <w:r>
          <w:rPr>
            <w:rStyle w:val="Hyperlink"/>
          </w:rPr>
          <w:t xml:space="preserve"> </w:t>
        </w:r>
        <w:r>
          <w:rPr>
            <w:rStyle w:val="Hyperlink"/>
          </w:rPr>
          <w:t xml:space="preserve">to</w:t>
        </w:r>
        <w:r>
          <w:rPr>
            <w:rStyle w:val="Hyperlink"/>
          </w:rPr>
          <w:t xml:space="preserve"> </w:t>
        </w:r>
        <w:r>
          <w:rPr>
            <w:rStyle w:val="Hyperlink"/>
          </w:rPr>
          <w:t xml:space="preserve">Reductive Stress</w:t>
        </w:r>
      </w:hyperlink>
      <w:r>
        <w:t xml:space="preserve">.</w:t>
      </w:r>
      <w:r>
        <w:t xml:space="preserve"> </w:t>
      </w:r>
      <w:r>
        <w:rPr>
          <w:i/>
          <w:iCs/>
        </w:rPr>
        <w:t xml:space="preserve">Cell Metab</w:t>
      </w:r>
      <w:r>
        <w:t xml:space="preserve"> </w:t>
      </w:r>
      <w:r>
        <w:rPr>
          <w:b/>
          <w:bCs/>
        </w:rPr>
        <w:t xml:space="preserve">22</w:t>
      </w:r>
      <w:r>
        <w:t xml:space="preserve">, 291–303 (2015).</w:t>
      </w:r>
    </w:p>
    <w:bookmarkEnd w:id="76"/>
    <w:bookmarkStart w:id="78" w:name="ref-wertheim2023"/>
    <w:p>
      <w:pPr>
        <w:pStyle w:val="Bibliography"/>
      </w:pPr>
      <w:r>
        <w:t xml:space="preserve">16. B. M. Wertheim, R.-S. Wang, C. Guillermier, C. V. Hütter, W. M. Oldham, J. Menche, M. L. Steinhauser, B. A. Maron,</w:t>
      </w:r>
      <w:r>
        <w:t xml:space="preserve"> </w:t>
      </w:r>
      <w:hyperlink r:id="rId77">
        <w:r>
          <w:rPr>
            <w:rStyle w:val="Hyperlink"/>
          </w:rPr>
          <w:t xml:space="preserve">Proline and glucose metabolic reprogramming supports vascular endothelial and medial biomass in pulmonary arterial hypertension</w:t>
        </w:r>
      </w:hyperlink>
      <w:r>
        <w:t xml:space="preserve">.</w:t>
      </w:r>
      <w:r>
        <w:t xml:space="preserve"> </w:t>
      </w:r>
      <w:r>
        <w:rPr>
          <w:i/>
          <w:iCs/>
        </w:rPr>
        <w:t xml:space="preserve">JCI Insight</w:t>
      </w:r>
      <w:r>
        <w:t xml:space="preserve"> </w:t>
      </w:r>
      <w:r>
        <w:rPr>
          <w:b/>
          <w:bCs/>
        </w:rPr>
        <w:t xml:space="preserve">8</w:t>
      </w:r>
      <w:r>
        <w:t xml:space="preserve">, e163932 (2023).</w:t>
      </w:r>
    </w:p>
    <w:bookmarkEnd w:id="78"/>
    <w:bookmarkStart w:id="80" w:name="ref-guillermier2017a"/>
    <w:p>
      <w:pPr>
        <w:pStyle w:val="Bibliography"/>
      </w:pPr>
      <w:r>
        <w:t xml:space="preserve">17. C. Guillermier, P. K. Fazeli, S. Kim, M. Lun, J. P. Zuflacht, J. Milian, H. Lee, H. Francois-Saint-Cyr, F. Horreard, D. Larson, E. D. Rosen, R. T. Lee, C. P. Lechene, M. L. Steinhauser,</w:t>
      </w:r>
      <w:r>
        <w:t xml:space="preserve"> </w:t>
      </w:r>
      <w:hyperlink r:id="rId79">
        <w:r>
          <w:rPr>
            <w:rStyle w:val="Hyperlink"/>
          </w:rPr>
          <w:t xml:space="preserve">Imaging mass spectrometry demonstrates age-related decline in human adipose plasticity</w:t>
        </w:r>
      </w:hyperlink>
      <w:r>
        <w:t xml:space="preserve">.</w:t>
      </w:r>
      <w:r>
        <w:t xml:space="preserve"> </w:t>
      </w:r>
      <w:r>
        <w:rPr>
          <w:i/>
          <w:iCs/>
        </w:rPr>
        <w:t xml:space="preserve">JCI Insight</w:t>
      </w:r>
      <w:r>
        <w:t xml:space="preserve"> </w:t>
      </w:r>
      <w:r>
        <w:rPr>
          <w:b/>
          <w:bCs/>
        </w:rPr>
        <w:t xml:space="preserve">2</w:t>
      </w:r>
      <w:r>
        <w:t xml:space="preserve">, e90349 (2017).</w:t>
      </w:r>
    </w:p>
    <w:bookmarkEnd w:id="80"/>
    <w:bookmarkEnd w:id="81"/>
    <w:p>
      <w:r>
        <w:br w:type="page"/>
      </w:r>
    </w:p>
    <w:bookmarkEnd w:id="82"/>
    <w:bookmarkStart w:id="113" w:name="figures"/>
    <w:p>
      <w:pPr>
        <w:pStyle w:val="Heading1"/>
      </w:pPr>
      <w:r>
        <w:t xml:space="preserve">Figures</w:t>
      </w:r>
    </w:p>
    <w:p>
      <w:pPr>
        <w:pStyle w:val="CaptionedFigure"/>
      </w:pPr>
      <w:r>
        <w:drawing>
          <wp:inline>
            <wp:extent cx="3960361" cy="5636251"/>
            <wp:effectExtent b="0" l="0" r="0" t="0"/>
            <wp:docPr descr="Fig. S1. Lactate transport inhibition decreases myofibroblast differentiation in vitro. (A) Cell count following siRNA-mediated MCT knockdown. (B) Small molecule inhibitors of MCT1/2 (AR-C155858, AR) or MCT4 (VB124, VB) decrease TGFβ-stimulated α-SMA expression in normal human lung fibroblasts. (C-D) Cell counts following pharmacologic inhibition of lactate transporters. Summary data are mean ± SEM (* p-value-value &lt; 0.05; black compares TGFβ to control within a given treatment, colored compares the treatment effect to control for a given condition)." title="" id="84" name="Picture"/>
            <a:graphic>
              <a:graphicData uri="http://schemas.openxmlformats.org/drawingml/2006/picture">
                <pic:pic>
                  <pic:nvPicPr>
                    <pic:cNvPr descr="figs/SF_01.png" id="85" name="Picture"/>
                    <pic:cNvPicPr>
                      <a:picLocks noChangeArrowheads="1" noChangeAspect="1"/>
                    </pic:cNvPicPr>
                  </pic:nvPicPr>
                  <pic:blipFill>
                    <a:blip r:embed="rId83"/>
                    <a:stretch>
                      <a:fillRect/>
                    </a:stretch>
                  </pic:blipFill>
                  <pic:spPr bwMode="auto">
                    <a:xfrm>
                      <a:off x="0" y="0"/>
                      <a:ext cx="3960361" cy="5636251"/>
                    </a:xfrm>
                    <a:prstGeom prst="rect">
                      <a:avLst/>
                    </a:prstGeom>
                    <a:noFill/>
                    <a:ln w="9525">
                      <a:noFill/>
                      <a:headEnd/>
                      <a:tailEnd/>
                    </a:ln>
                  </pic:spPr>
                </pic:pic>
              </a:graphicData>
            </a:graphic>
          </wp:inline>
        </w:drawing>
      </w:r>
    </w:p>
    <w:p>
      <w:pPr>
        <w:pStyle w:val="ImageCaption"/>
      </w:pPr>
      <w:r>
        <w:rPr>
          <w:b/>
          <w:bCs/>
        </w:rPr>
        <w:t xml:space="preserve">Fig. S1. Lactate transport inhibition decreases myofibroblast differentiation</w:t>
      </w:r>
      <w:r>
        <w:rPr>
          <w:b/>
          <w:bCs/>
        </w:rPr>
        <w:t xml:space="preserve"> </w:t>
      </w:r>
      <w:r>
        <w:rPr>
          <w:b/>
          <w:bCs/>
          <w:i/>
          <w:iCs/>
        </w:rPr>
        <w:t xml:space="preserve">in vitro</w:t>
      </w:r>
      <w:r>
        <w:rPr>
          <w:b/>
          <w:bCs/>
        </w:rPr>
        <w:t xml:space="preserve">.</w:t>
      </w:r>
      <w:r>
        <w:t xml:space="preserve"> </w:t>
      </w:r>
      <w:r>
        <w:t xml:space="preserve">(</w:t>
      </w:r>
      <w:r>
        <w:rPr>
          <w:b/>
          <w:bCs/>
        </w:rPr>
        <w:t xml:space="preserve">A</w:t>
      </w:r>
      <w:r>
        <w:t xml:space="preserve">) Cell count following siRNA-mediated MCT knockdown. (</w:t>
      </w:r>
      <w:r>
        <w:rPr>
          <w:b/>
          <w:bCs/>
        </w:rPr>
        <w:t xml:space="preserve">B</w:t>
      </w:r>
      <w:r>
        <w:t xml:space="preserve">) Small molecule inhibitors of MCT1/2 (AR-C155858, AR) or MCT4 (VB124, VB) decrease TGFβ-stimulated α-SMA expression in normal human lung fibroblasts. (</w:t>
      </w:r>
      <w:r>
        <w:rPr>
          <w:b/>
          <w:bCs/>
        </w:rPr>
        <w:t xml:space="preserve">C</w:t>
      </w:r>
      <w:r>
        <w:t xml:space="preserve">-</w:t>
      </w:r>
      <w:r>
        <w:rPr>
          <w:b/>
          <w:bCs/>
        </w:rPr>
        <w:t xml:space="preserve">D</w:t>
      </w:r>
      <w:r>
        <w:t xml:space="preserve">) Cell counts following pharmacologic inhibition of lactate transporters. Summary data are mean ± SEM (* p-value-value &lt; 0.05;</w:t>
      </w:r>
      <w:r>
        <w:t xml:space="preserve"> </w:t>
      </w:r>
      <w:r>
        <w:rPr>
          <w:i/>
          <w:iCs/>
        </w:rPr>
        <w:t xml:space="preserve">black</w:t>
      </w:r>
      <w:r>
        <w:t xml:space="preserve"> </w:t>
      </w:r>
      <w:r>
        <w:t xml:space="preserve">compares TGFβ to control within a given treatment,</w:t>
      </w:r>
      <w:r>
        <w:t xml:space="preserve"> </w:t>
      </w:r>
      <w:r>
        <w:rPr>
          <w:i/>
          <w:iCs/>
        </w:rPr>
        <w:t xml:space="preserve">colored</w:t>
      </w:r>
      <w:r>
        <w:t xml:space="preserve"> </w:t>
      </w:r>
      <w:r>
        <w:t xml:space="preserve">compares the treatment effect to control for a given condition).</w:t>
      </w:r>
    </w:p>
    <w:p>
      <w:pPr>
        <w:pStyle w:val="CaptionedFigure"/>
      </w:pPr>
      <w:r>
        <w:drawing>
          <wp:inline>
            <wp:extent cx="6400800" cy="2289297"/>
            <wp:effectExtent b="0" l="0" r="0" t="0"/>
            <wp:docPr descr="Fig. S2. Lactate transporter inhibition decreases pro-fibrotic gene transcription. (A-C) Volcano plots of differentially expressed genes in TGFβ-treated cells compared to control (A), AZD3965-treated cells compared to vehicle (Veh) (B), and VB124-treated cells compared to Veh. Significantly differentially expressed genes are highlighted (adjusted p-value &lt; 0.05), the top 15 up- and down-regulated of which are labeled." title="" id="87" name="Picture"/>
            <a:graphic>
              <a:graphicData uri="http://schemas.openxmlformats.org/drawingml/2006/picture">
                <pic:pic>
                  <pic:nvPicPr>
                    <pic:cNvPr descr="figs/SF_02.png" id="88" name="Picture"/>
                    <pic:cNvPicPr>
                      <a:picLocks noChangeArrowheads="1" noChangeAspect="1"/>
                    </pic:cNvPicPr>
                  </pic:nvPicPr>
                  <pic:blipFill>
                    <a:blip r:embed="rId86"/>
                    <a:stretch>
                      <a:fillRect/>
                    </a:stretch>
                  </pic:blipFill>
                  <pic:spPr bwMode="auto">
                    <a:xfrm>
                      <a:off x="0" y="0"/>
                      <a:ext cx="6400800" cy="2289297"/>
                    </a:xfrm>
                    <a:prstGeom prst="rect">
                      <a:avLst/>
                    </a:prstGeom>
                    <a:noFill/>
                    <a:ln w="9525">
                      <a:noFill/>
                      <a:headEnd/>
                      <a:tailEnd/>
                    </a:ln>
                  </pic:spPr>
                </pic:pic>
              </a:graphicData>
            </a:graphic>
          </wp:inline>
        </w:drawing>
      </w:r>
    </w:p>
    <w:p>
      <w:pPr>
        <w:pStyle w:val="ImageCaption"/>
      </w:pPr>
      <w:r>
        <w:rPr>
          <w:b/>
          <w:bCs/>
        </w:rPr>
        <w:t xml:space="preserve">Fig. S2. Lactate transporter inhibition decreases pro-fibrotic gene transcription.</w:t>
      </w:r>
      <w:r>
        <w:t xml:space="preserve"> </w:t>
      </w:r>
      <w:r>
        <w:t xml:space="preserve">(</w:t>
      </w:r>
      <w:r>
        <w:rPr>
          <w:b/>
          <w:bCs/>
        </w:rPr>
        <w:t xml:space="preserve">A</w:t>
      </w:r>
      <w:r>
        <w:t xml:space="preserve">-</w:t>
      </w:r>
      <w:r>
        <w:rPr>
          <w:b/>
          <w:bCs/>
        </w:rPr>
        <w:t xml:space="preserve">C</w:t>
      </w:r>
      <w:r>
        <w:t xml:space="preserve">) Volcano plots of differentially expressed genes in TGFβ-treated cells compared to control (A), AZD3965-treated cells compared to vehicle (Veh) (B), and VB124-treated cells compared to Veh. Significantly differentially expressed genes are highlighted (adjusted p-value &lt; 0.05), the top 15 up- and down-regulated of which are labeled.</w:t>
      </w:r>
    </w:p>
    <w:p>
      <w:r>
        <w:br w:type="page"/>
      </w:r>
    </w:p>
    <w:p>
      <w:pPr>
        <w:pStyle w:val="CaptionedFigure"/>
      </w:pPr>
      <w:r>
        <w:drawing>
          <wp:inline>
            <wp:extent cx="5532272" cy="6101096"/>
            <wp:effectExtent b="0" l="0" r="0" t="0"/>
            <wp:docPr descr="Fig. S3. Lactate transport inhibition alters cellular bioenergetics. (A) Extracellular lactate was determined 48 h following TGFβ in the presence of MCT1/2 inhibitor AR-C155858 (AR), MCT4 inhibitor VB124 (VB), or both (N = 3-13 biological replicates, * p-value &lt; 0.05, black compares TGFβ v. Ctl, colored compares Drug v. Veh). (B) Extracellular glucose was determined 48 h following TGFβ in the presence of MCT1 inhibitor AZD3965 (AZD), VB, or both (N = 5 biological replicates). (C) Summary data from Seahorse extracellular flux analysis. (D) Cell bioenergetic stress testing results from Seahorse analysis. Glycolytic capacity measures the increase in proton efflux rate following oligomycin treatment. Spare respiratory capacity measures the increase in oxygen consumption rate (OCR) following FCCP treatment compared to basal OCR. Coupling efficiency measures the proportion of basal OCR that contributes to ATP production (i.e., the percentage inhibited by oligomycin). The spare respiratory capacity decreases following MCT inhibition, indicating a larger fraction of total respiratory capacity was utilized in the basal state in cells treated with MCT inhibitors (N = 4 biological replicates, * p-value &lt; 0.05 compared to TGFβ/Veh). Summary data are mean ± SEM." title="" id="90" name="Picture"/>
            <a:graphic>
              <a:graphicData uri="http://schemas.openxmlformats.org/drawingml/2006/picture">
                <pic:pic>
                  <pic:nvPicPr>
                    <pic:cNvPr descr="figs/SF_03.png" id="91" name="Picture"/>
                    <pic:cNvPicPr>
                      <a:picLocks noChangeArrowheads="1" noChangeAspect="1"/>
                    </pic:cNvPicPr>
                  </pic:nvPicPr>
                  <pic:blipFill>
                    <a:blip r:embed="rId89"/>
                    <a:stretch>
                      <a:fillRect/>
                    </a:stretch>
                  </pic:blipFill>
                  <pic:spPr bwMode="auto">
                    <a:xfrm>
                      <a:off x="0" y="0"/>
                      <a:ext cx="5532272" cy="6101096"/>
                    </a:xfrm>
                    <a:prstGeom prst="rect">
                      <a:avLst/>
                    </a:prstGeom>
                    <a:noFill/>
                    <a:ln w="9525">
                      <a:noFill/>
                      <a:headEnd/>
                      <a:tailEnd/>
                    </a:ln>
                  </pic:spPr>
                </pic:pic>
              </a:graphicData>
            </a:graphic>
          </wp:inline>
        </w:drawing>
      </w:r>
    </w:p>
    <w:p>
      <w:pPr>
        <w:pStyle w:val="ImageCaption"/>
      </w:pPr>
      <w:r>
        <w:rPr>
          <w:b/>
          <w:bCs/>
        </w:rPr>
        <w:t xml:space="preserve">Fig. S3. Lactate transport inhibition alters cellular bioenergetics.</w:t>
      </w:r>
      <w:r>
        <w:t xml:space="preserve"> </w:t>
      </w:r>
      <w:r>
        <w:t xml:space="preserve">(</w:t>
      </w:r>
      <w:r>
        <w:rPr>
          <w:b/>
          <w:bCs/>
        </w:rPr>
        <w:t xml:space="preserve">A</w:t>
      </w:r>
      <w:r>
        <w:t xml:space="preserve">) Extracellular lactate was determined 48 h following TGFβ in the presence of MCT1/2 inhibitor AR-C155858 (AR), MCT4 inhibitor VB124 (VB), or both (N = 3-13 biological replicates, * p-value &lt; 0.05,</w:t>
      </w:r>
      <w:r>
        <w:t xml:space="preserve"> </w:t>
      </w:r>
      <w:r>
        <w:rPr>
          <w:i/>
          <w:iCs/>
        </w:rPr>
        <w:t xml:space="preserve">black</w:t>
      </w:r>
      <w:r>
        <w:t xml:space="preserve"> </w:t>
      </w:r>
      <w:r>
        <w:t xml:space="preserve">compares TGFβ</w:t>
      </w:r>
      <w:r>
        <w:t xml:space="preserve"> </w:t>
      </w:r>
      <w:r>
        <w:rPr>
          <w:i/>
          <w:iCs/>
        </w:rPr>
        <w:t xml:space="preserve">v.</w:t>
      </w:r>
      <w:r>
        <w:t xml:space="preserve"> </w:t>
      </w:r>
      <w:r>
        <w:t xml:space="preserve">Ctl,</w:t>
      </w:r>
      <w:r>
        <w:t xml:space="preserve"> </w:t>
      </w:r>
      <w:r>
        <w:rPr>
          <w:i/>
          <w:iCs/>
        </w:rPr>
        <w:t xml:space="preserve">colored</w:t>
      </w:r>
      <w:r>
        <w:t xml:space="preserve"> </w:t>
      </w:r>
      <w:r>
        <w:t xml:space="preserve">compares Drug</w:t>
      </w:r>
      <w:r>
        <w:t xml:space="preserve"> </w:t>
      </w:r>
      <w:r>
        <w:rPr>
          <w:i/>
          <w:iCs/>
        </w:rPr>
        <w:t xml:space="preserve">v.</w:t>
      </w:r>
      <w:r>
        <w:t xml:space="preserve"> </w:t>
      </w:r>
      <w:r>
        <w:t xml:space="preserve">Veh). (</w:t>
      </w:r>
      <w:r>
        <w:rPr>
          <w:b/>
          <w:bCs/>
        </w:rPr>
        <w:t xml:space="preserve">B</w:t>
      </w:r>
      <w:r>
        <w:t xml:space="preserve">) Extracellular glucose was determined 48 h following TGFβ in the presence of MCT1 inhibitor AZD3965 (AZD), VB, or both (N = 5 biological replicates). (</w:t>
      </w:r>
      <w:r>
        <w:rPr>
          <w:b/>
          <w:bCs/>
        </w:rPr>
        <w:t xml:space="preserve">C</w:t>
      </w:r>
      <w:r>
        <w:t xml:space="preserve">) Summary data from Seahorse extracellular flux analysis. (</w:t>
      </w:r>
      <w:r>
        <w:rPr>
          <w:b/>
          <w:bCs/>
        </w:rPr>
        <w:t xml:space="preserve">D</w:t>
      </w:r>
      <w:r>
        <w:t xml:space="preserve">) Cell bioenergetic stress testing results from Seahorse analysis. Glycolytic capacity measures the increase in proton efflux rate following oligomycin treatment. Spare respiratory capacity measures the increase in oxygen consumption rate (OCR) following FCCP treatment compared to basal OCR. Coupling efficiency measures the proportion of basal OCR that contributes to ATP production (</w:t>
      </w:r>
      <w:r>
        <w:rPr>
          <w:i/>
          <w:iCs/>
        </w:rPr>
        <w:t xml:space="preserve">i.e.,</w:t>
      </w:r>
      <w:r>
        <w:t xml:space="preserve"> </w:t>
      </w:r>
      <w:r>
        <w:t xml:space="preserve">the percentage inhibited by oligomycin). The spare respiratory capacity decreases following MCT inhibition, indicating a larger fraction of total respiratory capacity was utilized in the basal state in cells treated with MCT inhibitors (N = 4 biological replicates, * p-value &lt; 0.05 compared to TGFβ/Veh). Summary data are mean ± SEM.</w:t>
      </w:r>
    </w:p>
    <w:p>
      <w:r>
        <w:br w:type="page"/>
      </w:r>
    </w:p>
    <w:p>
      <w:pPr>
        <w:pStyle w:val="CaptionedFigure"/>
      </w:pPr>
      <w:r>
        <w:drawing>
          <wp:inline>
            <wp:extent cx="6400800" cy="8308828"/>
            <wp:effectExtent b="0" l="0" r="0" t="0"/>
            <wp:docPr descr="Fig. S4. Metabolomic profiling of lung fibroblasts treated with lactate transport inhibitors. (A-D) Extracellular (A-B) and intracellular (C-D) metabolomic profile and metabolite set enrichment analyses of lung fibroblasts treated with TGFβ. (E-H) Extracellular (E-F) and intracellular (G-H) metabolomic profile and metabolite set enrichment analysis of AZD3965 treatment. (I-L) Extracellular (I-J) and intracellular (K-L) metabolomic profile and metabolite set enrichment analysis of VB124 treatment. Differentially regulated metabolites are colored (adjusted p-value &lt; 0.1), the top 10 up- and down-regulated of which are labeled. KEGG pathways significantly enriched (p-value &lt; 0.1) with metabolites differentially regulated by TGFβ treatment or MCT inhibition ordered by normalized enrichment score (NES). Positive NES indicates enrichment in treated cells while negative NES indicates enrichment in Vehicle-treated cells. (M) Labeled fraction of intracellular metabolites pyruvate (PYR), lactate (LAC), citrate (CIT), 2-oxoglutarate (2OG), succinate (SUC), and malate (MAL) following treatment with [U-13C5]-glutamine (N = 4 biological replicates, * adjusted p-value &lt; 0.05, black compares TGFβ v. Ctl for a given treatment, colored compares treatment v. vehicle for the indicated condition). Summary data are mean ± SEM." title="" id="93" name="Picture"/>
            <a:graphic>
              <a:graphicData uri="http://schemas.openxmlformats.org/drawingml/2006/picture">
                <pic:pic>
                  <pic:nvPicPr>
                    <pic:cNvPr descr="figs/SF_04.png" id="94" name="Picture"/>
                    <pic:cNvPicPr>
                      <a:picLocks noChangeArrowheads="1" noChangeAspect="1"/>
                    </pic:cNvPicPr>
                  </pic:nvPicPr>
                  <pic:blipFill>
                    <a:blip r:embed="rId92"/>
                    <a:stretch>
                      <a:fillRect/>
                    </a:stretch>
                  </pic:blipFill>
                  <pic:spPr bwMode="auto">
                    <a:xfrm>
                      <a:off x="0" y="0"/>
                      <a:ext cx="6400800" cy="8308828"/>
                    </a:xfrm>
                    <a:prstGeom prst="rect">
                      <a:avLst/>
                    </a:prstGeom>
                    <a:noFill/>
                    <a:ln w="9525">
                      <a:noFill/>
                      <a:headEnd/>
                      <a:tailEnd/>
                    </a:ln>
                  </pic:spPr>
                </pic:pic>
              </a:graphicData>
            </a:graphic>
          </wp:inline>
        </w:drawing>
      </w:r>
    </w:p>
    <w:p>
      <w:pPr>
        <w:pStyle w:val="ImageCaption"/>
      </w:pPr>
      <w:r>
        <w:rPr>
          <w:b/>
          <w:bCs/>
        </w:rPr>
        <w:t xml:space="preserve">Fig. S4. Metabolomic profiling of lung fibroblasts treated with lactate transport inhibitors.</w:t>
      </w:r>
      <w:r>
        <w:t xml:space="preserve"> </w:t>
      </w:r>
      <w:r>
        <w:t xml:space="preserve">(</w:t>
      </w:r>
      <w:r>
        <w:rPr>
          <w:b/>
          <w:bCs/>
        </w:rPr>
        <w:t xml:space="preserve">A</w:t>
      </w:r>
      <w:r>
        <w:t xml:space="preserve">-</w:t>
      </w:r>
      <w:r>
        <w:rPr>
          <w:b/>
          <w:bCs/>
        </w:rPr>
        <w:t xml:space="preserve">D</w:t>
      </w:r>
      <w:r>
        <w:t xml:space="preserve">) Extracellular (A-B) and intracellular (C-D) metabolomic profile and metabolite set enrichment analyses of lung fibroblasts treated with TGFβ. (</w:t>
      </w:r>
      <w:r>
        <w:rPr>
          <w:b/>
          <w:bCs/>
        </w:rPr>
        <w:t xml:space="preserve">E-H</w:t>
      </w:r>
      <w:r>
        <w:t xml:space="preserve">) Extracellular (E-F) and intracellular (G-H) metabolomic profile and metabolite set enrichment analysis of AZD3965 treatment. (</w:t>
      </w:r>
      <w:r>
        <w:rPr>
          <w:b/>
          <w:bCs/>
        </w:rPr>
        <w:t xml:space="preserve">I-L</w:t>
      </w:r>
      <w:r>
        <w:t xml:space="preserve">) Extracellular (I-J) and intracellular (K-L) metabolomic profile and metabolite set enrichment analysis of VB124 treatment. Differentially regulated metabolites are colored (adjusted p-value &lt; 0.1), the top 10 up- and down-regulated of which are labeled. KEGG pathways significantly enriched (p-value &lt; 0.1) with metabolites differentially regulated by TGFβ treatment or MCT inhibition ordered by normalized enrichment score (NES). Positive NES indicates enrichment in treated cells while negative NES indicates enrichment in Vehicle-treated cells. (</w:t>
      </w:r>
      <w:r>
        <w:rPr>
          <w:b/>
          <w:bCs/>
        </w:rPr>
        <w:t xml:space="preserve">M</w:t>
      </w:r>
      <w:r>
        <w:t xml:space="preserve">) Labeled fraction of intracellular metabolites pyruvate (PYR), lactate (LAC), citrate (CIT), 2-oxoglutarate (2OG), succinate (SUC), and malate (MAL) following treatment with [U-</w:t>
      </w:r>
      <w:r>
        <w:rPr>
          <w:vertAlign w:val="superscript"/>
        </w:rPr>
        <w:t xml:space="preserve">13</w:t>
      </w:r>
      <w:r>
        <w:t xml:space="preserve">C</w:t>
      </w:r>
      <w:r>
        <w:rPr>
          <w:vertAlign w:val="subscript"/>
        </w:rPr>
        <w:t xml:space="preserve">5</w:t>
      </w:r>
      <w:r>
        <w:t xml:space="preserve">]-glutamine (N = 4 biological replicates, * adjusted p-value &lt; 0.05,</w:t>
      </w:r>
      <w:r>
        <w:t xml:space="preserve"> </w:t>
      </w:r>
      <w:r>
        <w:rPr>
          <w:i/>
          <w:iCs/>
        </w:rPr>
        <w:t xml:space="preserve">black</w:t>
      </w:r>
      <w:r>
        <w:t xml:space="preserve"> </w:t>
      </w:r>
      <w:r>
        <w:t xml:space="preserve">compares TGFβ</w:t>
      </w:r>
      <w:r>
        <w:t xml:space="preserve"> </w:t>
      </w:r>
      <w:r>
        <w:rPr>
          <w:i/>
          <w:iCs/>
        </w:rPr>
        <w:t xml:space="preserve">v.</w:t>
      </w:r>
      <w:r>
        <w:t xml:space="preserve"> </w:t>
      </w:r>
      <w:r>
        <w:t xml:space="preserve">Ctl for a given treatment,</w:t>
      </w:r>
      <w:r>
        <w:t xml:space="preserve"> </w:t>
      </w:r>
      <w:r>
        <w:rPr>
          <w:i/>
          <w:iCs/>
        </w:rPr>
        <w:t xml:space="preserve">colored</w:t>
      </w:r>
      <w:r>
        <w:t xml:space="preserve"> </w:t>
      </w:r>
      <w:r>
        <w:t xml:space="preserve">compares treatment</w:t>
      </w:r>
      <w:r>
        <w:t xml:space="preserve"> </w:t>
      </w:r>
      <w:r>
        <w:rPr>
          <w:i/>
          <w:iCs/>
        </w:rPr>
        <w:t xml:space="preserve">v.</w:t>
      </w:r>
      <w:r>
        <w:t xml:space="preserve"> </w:t>
      </w:r>
      <w:r>
        <w:t xml:space="preserve">vehicle for the indicated condition). Summary data are mean ± SEM.</w:t>
      </w:r>
    </w:p>
    <w:p>
      <w:r>
        <w:br w:type="page"/>
      </w:r>
    </w:p>
    <w:p>
      <w:pPr>
        <w:pStyle w:val="CaptionedFigure"/>
      </w:pPr>
      <w:r>
        <w:drawing>
          <wp:inline>
            <wp:extent cx="5731055" cy="9027788"/>
            <wp:effectExtent b="0" l="0" r="0" t="0"/>
            <wp:docPr descr="Fig. S5. Stable isotope tracing in lung fibroblasts treated with TGFβ. Lung fibroblasts were cultured with stable isotopes of glucose, lactate, and glutamine during treatment with TGFβ (columns). Mass isotope distributions were determined by LC-MS for key metabolites in central carbon metabolic pathways (rows). Significant differences in isotopic enrichment are indicated (* adjusted p-value &lt; 0.05). Summary data are mean ± SEM (N = 4 biological replicates)." title="" id="96" name="Picture"/>
            <a:graphic>
              <a:graphicData uri="http://schemas.openxmlformats.org/drawingml/2006/picture">
                <pic:pic>
                  <pic:nvPicPr>
                    <pic:cNvPr descr="figs/SF_05.png" id="97" name="Picture"/>
                    <pic:cNvPicPr>
                      <a:picLocks noChangeArrowheads="1" noChangeAspect="1"/>
                    </pic:cNvPicPr>
                  </pic:nvPicPr>
                  <pic:blipFill>
                    <a:blip r:embed="rId95"/>
                    <a:stretch>
                      <a:fillRect/>
                    </a:stretch>
                  </pic:blipFill>
                  <pic:spPr bwMode="auto">
                    <a:xfrm>
                      <a:off x="0" y="0"/>
                      <a:ext cx="5731055" cy="9027788"/>
                    </a:xfrm>
                    <a:prstGeom prst="rect">
                      <a:avLst/>
                    </a:prstGeom>
                    <a:noFill/>
                    <a:ln w="9525">
                      <a:noFill/>
                      <a:headEnd/>
                      <a:tailEnd/>
                    </a:ln>
                  </pic:spPr>
                </pic:pic>
              </a:graphicData>
            </a:graphic>
          </wp:inline>
        </w:drawing>
      </w:r>
    </w:p>
    <w:p>
      <w:pPr>
        <w:pStyle w:val="ImageCaption"/>
      </w:pPr>
      <w:r>
        <w:rPr>
          <w:b/>
          <w:bCs/>
        </w:rPr>
        <w:t xml:space="preserve">Fig. S5. Stable isotope tracing in lung fibroblasts treated with TGFβ.</w:t>
      </w:r>
      <w:r>
        <w:t xml:space="preserve"> </w:t>
      </w:r>
      <w:r>
        <w:t xml:space="preserve">Lung fibroblasts were cultured with stable isotopes of glucose, lactate, and glutamine during treatment with TGFβ (</w:t>
      </w:r>
      <w:r>
        <w:rPr>
          <w:i/>
          <w:iCs/>
        </w:rPr>
        <w:t xml:space="preserve">columns</w:t>
      </w:r>
      <w:r>
        <w:t xml:space="preserve">). Mass isotope distributions were determined by LC-MS for key metabolites in central carbon metabolic pathways (</w:t>
      </w:r>
      <w:r>
        <w:rPr>
          <w:i/>
          <w:iCs/>
        </w:rPr>
        <w:t xml:space="preserve">rows</w:t>
      </w:r>
      <w:r>
        <w:t xml:space="preserve">). Significant differences in isotopic enrichment are indicated (* adjusted p-value &lt; 0.05). Summary data are mean ± SEM (N = 4 biological replicates).</w:t>
      </w:r>
    </w:p>
    <w:p>
      <w:r>
        <w:br w:type="page"/>
      </w:r>
    </w:p>
    <w:p>
      <w:pPr>
        <w:pStyle w:val="CaptionedFigure"/>
      </w:pPr>
      <w:r>
        <w:drawing>
          <wp:inline>
            <wp:extent cx="5798335" cy="3954244"/>
            <wp:effectExtent b="0" l="0" r="0" t="0"/>
            <wp:docPr descr="Fig. S6. Lactate transport inhibition activates antioxidant defenses. (A) The cellular redox couple NADPH/NADP+ was determined by enzymatic cycling assay (N = 4 biological replicates; * adjusted p-value &lt; 0.05; black compares TGFβ to control within a given treatment, colored compares the treatment effect to control for a given condition). (B) MitoTracker fluorescence was measured as a marker of mitochondrial mass (N = 3 biological replicates; * adjusted p-value &lt; 0.05 compared to TGFβ-treated cells). (C) Proline peak areas determined by LC-MS (N = 5 biological replicates, * adjusted p-value &lt; 0.05 for the main treatment effect). (D) Fraction of the M5 proline isotope following labeling with [U-13C5]-glutamine (N = 4 biological replicates). Summary data are mean ± SEM." title="" id="99" name="Picture"/>
            <a:graphic>
              <a:graphicData uri="http://schemas.openxmlformats.org/drawingml/2006/picture">
                <pic:pic>
                  <pic:nvPicPr>
                    <pic:cNvPr descr="figs/SF_06.png" id="100" name="Picture"/>
                    <pic:cNvPicPr>
                      <a:picLocks noChangeArrowheads="1" noChangeAspect="1"/>
                    </pic:cNvPicPr>
                  </pic:nvPicPr>
                  <pic:blipFill>
                    <a:blip r:embed="rId98"/>
                    <a:stretch>
                      <a:fillRect/>
                    </a:stretch>
                  </pic:blipFill>
                  <pic:spPr bwMode="auto">
                    <a:xfrm>
                      <a:off x="0" y="0"/>
                      <a:ext cx="5798335" cy="3954244"/>
                    </a:xfrm>
                    <a:prstGeom prst="rect">
                      <a:avLst/>
                    </a:prstGeom>
                    <a:noFill/>
                    <a:ln w="9525">
                      <a:noFill/>
                      <a:headEnd/>
                      <a:tailEnd/>
                    </a:ln>
                  </pic:spPr>
                </pic:pic>
              </a:graphicData>
            </a:graphic>
          </wp:inline>
        </w:drawing>
      </w:r>
    </w:p>
    <w:p>
      <w:pPr>
        <w:pStyle w:val="ImageCaption"/>
      </w:pPr>
      <w:r>
        <w:rPr>
          <w:b/>
          <w:bCs/>
        </w:rPr>
        <w:t xml:space="preserve">Fig. S6. Lactate transport inhibition activates antioxidant defenses.</w:t>
      </w:r>
      <w:r>
        <w:t xml:space="preserve"> </w:t>
      </w:r>
      <w:r>
        <w:t xml:space="preserve">(</w:t>
      </w:r>
      <w:r>
        <w:rPr>
          <w:b/>
          <w:bCs/>
        </w:rPr>
        <w:t xml:space="preserve">A</w:t>
      </w:r>
      <w:r>
        <w:t xml:space="preserve">) The cellular redox couple NADPH/NADP</w:t>
      </w:r>
      <w:r>
        <w:rPr>
          <w:vertAlign w:val="superscript"/>
        </w:rPr>
        <w:t xml:space="preserve">+</w:t>
      </w:r>
      <w:r>
        <w:t xml:space="preserve"> </w:t>
      </w:r>
      <w:r>
        <w:t xml:space="preserve">was determined by enzymatic cycling assay (N = 4 biological replicates; * adjusted p-value &lt; 0.05;</w:t>
      </w:r>
      <w:r>
        <w:t xml:space="preserve"> </w:t>
      </w:r>
      <w:r>
        <w:rPr>
          <w:i/>
          <w:iCs/>
        </w:rPr>
        <w:t xml:space="preserve">black</w:t>
      </w:r>
      <w:r>
        <w:t xml:space="preserve"> </w:t>
      </w:r>
      <w:r>
        <w:t xml:space="preserve">compares TGFβ to control within a given treatment,</w:t>
      </w:r>
      <w:r>
        <w:t xml:space="preserve"> </w:t>
      </w:r>
      <w:r>
        <w:rPr>
          <w:i/>
          <w:iCs/>
        </w:rPr>
        <w:t xml:space="preserve">colored</w:t>
      </w:r>
      <w:r>
        <w:t xml:space="preserve"> </w:t>
      </w:r>
      <w:r>
        <w:t xml:space="preserve">compares the treatment effect to control for a given condition). (</w:t>
      </w:r>
      <w:r>
        <w:rPr>
          <w:b/>
          <w:bCs/>
        </w:rPr>
        <w:t xml:space="preserve">B</w:t>
      </w:r>
      <w:r>
        <w:t xml:space="preserve">) MitoTracker fluorescence was measured as a marker of mitochondrial mass (N = 3 biological replicates; * adjusted p-value &lt; 0.05 compared to TGFβ-treated cells). (</w:t>
      </w:r>
      <w:r>
        <w:rPr>
          <w:b/>
          <w:bCs/>
        </w:rPr>
        <w:t xml:space="preserve">C</w:t>
      </w:r>
      <w:r>
        <w:t xml:space="preserve">) Proline peak areas determined by LC-MS (N = 5 biological replicates, * adjusted p-value &lt; 0.05 for the main treatment effect). (</w:t>
      </w:r>
      <w:r>
        <w:rPr>
          <w:b/>
          <w:bCs/>
        </w:rPr>
        <w:t xml:space="preserve">D</w:t>
      </w:r>
      <w:r>
        <w:t xml:space="preserve">) Fraction of the M5 proline isotope following labeling with [U-</w:t>
      </w:r>
      <w:r>
        <w:rPr>
          <w:vertAlign w:val="superscript"/>
        </w:rPr>
        <w:t xml:space="preserve">13</w:t>
      </w:r>
      <w:r>
        <w:t xml:space="preserve">C</w:t>
      </w:r>
      <w:r>
        <w:rPr>
          <w:vertAlign w:val="subscript"/>
        </w:rPr>
        <w:t xml:space="preserve">5</w:t>
      </w:r>
      <w:r>
        <w:t xml:space="preserve">]-glutamine (N = 4 biological replicates). Summary data are mean ± SEM.</w:t>
      </w:r>
    </w:p>
    <w:p>
      <w:r>
        <w:br w:type="page"/>
      </w:r>
    </w:p>
    <w:p>
      <w:pPr>
        <w:pStyle w:val="CaptionedFigure"/>
      </w:pPr>
      <w:r>
        <w:drawing>
          <wp:inline>
            <wp:extent cx="3755462" cy="2767665"/>
            <wp:effectExtent b="0" l="0" r="0" t="0"/>
            <wp:docPr descr="Fig. S7. Mechanisms of lactate signaling. (A) Exogenous lactate (10 mM) does not ameliorate TGFβ-stimulated α-SMA expression. (B) Lactate transport inhibition does not attenuate HIF-1α stabilization 6 h after TGFβ treatment. Summary data are mean ± SEM. (N = 4 biological replicates, * adjusted p-value &lt; 0.05, black compares TGFβ v. Ctl for a given treatment, colored compares treatment v. vehicle for the indicated condition)." title="" id="102" name="Picture"/>
            <a:graphic>
              <a:graphicData uri="http://schemas.openxmlformats.org/drawingml/2006/picture">
                <pic:pic>
                  <pic:nvPicPr>
                    <pic:cNvPr descr="figs/SF_07.png" id="103" name="Picture"/>
                    <pic:cNvPicPr>
                      <a:picLocks noChangeArrowheads="1" noChangeAspect="1"/>
                    </pic:cNvPicPr>
                  </pic:nvPicPr>
                  <pic:blipFill>
                    <a:blip r:embed="rId101"/>
                    <a:stretch>
                      <a:fillRect/>
                    </a:stretch>
                  </pic:blipFill>
                  <pic:spPr bwMode="auto">
                    <a:xfrm>
                      <a:off x="0" y="0"/>
                      <a:ext cx="3755462" cy="2767665"/>
                    </a:xfrm>
                    <a:prstGeom prst="rect">
                      <a:avLst/>
                    </a:prstGeom>
                    <a:noFill/>
                    <a:ln w="9525">
                      <a:noFill/>
                      <a:headEnd/>
                      <a:tailEnd/>
                    </a:ln>
                  </pic:spPr>
                </pic:pic>
              </a:graphicData>
            </a:graphic>
          </wp:inline>
        </w:drawing>
      </w:r>
    </w:p>
    <w:p>
      <w:pPr>
        <w:pStyle w:val="ImageCaption"/>
      </w:pPr>
      <w:r>
        <w:rPr>
          <w:b/>
          <w:bCs/>
        </w:rPr>
        <w:t xml:space="preserve">Fig. S7. Mechanisms of lactate signaling.</w:t>
      </w:r>
      <w:r>
        <w:t xml:space="preserve"> </w:t>
      </w:r>
      <w:r>
        <w:t xml:space="preserve">(</w:t>
      </w:r>
      <w:r>
        <w:rPr>
          <w:b/>
          <w:bCs/>
        </w:rPr>
        <w:t xml:space="preserve">A</w:t>
      </w:r>
      <w:r>
        <w:t xml:space="preserve">) Exogenous lactate (10 mM) does not ameliorate TGFβ-stimulated α-SMA expression. (</w:t>
      </w:r>
      <w:r>
        <w:rPr>
          <w:b/>
          <w:bCs/>
        </w:rPr>
        <w:t xml:space="preserve">B</w:t>
      </w:r>
      <w:r>
        <w:t xml:space="preserve">) Lactate transport inhibition does not attenuate HIF-1α stabilization 6 h after TGFβ treatment. Summary data are mean ± SEM. (N = 4 biological replicates, * adjusted p-value &lt; 0.05,</w:t>
      </w:r>
      <w:r>
        <w:t xml:space="preserve"> </w:t>
      </w:r>
      <w:r>
        <w:rPr>
          <w:i/>
          <w:iCs/>
        </w:rPr>
        <w:t xml:space="preserve">black</w:t>
      </w:r>
      <w:r>
        <w:t xml:space="preserve"> </w:t>
      </w:r>
      <w:r>
        <w:t xml:space="preserve">compares TGFβ</w:t>
      </w:r>
      <w:r>
        <w:t xml:space="preserve"> </w:t>
      </w:r>
      <w:r>
        <w:rPr>
          <w:i/>
          <w:iCs/>
        </w:rPr>
        <w:t xml:space="preserve">v.</w:t>
      </w:r>
      <w:r>
        <w:t xml:space="preserve"> </w:t>
      </w:r>
      <w:r>
        <w:t xml:space="preserve">Ctl for a given treatment,</w:t>
      </w:r>
      <w:r>
        <w:t xml:space="preserve"> </w:t>
      </w:r>
      <w:r>
        <w:rPr>
          <w:i/>
          <w:iCs/>
        </w:rPr>
        <w:t xml:space="preserve">colored</w:t>
      </w:r>
      <w:r>
        <w:t xml:space="preserve"> </w:t>
      </w:r>
      <w:r>
        <w:t xml:space="preserve">compares treatment</w:t>
      </w:r>
      <w:r>
        <w:t xml:space="preserve"> </w:t>
      </w:r>
      <w:r>
        <w:rPr>
          <w:i/>
          <w:iCs/>
        </w:rPr>
        <w:t xml:space="preserve">v.</w:t>
      </w:r>
      <w:r>
        <w:t xml:space="preserve"> </w:t>
      </w:r>
      <w:r>
        <w:t xml:space="preserve">vehicle for the indicated condition).</w:t>
      </w:r>
    </w:p>
    <w:p>
      <w:r>
        <w:br w:type="page"/>
      </w:r>
    </w:p>
    <w:p>
      <w:pPr>
        <w:pStyle w:val="CaptionedFigure"/>
      </w:pPr>
      <w:r>
        <w:drawing>
          <wp:inline>
            <wp:extent cx="4630105" cy="1758461"/>
            <wp:effectExtent b="0" l="0" r="0" t="0"/>
            <wp:docPr descr="Fig. S8. Lactate transport inhibition improves weight gain following bleomycin. Following bleomycin, mice were weighed weekly. Data points show individual mice, summary statistics show the mean ± SEM, * adjusted p-value-value &lt; 0.05 for the overall treatment effect compared to bleomycin-treated (Bleo) vehicle control." title="" id="105" name="Picture"/>
            <a:graphic>
              <a:graphicData uri="http://schemas.openxmlformats.org/drawingml/2006/picture">
                <pic:pic>
                  <pic:nvPicPr>
                    <pic:cNvPr descr="figs/SF_08.png" id="106" name="Picture"/>
                    <pic:cNvPicPr>
                      <a:picLocks noChangeArrowheads="1" noChangeAspect="1"/>
                    </pic:cNvPicPr>
                  </pic:nvPicPr>
                  <pic:blipFill>
                    <a:blip r:embed="rId104"/>
                    <a:stretch>
                      <a:fillRect/>
                    </a:stretch>
                  </pic:blipFill>
                  <pic:spPr bwMode="auto">
                    <a:xfrm>
                      <a:off x="0" y="0"/>
                      <a:ext cx="4630105" cy="1758461"/>
                    </a:xfrm>
                    <a:prstGeom prst="rect">
                      <a:avLst/>
                    </a:prstGeom>
                    <a:noFill/>
                    <a:ln w="9525">
                      <a:noFill/>
                      <a:headEnd/>
                      <a:tailEnd/>
                    </a:ln>
                  </pic:spPr>
                </pic:pic>
              </a:graphicData>
            </a:graphic>
          </wp:inline>
        </w:drawing>
      </w:r>
    </w:p>
    <w:p>
      <w:pPr>
        <w:pStyle w:val="ImageCaption"/>
      </w:pPr>
      <w:r>
        <w:rPr>
          <w:b/>
          <w:bCs/>
        </w:rPr>
        <w:t xml:space="preserve">Fig. S8. Lactate transport inhibition improves weight gain following bleomycin.</w:t>
      </w:r>
      <w:r>
        <w:t xml:space="preserve"> </w:t>
      </w:r>
      <w:r>
        <w:t xml:space="preserve">Following bleomycin, mice were weighed weekly. Data points show individual mice, summary statistics show the mean ± SEM, * adjusted p-value-value &lt; 0.05 for the overall treatment effect compared to bleomycin-treated (Bleo) vehicle control.</w:t>
      </w:r>
    </w:p>
    <w:p>
      <w:r>
        <w:br w:type="page"/>
      </w:r>
    </w:p>
    <w:p>
      <w:pPr>
        <w:pStyle w:val="CaptionedFigure"/>
      </w:pPr>
      <w:r>
        <w:drawing>
          <wp:inline>
            <wp:extent cx="6400800" cy="5520562"/>
            <wp:effectExtent b="0" l="0" r="0" t="0"/>
            <wp:docPr descr="Fig. S9. Metabolic reprogramming by lactate transport inhibition in vivo. (A-D) Plasma (A-B) and lung (C-D) metabolomic profile and metabolite set enrichment analyses in bleomycin-treated mice. (E-H) Plasma (E-F) and lung (G-H) metabolomic profile and metabolite set enrichment analysis of AZD3965 treatment in bleomycin-treated mice. (I-L) Plasma (I-J) and lung (K-L) metabolomic profile and metabolite set enrichment analysis of VB124 treatment in bleomycin-treated mice. Differentially regulated metabolites are colored (adjusted p-value &lt; 0.1), the top 10 up- and down-regulated of which are labeled. KEGG pathways significantly enriched (adjusted p-value &lt; 0.1) with metabolites differentially regulated by bleomycin treatment or MCT inhibition ordered by normalized enrichment score (NES). Positive NES indicate enrichment in treated mice while negative NES indicate relative enrichment in control or untreated mice." title="" id="108" name="Picture"/>
            <a:graphic>
              <a:graphicData uri="http://schemas.openxmlformats.org/drawingml/2006/picture">
                <pic:pic>
                  <pic:nvPicPr>
                    <pic:cNvPr descr="figs/SF_09.png" id="109" name="Picture"/>
                    <pic:cNvPicPr>
                      <a:picLocks noChangeArrowheads="1" noChangeAspect="1"/>
                    </pic:cNvPicPr>
                  </pic:nvPicPr>
                  <pic:blipFill>
                    <a:blip r:embed="rId107"/>
                    <a:stretch>
                      <a:fillRect/>
                    </a:stretch>
                  </pic:blipFill>
                  <pic:spPr bwMode="auto">
                    <a:xfrm>
                      <a:off x="0" y="0"/>
                      <a:ext cx="6400800" cy="5520562"/>
                    </a:xfrm>
                    <a:prstGeom prst="rect">
                      <a:avLst/>
                    </a:prstGeom>
                    <a:noFill/>
                    <a:ln w="9525">
                      <a:noFill/>
                      <a:headEnd/>
                      <a:tailEnd/>
                    </a:ln>
                  </pic:spPr>
                </pic:pic>
              </a:graphicData>
            </a:graphic>
          </wp:inline>
        </w:drawing>
      </w:r>
    </w:p>
    <w:p>
      <w:pPr>
        <w:pStyle w:val="ImageCaption"/>
      </w:pPr>
      <w:r>
        <w:rPr>
          <w:b/>
          <w:bCs/>
        </w:rPr>
        <w:t xml:space="preserve">Fig. S9. Metabolic reprogramming by lactate transport inhibition</w:t>
      </w:r>
      <w:r>
        <w:rPr>
          <w:b/>
          <w:bCs/>
        </w:rPr>
        <w:t xml:space="preserve"> </w:t>
      </w:r>
      <w:r>
        <w:rPr>
          <w:b/>
          <w:bCs/>
          <w:i/>
          <w:iCs/>
        </w:rPr>
        <w:t xml:space="preserve">in vivo</w:t>
      </w:r>
      <w:r>
        <w:rPr>
          <w:b/>
          <w:bCs/>
        </w:rPr>
        <w:t xml:space="preserve">.</w:t>
      </w:r>
      <w:r>
        <w:t xml:space="preserve"> </w:t>
      </w:r>
      <w:r>
        <w:t xml:space="preserve">(</w:t>
      </w:r>
      <w:r>
        <w:rPr>
          <w:b/>
          <w:bCs/>
        </w:rPr>
        <w:t xml:space="preserve">A</w:t>
      </w:r>
      <w:r>
        <w:t xml:space="preserve">-</w:t>
      </w:r>
      <w:r>
        <w:rPr>
          <w:b/>
          <w:bCs/>
        </w:rPr>
        <w:t xml:space="preserve">D</w:t>
      </w:r>
      <w:r>
        <w:t xml:space="preserve">) Plasma (A-B) and lung (C-D) metabolomic profile and metabolite set enrichment analyses in bleomycin-treated mice. (</w:t>
      </w:r>
      <w:r>
        <w:rPr>
          <w:b/>
          <w:bCs/>
        </w:rPr>
        <w:t xml:space="preserve">E</w:t>
      </w:r>
      <w:r>
        <w:t xml:space="preserve">-</w:t>
      </w:r>
      <w:r>
        <w:rPr>
          <w:b/>
          <w:bCs/>
        </w:rPr>
        <w:t xml:space="preserve">H</w:t>
      </w:r>
      <w:r>
        <w:t xml:space="preserve">) Plasma (E-F) and lung (G-H) metabolomic profile and metabolite set enrichment analysis of AZD3965 treatment in bleomycin-treated mice. (</w:t>
      </w:r>
      <w:r>
        <w:rPr>
          <w:b/>
          <w:bCs/>
        </w:rPr>
        <w:t xml:space="preserve">I</w:t>
      </w:r>
      <w:r>
        <w:t xml:space="preserve">-</w:t>
      </w:r>
      <w:r>
        <w:rPr>
          <w:b/>
          <w:bCs/>
        </w:rPr>
        <w:t xml:space="preserve">L</w:t>
      </w:r>
      <w:r>
        <w:t xml:space="preserve">) Plasma (I-J) and lung (K-L) metabolomic profile and metabolite set enrichment analysis of VB124 treatment in bleomycin-treated mice. Differentially regulated metabolites are colored (adjusted p-value &lt; 0.1), the top 10 up- and down-regulated of which are labeled. KEGG pathways significantly enriched (adjusted p-value &lt; 0.1) with metabolites differentially regulated by bleomycin treatment or MCT inhibition ordered by normalized enrichment score (NES). Positive NES indicate enrichment in treated mice while negative NES indicate relative enrichment in control or untreated mice.</w:t>
      </w:r>
    </w:p>
    <w:p>
      <w:r>
        <w:br w:type="page"/>
      </w:r>
    </w:p>
    <w:p>
      <w:pPr>
        <w:pStyle w:val="CaptionedFigure"/>
      </w:pPr>
      <w:r>
        <w:drawing>
          <wp:inline>
            <wp:extent cx="5734113" cy="2571941"/>
            <wp:effectExtent b="0" l="0" r="0" t="0"/>
            <wp:docPr descr="Fig. S10. VB253 is a novel, potent, and selective inhibitor of MCT4. (A) Dose-dependent change in intracellular pH over time in BCECF-loaded MDA-MB-231 (MCT4) or BT20 (MCT1) breast cancer cell lines. (B) VB253 does not attenuate canonical TGFβ signaling. Upon phosphorylation by the TGFβ receptor, Smad3 relocates to the nucleus. Dose-response profile of VB253 compared to nintedanib (NIN), demonstrates that VB253 does not inhibit canonical Smad3 signaling pathways." title="" id="111" name="Picture"/>
            <a:graphic>
              <a:graphicData uri="http://schemas.openxmlformats.org/drawingml/2006/picture">
                <pic:pic>
                  <pic:nvPicPr>
                    <pic:cNvPr descr="figs/SF_10.png" id="112" name="Picture"/>
                    <pic:cNvPicPr>
                      <a:picLocks noChangeArrowheads="1" noChangeAspect="1"/>
                    </pic:cNvPicPr>
                  </pic:nvPicPr>
                  <pic:blipFill>
                    <a:blip r:embed="rId110"/>
                    <a:stretch>
                      <a:fillRect/>
                    </a:stretch>
                  </pic:blipFill>
                  <pic:spPr bwMode="auto">
                    <a:xfrm>
                      <a:off x="0" y="0"/>
                      <a:ext cx="5734113" cy="2571941"/>
                    </a:xfrm>
                    <a:prstGeom prst="rect">
                      <a:avLst/>
                    </a:prstGeom>
                    <a:noFill/>
                    <a:ln w="9525">
                      <a:noFill/>
                      <a:headEnd/>
                      <a:tailEnd/>
                    </a:ln>
                  </pic:spPr>
                </pic:pic>
              </a:graphicData>
            </a:graphic>
          </wp:inline>
        </w:drawing>
      </w:r>
    </w:p>
    <w:p>
      <w:pPr>
        <w:pStyle w:val="ImageCaption"/>
      </w:pPr>
      <w:r>
        <w:rPr>
          <w:b/>
          <w:bCs/>
        </w:rPr>
        <w:t xml:space="preserve">Fig. S10. VB253 is a novel, potent, and selective inhibitor of MCT4.</w:t>
      </w:r>
      <w:r>
        <w:t xml:space="preserve"> </w:t>
      </w:r>
      <w:r>
        <w:t xml:space="preserve">(</w:t>
      </w:r>
      <w:r>
        <w:rPr>
          <w:b/>
          <w:bCs/>
        </w:rPr>
        <w:t xml:space="preserve">A</w:t>
      </w:r>
      <w:r>
        <w:t xml:space="preserve">) Dose-dependent change in intracellular pH over time in BCECF-loaded MDA-MB-231 (MCT4) or BT20 (MCT1) breast cancer cell lines. (</w:t>
      </w:r>
      <w:r>
        <w:rPr>
          <w:b/>
          <w:bCs/>
        </w:rPr>
        <w:t xml:space="preserve">B</w:t>
      </w:r>
      <w:r>
        <w:t xml:space="preserve">) VB253 does not attenuate canonical TGFβ signaling. Upon phosphorylation by the TGFβ receptor, Smad3 relocates to the nucleus. Dose-response profile of VB253 compared to nintedanib (NIN), demonstrates that VB253 does not inhibit canonical Smad3 signaling pathways.</w:t>
      </w:r>
    </w:p>
    <w:bookmarkEnd w:id="113"/>
    <w:sectPr w:rsidR="00DE058C" w:rsidSect="000650CF">
      <w:footerReference r:id="rId10" w:type="even"/>
      <w:footerReference r:id="rId9" w:type="default"/>
      <w:pgSz w:h="15840" w:w="12240"/>
      <w:pgMar w:bottom="1440" w:footer="720" w:gutter="0" w:header="720" w:left="1080" w:right="108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63869114"/>
      <w:docPartObj>
        <w:docPartGallery w:val="Page Numbers (Bottom of Page)"/>
        <w:docPartUnique/>
      </w:docPartObj>
    </w:sdtPr>
    <w:sdtContent>
      <w:p w14:paraId="30E4123D" w14:textId="29ED2F3C" w:rsidR="008D6E14" w:rsidRDefault="008D6E14" w:rsidP="00C54E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38821B" w14:textId="77777777" w:rsidR="008D6E14" w:rsidRDefault="008D6E14" w:rsidP="008D6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5918278"/>
      <w:docPartObj>
        <w:docPartGallery w:val="Page Numbers (Bottom of Page)"/>
        <w:docPartUnique/>
      </w:docPartObj>
    </w:sdtPr>
    <w:sdtEndPr>
      <w:rPr>
        <w:rStyle w:val="PageNumber"/>
        <w:sz w:val="20"/>
        <w:szCs w:val="20"/>
      </w:rPr>
    </w:sdtEndPr>
    <w:sdtContent>
      <w:p w14:paraId="363C3BB1" w14:textId="25FF356D" w:rsidR="008D6E14" w:rsidRPr="008D6E14" w:rsidRDefault="008D6E14" w:rsidP="00C54E75">
        <w:pPr>
          <w:pStyle w:val="Footer"/>
          <w:framePr w:wrap="none" w:vAnchor="text" w:hAnchor="margin" w:xAlign="right" w:y="1"/>
          <w:rPr>
            <w:rStyle w:val="PageNumber"/>
            <w:sz w:val="20"/>
            <w:szCs w:val="20"/>
          </w:rPr>
        </w:pPr>
        <w:r w:rsidRPr="008D6E14">
          <w:rPr>
            <w:rStyle w:val="PageNumber"/>
            <w:sz w:val="20"/>
            <w:szCs w:val="20"/>
          </w:rPr>
          <w:fldChar w:fldCharType="begin"/>
        </w:r>
        <w:r w:rsidRPr="008D6E14">
          <w:rPr>
            <w:rStyle w:val="PageNumber"/>
            <w:sz w:val="20"/>
            <w:szCs w:val="20"/>
          </w:rPr>
          <w:instrText xml:space="preserve"> PAGE </w:instrText>
        </w:r>
        <w:r w:rsidRPr="008D6E14">
          <w:rPr>
            <w:rStyle w:val="PageNumber"/>
            <w:sz w:val="20"/>
            <w:szCs w:val="20"/>
          </w:rPr>
          <w:fldChar w:fldCharType="separate"/>
        </w:r>
        <w:r w:rsidRPr="008D6E14">
          <w:rPr>
            <w:rStyle w:val="PageNumber"/>
            <w:noProof/>
            <w:sz w:val="20"/>
            <w:szCs w:val="20"/>
          </w:rPr>
          <w:t>1</w:t>
        </w:r>
        <w:r w:rsidRPr="008D6E14">
          <w:rPr>
            <w:rStyle w:val="PageNumber"/>
            <w:sz w:val="20"/>
            <w:szCs w:val="20"/>
          </w:rPr>
          <w:fldChar w:fldCharType="end"/>
        </w:r>
      </w:p>
    </w:sdtContent>
  </w:sdt>
  <w:p w14:paraId="73198CD2" w14:textId="77777777" w:rsidR="008D6E14" w:rsidRPr="008D6E14" w:rsidRDefault="008D6E14" w:rsidP="008D6E14">
    <w:pPr>
      <w:pStyle w:val="Footer"/>
      <w:ind w:right="360"/>
      <w:rPr>
        <w:sz w:val="20"/>
        <w:szCs w:val="20"/>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416A33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4E9CE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2406541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AC020F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E709F6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CA03CD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5384833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540F60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4B0A4B1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1CCA2A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C1BCFE1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157422633" w:numId="1">
    <w:abstractNumId w:val="10"/>
  </w:num>
  <w:num w16cid:durableId="50277978" w:numId="2">
    <w:abstractNumId w:val="0"/>
  </w:num>
  <w:num w16cid:durableId="934754677" w:numId="3">
    <w:abstractNumId w:val="1"/>
  </w:num>
  <w:num w16cid:durableId="2118793838" w:numId="4">
    <w:abstractNumId w:val="2"/>
  </w:num>
  <w:num w16cid:durableId="1490752518" w:numId="5">
    <w:abstractNumId w:val="3"/>
  </w:num>
  <w:num w16cid:durableId="177043020" w:numId="6">
    <w:abstractNumId w:val="8"/>
  </w:num>
  <w:num w16cid:durableId="38668676" w:numId="7">
    <w:abstractNumId w:val="4"/>
  </w:num>
  <w:num w16cid:durableId="781454890" w:numId="8">
    <w:abstractNumId w:val="5"/>
  </w:num>
  <w:num w16cid:durableId="783037622" w:numId="9">
    <w:abstractNumId w:val="6"/>
  </w:num>
  <w:num w16cid:durableId="1881898471" w:numId="10">
    <w:abstractNumId w:val="7"/>
  </w:num>
  <w:num w16cid:durableId="53505925" w:numId="1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206" w:val="bestFit"/>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650CF"/>
    <w:rsid w:val="000A2E13"/>
    <w:rsid w:val="000E081E"/>
    <w:rsid w:val="0014005A"/>
    <w:rsid w:val="00161A29"/>
    <w:rsid w:val="001B6A06"/>
    <w:rsid w:val="002A7FF0"/>
    <w:rsid w:val="00300B28"/>
    <w:rsid w:val="00353179"/>
    <w:rsid w:val="00384B5B"/>
    <w:rsid w:val="003F6A90"/>
    <w:rsid w:val="0040584A"/>
    <w:rsid w:val="004B2915"/>
    <w:rsid w:val="004E29B3"/>
    <w:rsid w:val="00515FCD"/>
    <w:rsid w:val="0053136C"/>
    <w:rsid w:val="00590D07"/>
    <w:rsid w:val="005D593B"/>
    <w:rsid w:val="00663598"/>
    <w:rsid w:val="00681772"/>
    <w:rsid w:val="00784D58"/>
    <w:rsid w:val="00816118"/>
    <w:rsid w:val="008D1D08"/>
    <w:rsid w:val="008D6863"/>
    <w:rsid w:val="008D6E14"/>
    <w:rsid w:val="008E5E5D"/>
    <w:rsid w:val="00903FF5"/>
    <w:rsid w:val="00A1745C"/>
    <w:rsid w:val="00A4185D"/>
    <w:rsid w:val="00A539FF"/>
    <w:rsid w:val="00A74E67"/>
    <w:rsid w:val="00A76699"/>
    <w:rsid w:val="00AB5ABB"/>
    <w:rsid w:val="00B86B75"/>
    <w:rsid w:val="00BC48D5"/>
    <w:rsid w:val="00C36279"/>
    <w:rsid w:val="00DE058C"/>
    <w:rsid w:val="00E10290"/>
    <w:rsid w:val="00E1278B"/>
    <w:rsid w:val="00E315A3"/>
    <w:rsid w:val="00E67ED3"/>
    <w:rsid w:val="00E72DA7"/>
    <w:rsid w:val="00E77014"/>
    <w:rsid w:val="00E85E3C"/>
    <w:rsid w:val="00E90653"/>
    <w:rsid w:val="00FB1ED4"/>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10290"/>
    <w:pPr>
      <w:spacing w:line="360" w:lineRule="auto"/>
    </w:pPr>
    <w:rPr>
      <w:rFonts w:asciiTheme="majorHAnsi" w:hAnsiTheme="majorHAnsi"/>
      <w:sz w:val="22"/>
    </w:rPr>
  </w:style>
  <w:style w:styleId="Heading1" w:type="paragraph">
    <w:name w:val="heading 1"/>
    <w:basedOn w:val="Normal"/>
    <w:next w:val="BodyText"/>
    <w:uiPriority w:val="9"/>
    <w:qFormat/>
    <w:rsid w:val="000E081E"/>
    <w:pPr>
      <w:keepNext/>
      <w:keepLines/>
      <w:spacing w:after="240" w:before="360"/>
      <w:outlineLvl w:val="0"/>
    </w:pPr>
    <w:rPr>
      <w:rFonts w:cs="Times New Roman (Headings CS)" w:eastAsiaTheme="majorEastAsia"/>
      <w:b/>
      <w:bCs/>
      <w:caps/>
      <w:szCs w:val="32"/>
    </w:rPr>
  </w:style>
  <w:style w:styleId="Heading2" w:type="paragraph">
    <w:name w:val="heading 2"/>
    <w:basedOn w:val="Normal"/>
    <w:next w:val="BodyText"/>
    <w:uiPriority w:val="9"/>
    <w:unhideWhenUsed/>
    <w:qFormat/>
    <w:rsid w:val="000E081E"/>
    <w:pPr>
      <w:keepNext/>
      <w:keepLines/>
      <w:spacing w:after="120"/>
      <w:outlineLvl w:val="1"/>
    </w:pPr>
    <w:rPr>
      <w:rFonts w:cstheme="majorBidi" w:eastAsiaTheme="majorEastAsia"/>
      <w:b/>
      <w:bCs/>
      <w:szCs w:val="28"/>
    </w:rPr>
  </w:style>
  <w:style w:styleId="Heading3" w:type="paragraph">
    <w:name w:val="heading 3"/>
    <w:basedOn w:val="Normal"/>
    <w:next w:val="BodyText"/>
    <w:uiPriority w:val="9"/>
    <w:unhideWhenUsed/>
    <w:qFormat/>
    <w:rsid w:val="000E081E"/>
    <w:pPr>
      <w:keepNext/>
      <w:keepLines/>
      <w:spacing w:after="0"/>
      <w:outlineLvl w:val="2"/>
    </w:pPr>
    <w:rPr>
      <w:rFonts w:cstheme="majorBidi" w:eastAsiaTheme="majorEastAsia"/>
      <w:b/>
      <w:bCs/>
      <w:i/>
      <w:szCs w:val="22"/>
    </w:rPr>
  </w:style>
  <w:style w:styleId="Heading4" w:type="paragraph">
    <w:name w:val="heading 4"/>
    <w:basedOn w:val="Normal"/>
    <w:next w:val="BodyText"/>
    <w:uiPriority w:val="9"/>
    <w:unhideWhenUsed/>
    <w:qFormat/>
    <w:rsid w:val="002A7FF0"/>
    <w:pPr>
      <w:keepNext/>
      <w:keepLines/>
      <w:spacing w:after="240"/>
      <w:outlineLvl w:val="3"/>
    </w:pPr>
    <w:rPr>
      <w:rFonts w:cstheme="majorBidi" w:eastAsiaTheme="majorEastAsia"/>
      <w:bCs/>
      <w:i/>
      <w:szCs w:val="22"/>
    </w:rPr>
  </w:style>
  <w:style w:styleId="Heading5" w:type="paragraph">
    <w:name w:val="heading 5"/>
    <w:basedOn w:val="Normal"/>
    <w:next w:val="BodyText"/>
    <w:uiPriority w:val="9"/>
    <w:unhideWhenUsed/>
    <w:qFormat/>
    <w:rsid w:val="00515FCD"/>
    <w:pPr>
      <w:keepNext/>
      <w:keepLines/>
      <w:spacing w:after="0" w:before="200"/>
      <w:outlineLvl w:val="4"/>
    </w:pPr>
    <w:rPr>
      <w:rFonts w:cstheme="majorBidi" w:eastAsiaTheme="majorEastAsia"/>
      <w:iCs/>
      <w:szCs w:val="22"/>
    </w:rPr>
  </w:style>
  <w:style w:styleId="Heading6" w:type="paragraph">
    <w:name w:val="heading 6"/>
    <w:basedOn w:val="Normal"/>
    <w:next w:val="BodyText"/>
    <w:uiPriority w:val="9"/>
    <w:unhideWhenUsed/>
    <w:qFormat/>
    <w:rsid w:val="00515FCD"/>
    <w:pPr>
      <w:keepNext/>
      <w:keepLines/>
      <w:spacing w:after="0" w:before="200"/>
      <w:outlineLvl w:val="5"/>
    </w:pPr>
    <w:rPr>
      <w:rFonts w:cstheme="majorBidi" w:eastAsiaTheme="majorEastAsia"/>
      <w:szCs w:val="22"/>
    </w:rPr>
  </w:style>
  <w:style w:styleId="Heading7" w:type="paragraph">
    <w:name w:val="heading 7"/>
    <w:basedOn w:val="Normal"/>
    <w:next w:val="BodyText"/>
    <w:uiPriority w:val="9"/>
    <w:unhideWhenUsed/>
    <w:qFormat/>
    <w:pPr>
      <w:keepNext/>
      <w:keepLines/>
      <w:spacing w:after="0" w:before="200"/>
      <w:outlineLvl w:val="6"/>
    </w:pPr>
    <w:rPr>
      <w:rFonts w:cstheme="majorBidi" w:eastAsiaTheme="majorEastAsia"/>
      <w:color w:themeColor="accent1" w:val="4F81BD"/>
      <w:sz w:val="24"/>
    </w:rPr>
  </w:style>
  <w:style w:styleId="Heading8" w:type="paragraph">
    <w:name w:val="heading 8"/>
    <w:basedOn w:val="Normal"/>
    <w:next w:val="BodyText"/>
    <w:uiPriority w:val="9"/>
    <w:unhideWhenUsed/>
    <w:qFormat/>
    <w:pPr>
      <w:keepNext/>
      <w:keepLines/>
      <w:spacing w:after="0" w:before="200"/>
      <w:outlineLvl w:val="7"/>
    </w:pPr>
    <w:rPr>
      <w:rFonts w:cstheme="majorBidi" w:eastAsiaTheme="majorEastAsia"/>
      <w:color w:themeColor="accent1" w:val="4F81BD"/>
      <w:sz w:val="24"/>
    </w:rPr>
  </w:style>
  <w:style w:styleId="Heading9" w:type="paragraph">
    <w:name w:val="heading 9"/>
    <w:basedOn w:val="Normal"/>
    <w:next w:val="BodyText"/>
    <w:uiPriority w:val="9"/>
    <w:unhideWhenUsed/>
    <w:qFormat/>
    <w:pPr>
      <w:keepNext/>
      <w:keepLines/>
      <w:spacing w:after="0" w:before="200"/>
      <w:outlineLvl w:val="8"/>
    </w:pPr>
    <w:rPr>
      <w:rFonts w:cstheme="majorBidi" w:eastAsiaTheme="majorEastAsia"/>
      <w:color w:themeColor="accent1" w:val="4F81BD"/>
      <w:sz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A7FF0"/>
    <w:pPr>
      <w:spacing w:after="240"/>
    </w:pPr>
  </w:style>
  <w:style w:customStyle="1" w:styleId="FirstParagraph" w:type="paragraph">
    <w:name w:val="First Paragraph"/>
    <w:basedOn w:val="BodyText"/>
    <w:next w:val="BodyText"/>
    <w:qFormat/>
    <w:rsid w:val="002A7FF0"/>
  </w:style>
  <w:style w:customStyle="1" w:styleId="Compact" w:type="paragraph">
    <w:name w:val="Compact"/>
    <w:basedOn w:val="BodyText"/>
    <w:qFormat/>
    <w:pPr>
      <w:spacing w:after="36" w:before="36"/>
    </w:pPr>
  </w:style>
  <w:style w:styleId="Title" w:type="paragraph">
    <w:name w:val="Title"/>
    <w:basedOn w:val="Normal"/>
    <w:next w:val="BodyText"/>
    <w:qFormat/>
    <w:rsid w:val="001B6A06"/>
    <w:pPr>
      <w:keepNext/>
      <w:keepLines/>
      <w:spacing w:after="240" w:line="240" w:lineRule="auto"/>
    </w:pPr>
    <w:rPr>
      <w:rFonts w:cs="Times New Roman (Headings CS)"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2A7FF0"/>
    <w:pPr>
      <w:keepNext/>
      <w:keepLines/>
      <w:spacing w:after="240" w:line="360" w:lineRule="auto"/>
    </w:pPr>
    <w:rPr>
      <w:rFonts w:asciiTheme="majorHAnsi" w:hAnsiTheme="majorHAnsi"/>
      <w:sz w:val="22"/>
    </w:rPr>
  </w:style>
  <w:style w:styleId="Date" w:type="paragraph">
    <w:name w:val="Date"/>
    <w:next w:val="BodyText"/>
    <w:qFormat/>
    <w:rsid w:val="002A7FF0"/>
    <w:pPr>
      <w:keepNext/>
      <w:keepLines/>
      <w:spacing w:after="240" w:line="360" w:lineRule="auto"/>
    </w:pPr>
    <w:rPr>
      <w:rFonts w:asciiTheme="majorHAnsi" w:hAnsiTheme="majorHAnsi"/>
      <w:sz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300B28"/>
    <w:pPr>
      <w:spacing w:after="120"/>
    </w:pPr>
    <w:rPr>
      <w:b/>
    </w:rPr>
  </w:style>
  <w:style w:customStyle="1" w:styleId="TableCaption" w:type="paragraph">
    <w:name w:val="Table Caption"/>
    <w:basedOn w:val="Caption"/>
    <w:pPr>
      <w:keepNext/>
    </w:pPr>
  </w:style>
  <w:style w:customStyle="1" w:styleId="ImageCaption" w:type="paragraph">
    <w:name w:val="Image Caption"/>
    <w:basedOn w:val="Caption"/>
    <w:rsid w:val="0014005A"/>
    <w:pPr>
      <w:spacing w:line="240" w:lineRule="auto"/>
    </w:pPr>
    <w:rPr>
      <w:b w:val="0"/>
      <w:sz w:val="18"/>
    </w:rPr>
  </w:style>
  <w:style w:customStyle="1" w:styleId="Figure" w:type="paragraph">
    <w:name w:val="Figure"/>
    <w:basedOn w:val="Normal"/>
    <w:rsid w:val="00663598"/>
    <w:pPr>
      <w:jc w:val="center"/>
    </w:pPr>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300B28"/>
    <w:rPr>
      <w:rFonts w:asciiTheme="majorHAnsi" w:hAnsiTheme="majorHAnsi"/>
      <w:b/>
      <w:sz w:val="22"/>
    </w:rPr>
  </w:style>
  <w:style w:customStyle="1" w:styleId="VerbatimChar" w:type="character">
    <w:name w:val="Verbatim Char"/>
    <w:basedOn w:val="CaptionChar"/>
    <w:link w:val="SourceCode"/>
    <w:rPr>
      <w:rFonts w:ascii="Consolas" w:hAnsi="Consolas"/>
      <w:b/>
      <w:sz w:val="22"/>
    </w:rPr>
  </w:style>
  <w:style w:customStyle="1" w:styleId="SectionNumber" w:type="character">
    <w:name w:val="Section Number"/>
    <w:basedOn w:val="CaptionChar"/>
    <w:rPr>
      <w:rFonts w:asciiTheme="majorHAnsi" w:hAnsiTheme="majorHAnsi"/>
      <w:b/>
      <w:sz w:val="22"/>
    </w:rPr>
  </w:style>
  <w:style w:styleId="FootnoteReference" w:type="character">
    <w:name w:val="footnote reference"/>
    <w:basedOn w:val="CaptionChar"/>
    <w:rPr>
      <w:rFonts w:asciiTheme="majorHAnsi" w:hAnsiTheme="majorHAnsi"/>
      <w:b/>
      <w:sz w:val="22"/>
      <w:vertAlign w:val="superscript"/>
    </w:rPr>
  </w:style>
  <w:style w:styleId="Hyperlink" w:type="character">
    <w:name w:val="Hyperlink"/>
    <w:basedOn w:val="CaptionChar"/>
    <w:rsid w:val="00A76699"/>
    <w:rPr>
      <w:rFonts w:asciiTheme="majorHAnsi" w:hAnsiTheme="majorHAnsi"/>
      <w:b w:val="0"/>
      <w:color w:themeColor="text2" w:themeShade="BF" w:val="17365D"/>
      <w:sz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color w:val="204A87"/>
      <w:sz w:val="22"/>
      <w:shd w:color="auto" w:fill="F8F8F8" w:val="clear"/>
    </w:rPr>
  </w:style>
  <w:style w:customStyle="1" w:styleId="DataTypeTok" w:type="character">
    <w:name w:val="DataTypeTok"/>
    <w:basedOn w:val="VerbatimChar"/>
    <w:rPr>
      <w:rFonts w:ascii="Consolas" w:hAnsi="Consolas"/>
      <w:b/>
      <w:color w:val="204A87"/>
      <w:sz w:val="22"/>
      <w:shd w:color="auto" w:fill="F8F8F8" w:val="clear"/>
    </w:rPr>
  </w:style>
  <w:style w:customStyle="1" w:styleId="DecValTok" w:type="character">
    <w:name w:val="DecValTok"/>
    <w:basedOn w:val="VerbatimChar"/>
    <w:rPr>
      <w:rFonts w:ascii="Consolas" w:hAnsi="Consolas"/>
      <w:b/>
      <w:color w:val="0000CF"/>
      <w:sz w:val="22"/>
      <w:shd w:color="auto" w:fill="F8F8F8" w:val="clear"/>
    </w:rPr>
  </w:style>
  <w:style w:customStyle="1" w:styleId="BaseNTok" w:type="character">
    <w:name w:val="BaseNTok"/>
    <w:basedOn w:val="VerbatimChar"/>
    <w:rPr>
      <w:rFonts w:ascii="Consolas" w:hAnsi="Consolas"/>
      <w:b/>
      <w:color w:val="0000CF"/>
      <w:sz w:val="22"/>
      <w:shd w:color="auto" w:fill="F8F8F8" w:val="clear"/>
    </w:rPr>
  </w:style>
  <w:style w:customStyle="1" w:styleId="FloatTok" w:type="character">
    <w:name w:val="FloatTok"/>
    <w:basedOn w:val="VerbatimChar"/>
    <w:rPr>
      <w:rFonts w:ascii="Consolas" w:hAnsi="Consolas"/>
      <w:b/>
      <w:color w:val="0000CF"/>
      <w:sz w:val="22"/>
      <w:shd w:color="auto" w:fill="F8F8F8" w:val="clear"/>
    </w:rPr>
  </w:style>
  <w:style w:customStyle="1" w:styleId="ConstantTok" w:type="character">
    <w:name w:val="ConstantTok"/>
    <w:basedOn w:val="VerbatimChar"/>
    <w:rPr>
      <w:rFonts w:ascii="Consolas" w:hAnsi="Consolas"/>
      <w:b/>
      <w:color w:val="000000"/>
      <w:sz w:val="22"/>
      <w:shd w:color="auto" w:fill="F8F8F8" w:val="clear"/>
    </w:rPr>
  </w:style>
  <w:style w:customStyle="1" w:styleId="CharTok" w:type="character">
    <w:name w:val="CharTok"/>
    <w:basedOn w:val="VerbatimChar"/>
    <w:rPr>
      <w:rFonts w:ascii="Consolas" w:hAnsi="Consolas"/>
      <w:b/>
      <w:color w:val="4E9A06"/>
      <w:sz w:val="22"/>
      <w:shd w:color="auto" w:fill="F8F8F8" w:val="clear"/>
    </w:rPr>
  </w:style>
  <w:style w:customStyle="1" w:styleId="SpecialCharTok" w:type="character">
    <w:name w:val="SpecialCharTok"/>
    <w:basedOn w:val="VerbatimChar"/>
    <w:rPr>
      <w:rFonts w:ascii="Consolas" w:hAnsi="Consolas"/>
      <w:b/>
      <w:color w:val="000000"/>
      <w:sz w:val="22"/>
      <w:shd w:color="auto" w:fill="F8F8F8" w:val="clear"/>
    </w:rPr>
  </w:style>
  <w:style w:customStyle="1" w:styleId="StringTok" w:type="character">
    <w:name w:val="StringTok"/>
    <w:basedOn w:val="VerbatimChar"/>
    <w:rPr>
      <w:rFonts w:ascii="Consolas" w:hAnsi="Consolas"/>
      <w:b/>
      <w:color w:val="4E9A06"/>
      <w:sz w:val="22"/>
      <w:shd w:color="auto" w:fill="F8F8F8" w:val="clear"/>
    </w:rPr>
  </w:style>
  <w:style w:customStyle="1" w:styleId="VerbatimStringTok" w:type="character">
    <w:name w:val="VerbatimStringTok"/>
    <w:basedOn w:val="VerbatimChar"/>
    <w:rPr>
      <w:rFonts w:ascii="Consolas" w:hAnsi="Consolas"/>
      <w:b/>
      <w:color w:val="4E9A06"/>
      <w:sz w:val="22"/>
      <w:shd w:color="auto" w:fill="F8F8F8" w:val="clear"/>
    </w:rPr>
  </w:style>
  <w:style w:customStyle="1" w:styleId="SpecialStringTok" w:type="character">
    <w:name w:val="SpecialStringTok"/>
    <w:basedOn w:val="VerbatimChar"/>
    <w:rPr>
      <w:rFonts w:ascii="Consolas" w:hAnsi="Consolas"/>
      <w:b/>
      <w:color w:val="4E9A06"/>
      <w:sz w:val="22"/>
      <w:shd w:color="auto" w:fill="F8F8F8" w:val="clear"/>
    </w:rPr>
  </w:style>
  <w:style w:customStyle="1" w:styleId="ImportTok" w:type="character">
    <w:name w:val="ImportTok"/>
    <w:basedOn w:val="VerbatimChar"/>
    <w:rPr>
      <w:rFonts w:ascii="Consolas" w:hAnsi="Consolas"/>
      <w:b/>
      <w:sz w:val="22"/>
      <w:shd w:color="auto" w:fill="F8F8F8" w:val="clear"/>
    </w:rPr>
  </w:style>
  <w:style w:customStyle="1" w:styleId="CommentTok" w:type="character">
    <w:name w:val="CommentTok"/>
    <w:basedOn w:val="VerbatimChar"/>
    <w:rPr>
      <w:rFonts w:ascii="Consolas" w:hAnsi="Consolas"/>
      <w:b/>
      <w:i/>
      <w:color w:val="8F5902"/>
      <w:sz w:val="22"/>
      <w:shd w:color="auto" w:fill="F8F8F8" w:val="clear"/>
    </w:rPr>
  </w:style>
  <w:style w:customStyle="1" w:styleId="DocumentationTok" w:type="character">
    <w:name w:val="DocumentationTok"/>
    <w:basedOn w:val="VerbatimChar"/>
    <w:rPr>
      <w:rFonts w:ascii="Consolas" w:hAnsi="Consolas"/>
      <w:b w:val="0"/>
      <w:i/>
      <w:color w:val="8F5902"/>
      <w:sz w:val="22"/>
      <w:shd w:color="auto" w:fill="F8F8F8" w:val="clear"/>
    </w:rPr>
  </w:style>
  <w:style w:customStyle="1" w:styleId="AnnotationTok" w:type="character">
    <w:name w:val="AnnotationTok"/>
    <w:basedOn w:val="VerbatimChar"/>
    <w:rPr>
      <w:rFonts w:ascii="Consolas" w:hAnsi="Consolas"/>
      <w:b w:val="0"/>
      <w:i/>
      <w:color w:val="8F5902"/>
      <w:sz w:val="22"/>
      <w:shd w:color="auto" w:fill="F8F8F8" w:val="clear"/>
    </w:rPr>
  </w:style>
  <w:style w:customStyle="1" w:styleId="CommentVarTok" w:type="character">
    <w:name w:val="CommentVarTok"/>
    <w:basedOn w:val="VerbatimChar"/>
    <w:rPr>
      <w:rFonts w:ascii="Consolas" w:hAnsi="Consolas"/>
      <w:b w:val="0"/>
      <w:i/>
      <w:color w:val="8F5902"/>
      <w:sz w:val="22"/>
      <w:shd w:color="auto" w:fill="F8F8F8" w:val="clear"/>
    </w:rPr>
  </w:style>
  <w:style w:customStyle="1" w:styleId="OtherTok" w:type="character">
    <w:name w:val="OtherTok"/>
    <w:basedOn w:val="VerbatimChar"/>
    <w:rPr>
      <w:rFonts w:ascii="Consolas" w:hAnsi="Consolas"/>
      <w:b/>
      <w:color w:val="8F5902"/>
      <w:sz w:val="22"/>
      <w:shd w:color="auto" w:fill="F8F8F8" w:val="clear"/>
    </w:rPr>
  </w:style>
  <w:style w:customStyle="1" w:styleId="FunctionTok" w:type="character">
    <w:name w:val="FunctionTok"/>
    <w:basedOn w:val="VerbatimChar"/>
    <w:rPr>
      <w:rFonts w:ascii="Consolas" w:hAnsi="Consolas"/>
      <w:b/>
      <w:color w:val="000000"/>
      <w:sz w:val="22"/>
      <w:shd w:color="auto" w:fill="F8F8F8" w:val="clear"/>
    </w:rPr>
  </w:style>
  <w:style w:customStyle="1" w:styleId="VariableTok" w:type="character">
    <w:name w:val="VariableTok"/>
    <w:basedOn w:val="VerbatimChar"/>
    <w:rPr>
      <w:rFonts w:ascii="Consolas" w:hAnsi="Consolas"/>
      <w:b/>
      <w:color w:val="000000"/>
      <w:sz w:val="22"/>
      <w:shd w:color="auto" w:fill="F8F8F8" w:val="clear"/>
    </w:rPr>
  </w:style>
  <w:style w:customStyle="1" w:styleId="ControlFlowTok" w:type="character">
    <w:name w:val="ControlFlowTok"/>
    <w:basedOn w:val="VerbatimChar"/>
    <w:rPr>
      <w:rFonts w:ascii="Consolas" w:hAnsi="Consolas"/>
      <w:b w:val="0"/>
      <w:color w:val="204A87"/>
      <w:sz w:val="22"/>
      <w:shd w:color="auto" w:fill="F8F8F8" w:val="clear"/>
    </w:rPr>
  </w:style>
  <w:style w:customStyle="1" w:styleId="OperatorTok" w:type="character">
    <w:name w:val="OperatorTok"/>
    <w:basedOn w:val="VerbatimChar"/>
    <w:rPr>
      <w:rFonts w:ascii="Consolas" w:hAnsi="Consolas"/>
      <w:b w:val="0"/>
      <w:color w:val="CE5C00"/>
      <w:sz w:val="22"/>
      <w:shd w:color="auto" w:fill="F8F8F8" w:val="clear"/>
    </w:rPr>
  </w:style>
  <w:style w:customStyle="1" w:styleId="BuiltInTok" w:type="character">
    <w:name w:val="BuiltInTok"/>
    <w:basedOn w:val="VerbatimChar"/>
    <w:rPr>
      <w:rFonts w:ascii="Consolas" w:hAnsi="Consolas"/>
      <w:b/>
      <w:sz w:val="22"/>
      <w:shd w:color="auto" w:fill="F8F8F8" w:val="clear"/>
    </w:rPr>
  </w:style>
  <w:style w:customStyle="1" w:styleId="ExtensionTok" w:type="character">
    <w:name w:val="ExtensionTok"/>
    <w:basedOn w:val="VerbatimChar"/>
    <w:rPr>
      <w:rFonts w:ascii="Consolas" w:hAnsi="Consolas"/>
      <w:b/>
      <w:sz w:val="22"/>
      <w:shd w:color="auto" w:fill="F8F8F8" w:val="clear"/>
    </w:rPr>
  </w:style>
  <w:style w:customStyle="1" w:styleId="PreprocessorTok" w:type="character">
    <w:name w:val="PreprocessorTok"/>
    <w:basedOn w:val="VerbatimChar"/>
    <w:rPr>
      <w:rFonts w:ascii="Consolas" w:hAnsi="Consolas"/>
      <w:b/>
      <w:i/>
      <w:color w:val="8F5902"/>
      <w:sz w:val="22"/>
      <w:shd w:color="auto" w:fill="F8F8F8" w:val="clear"/>
    </w:rPr>
  </w:style>
  <w:style w:customStyle="1" w:styleId="AttributeTok" w:type="character">
    <w:name w:val="AttributeTok"/>
    <w:basedOn w:val="VerbatimChar"/>
    <w:rPr>
      <w:rFonts w:ascii="Consolas" w:hAnsi="Consolas"/>
      <w:b/>
      <w:color w:val="C4A000"/>
      <w:sz w:val="22"/>
      <w:shd w:color="auto" w:fill="F8F8F8" w:val="clear"/>
    </w:rPr>
  </w:style>
  <w:style w:customStyle="1" w:styleId="RegionMarkerTok" w:type="character">
    <w:name w:val="RegionMarkerTok"/>
    <w:basedOn w:val="VerbatimChar"/>
    <w:rPr>
      <w:rFonts w:ascii="Consolas" w:hAnsi="Consolas"/>
      <w:b/>
      <w:sz w:val="22"/>
      <w:shd w:color="auto" w:fill="F8F8F8" w:val="clear"/>
    </w:rPr>
  </w:style>
  <w:style w:customStyle="1" w:styleId="InformationTok" w:type="character">
    <w:name w:val="InformationTok"/>
    <w:basedOn w:val="VerbatimChar"/>
    <w:rPr>
      <w:rFonts w:ascii="Consolas" w:hAnsi="Consolas"/>
      <w:b w:val="0"/>
      <w:i/>
      <w:color w:val="8F5902"/>
      <w:sz w:val="22"/>
      <w:shd w:color="auto" w:fill="F8F8F8" w:val="clear"/>
    </w:rPr>
  </w:style>
  <w:style w:customStyle="1" w:styleId="WarningTok" w:type="character">
    <w:name w:val="WarningTok"/>
    <w:basedOn w:val="VerbatimChar"/>
    <w:rPr>
      <w:rFonts w:ascii="Consolas" w:hAnsi="Consolas"/>
      <w:b w:val="0"/>
      <w:i/>
      <w:color w:val="8F5902"/>
      <w:sz w:val="22"/>
      <w:shd w:color="auto" w:fill="F8F8F8" w:val="clear"/>
    </w:rPr>
  </w:style>
  <w:style w:customStyle="1" w:styleId="AlertTok" w:type="character">
    <w:name w:val="AlertTok"/>
    <w:basedOn w:val="VerbatimChar"/>
    <w:rPr>
      <w:rFonts w:ascii="Consolas" w:hAnsi="Consolas"/>
      <w:b/>
      <w:color w:val="EF2929"/>
      <w:sz w:val="22"/>
      <w:shd w:color="auto" w:fill="F8F8F8" w:val="clear"/>
    </w:rPr>
  </w:style>
  <w:style w:customStyle="1" w:styleId="ErrorTok" w:type="character">
    <w:name w:val="ErrorTok"/>
    <w:basedOn w:val="VerbatimChar"/>
    <w:rPr>
      <w:rFonts w:ascii="Consolas" w:hAnsi="Consolas"/>
      <w:b w:val="0"/>
      <w:color w:val="A40000"/>
      <w:sz w:val="22"/>
      <w:shd w:color="auto" w:fill="F8F8F8" w:val="clear"/>
    </w:rPr>
  </w:style>
  <w:style w:customStyle="1" w:styleId="NormalTok" w:type="character">
    <w:name w:val="NormalTok"/>
    <w:basedOn w:val="VerbatimChar"/>
    <w:rPr>
      <w:rFonts w:ascii="Consolas" w:hAnsi="Consolas"/>
      <w:b/>
      <w:sz w:val="22"/>
      <w:shd w:color="auto" w:fill="F8F8F8" w:val="clear"/>
    </w:rPr>
  </w:style>
  <w:style w:styleId="LineNumber" w:type="character">
    <w:name w:val="line number"/>
    <w:basedOn w:val="DefaultParagraphFont"/>
    <w:unhideWhenUsed/>
    <w:rsid w:val="00A76699"/>
    <w:rPr>
      <w:rFonts w:asciiTheme="majorHAnsi" w:hAnsiTheme="majorHAnsi"/>
      <w:sz w:val="18"/>
    </w:rPr>
  </w:style>
  <w:style w:customStyle="1" w:styleId="BodyTextChar" w:type="character">
    <w:name w:val="Body Text Char"/>
    <w:basedOn w:val="DefaultParagraphFont"/>
    <w:link w:val="BodyText"/>
    <w:rsid w:val="002A7FF0"/>
    <w:rPr>
      <w:rFonts w:asciiTheme="majorHAnsi" w:hAnsiTheme="majorHAnsi"/>
      <w:sz w:val="22"/>
    </w:rPr>
  </w:style>
  <w:style w:styleId="FollowedHyperlink" w:type="character">
    <w:name w:val="FollowedHyperlink"/>
    <w:basedOn w:val="DefaultParagraphFont"/>
    <w:semiHidden/>
    <w:unhideWhenUsed/>
    <w:rsid w:val="00A76699"/>
    <w:rPr>
      <w:color w:themeColor="followedHyperlink" w:val="800080"/>
      <w:u w:val="single"/>
    </w:rPr>
  </w:style>
  <w:style w:styleId="TOAHeading" w:type="paragraph">
    <w:name w:val="toa heading"/>
    <w:basedOn w:val="Normal"/>
    <w:next w:val="Normal"/>
    <w:unhideWhenUsed/>
    <w:rsid w:val="00384B5B"/>
    <w:pPr>
      <w:spacing w:before="120"/>
    </w:pPr>
    <w:rPr>
      <w:rFonts w:cstheme="majorBidi" w:eastAsiaTheme="majorEastAsia"/>
      <w:b/>
      <w:bCs/>
      <w:sz w:val="24"/>
    </w:rPr>
  </w:style>
  <w:style w:styleId="Footer" w:type="paragraph">
    <w:name w:val="footer"/>
    <w:basedOn w:val="Normal"/>
    <w:link w:val="FooterChar"/>
    <w:unhideWhenUsed/>
    <w:rsid w:val="008D6E14"/>
    <w:pPr>
      <w:tabs>
        <w:tab w:pos="4680" w:val="center"/>
        <w:tab w:pos="9360" w:val="right"/>
      </w:tabs>
      <w:spacing w:after="0" w:line="240" w:lineRule="auto"/>
    </w:pPr>
  </w:style>
  <w:style w:customStyle="1" w:styleId="FooterChar" w:type="character">
    <w:name w:val="Footer Char"/>
    <w:basedOn w:val="DefaultParagraphFont"/>
    <w:link w:val="Footer"/>
    <w:rsid w:val="008D6E14"/>
    <w:rPr>
      <w:rFonts w:asciiTheme="majorHAnsi" w:hAnsiTheme="majorHAnsi"/>
      <w:sz w:val="22"/>
    </w:rPr>
  </w:style>
  <w:style w:styleId="PageNumber" w:type="character">
    <w:name w:val="page number"/>
    <w:basedOn w:val="DefaultParagraphFont"/>
    <w:semiHidden/>
    <w:unhideWhenUsed/>
    <w:rsid w:val="008D6E14"/>
  </w:style>
  <w:style w:styleId="Header" w:type="paragraph">
    <w:name w:val="header"/>
    <w:basedOn w:val="Normal"/>
    <w:link w:val="HeaderChar"/>
    <w:unhideWhenUsed/>
    <w:rsid w:val="008D6E14"/>
    <w:pPr>
      <w:tabs>
        <w:tab w:pos="4680" w:val="center"/>
        <w:tab w:pos="9360" w:val="right"/>
      </w:tabs>
      <w:spacing w:after="0" w:line="240" w:lineRule="auto"/>
    </w:pPr>
  </w:style>
  <w:style w:customStyle="1" w:styleId="HeaderChar" w:type="character">
    <w:name w:val="Header Char"/>
    <w:basedOn w:val="DefaultParagraphFont"/>
    <w:link w:val="Header"/>
    <w:rsid w:val="008D6E14"/>
    <w:rPr>
      <w:rFonts w:asciiTheme="majorHAnsi" w:hAnsiTheme="maj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hyperlink" Id="rId69" Target="https://doi.org/10.1002/(SICI)1096-9888(199603)31:3&lt;255::AID-JMS290&gt;3.0.CO;2-3" TargetMode="External" /><Relationship Type="http://schemas.openxmlformats.org/officeDocument/2006/relationships/hyperlink" Id="rId57" Target="https://doi.org/10.1007/s11306-018-1367-3" TargetMode="External" /><Relationship Type="http://schemas.openxmlformats.org/officeDocument/2006/relationships/hyperlink" Id="rId75" Target="https://doi.org/10.1016/j.cmet.2015.06.021" TargetMode="External" /><Relationship Type="http://schemas.openxmlformats.org/officeDocument/2006/relationships/hyperlink" Id="rId59" Target="https://doi.org/10.1021/ac051632c" TargetMode="External" /><Relationship Type="http://schemas.openxmlformats.org/officeDocument/2006/relationships/hyperlink" Id="rId67" Target="https://doi.org/10.1038/nature14363" TargetMode="External" /><Relationship Type="http://schemas.openxmlformats.org/officeDocument/2006/relationships/hyperlink" Id="rId51" Target="https://doi.org/10.1038/nm1685" TargetMode="External" /><Relationship Type="http://schemas.openxmlformats.org/officeDocument/2006/relationships/hyperlink" Id="rId71" Target="https://doi.org/10.1038/nmeth.4197" TargetMode="External" /><Relationship Type="http://schemas.openxmlformats.org/officeDocument/2006/relationships/hyperlink" Id="rId55" Target="https://doi.org/10.1074/jbc.M116.774471" TargetMode="External" /><Relationship Type="http://schemas.openxmlformats.org/officeDocument/2006/relationships/hyperlink" Id="rId65" Target="https://doi.org/10.1093/nar/28.1.27" TargetMode="External" /><Relationship Type="http://schemas.openxmlformats.org/officeDocument/2006/relationships/hyperlink" Id="rId61" Target="https://doi.org/10.1093/nar/gkv007" TargetMode="External" /><Relationship Type="http://schemas.openxmlformats.org/officeDocument/2006/relationships/hyperlink" Id="rId63" Target="https://doi.org/10.1101/060012" TargetMode="External" /><Relationship Type="http://schemas.openxmlformats.org/officeDocument/2006/relationships/hyperlink" Id="rId47" Target="https://doi.org/10.1172/jci.insight.137708" TargetMode="External" /><Relationship Type="http://schemas.openxmlformats.org/officeDocument/2006/relationships/hyperlink" Id="rId77" Target="https://doi.org/10.1172/jci.insight.163932" TargetMode="External" /><Relationship Type="http://schemas.openxmlformats.org/officeDocument/2006/relationships/hyperlink" Id="rId79" Target="https://doi.org/10.1172/jci.insight.90349" TargetMode="External" /><Relationship Type="http://schemas.openxmlformats.org/officeDocument/2006/relationships/hyperlink" Id="rId73" Target="https://doi.org/10.1186/s13059-014-0550-8" TargetMode="External" /><Relationship Type="http://schemas.openxmlformats.org/officeDocument/2006/relationships/hyperlink" Id="rId49" Target="https://doi.org/10.2144/000112729" TargetMode="External" /><Relationship Type="http://schemas.openxmlformats.org/officeDocument/2006/relationships/hyperlink" Id="rId53" Target="https://doi.org/10.7554/eLife.82597" TargetMode="External" /><Relationship Type="http://schemas.openxmlformats.org/officeDocument/2006/relationships/hyperlink" Id="rId20" Target="mailto:woldham@bwh.harvard.edu" TargetMode="External" /></Relationships>
</file>

<file path=word/_rels/footnotes.xml.rels><?xml version="1.0" encoding="UTF-8"?><Relationships xmlns="http://schemas.openxmlformats.org/package/2006/relationships"><Relationship Type="http://schemas.openxmlformats.org/officeDocument/2006/relationships/hyperlink" Id="rId69" Target="https://doi.org/10.1002/(SICI)1096-9888(199603)31:3&lt;255::AID-JMS290&gt;3.0.CO;2-3" TargetMode="External" /><Relationship Type="http://schemas.openxmlformats.org/officeDocument/2006/relationships/hyperlink" Id="rId57" Target="https://doi.org/10.1007/s11306-018-1367-3" TargetMode="External" /><Relationship Type="http://schemas.openxmlformats.org/officeDocument/2006/relationships/hyperlink" Id="rId75" Target="https://doi.org/10.1016/j.cmet.2015.06.021" TargetMode="External" /><Relationship Type="http://schemas.openxmlformats.org/officeDocument/2006/relationships/hyperlink" Id="rId59" Target="https://doi.org/10.1021/ac051632c" TargetMode="External" /><Relationship Type="http://schemas.openxmlformats.org/officeDocument/2006/relationships/hyperlink" Id="rId67" Target="https://doi.org/10.1038/nature14363" TargetMode="External" /><Relationship Type="http://schemas.openxmlformats.org/officeDocument/2006/relationships/hyperlink" Id="rId51" Target="https://doi.org/10.1038/nm1685" TargetMode="External" /><Relationship Type="http://schemas.openxmlformats.org/officeDocument/2006/relationships/hyperlink" Id="rId71" Target="https://doi.org/10.1038/nmeth.4197" TargetMode="External" /><Relationship Type="http://schemas.openxmlformats.org/officeDocument/2006/relationships/hyperlink" Id="rId55" Target="https://doi.org/10.1074/jbc.M116.774471" TargetMode="External" /><Relationship Type="http://schemas.openxmlformats.org/officeDocument/2006/relationships/hyperlink" Id="rId65" Target="https://doi.org/10.1093/nar/28.1.27" TargetMode="External" /><Relationship Type="http://schemas.openxmlformats.org/officeDocument/2006/relationships/hyperlink" Id="rId61" Target="https://doi.org/10.1093/nar/gkv007" TargetMode="External" /><Relationship Type="http://schemas.openxmlformats.org/officeDocument/2006/relationships/hyperlink" Id="rId63" Target="https://doi.org/10.1101/060012" TargetMode="External" /><Relationship Type="http://schemas.openxmlformats.org/officeDocument/2006/relationships/hyperlink" Id="rId47" Target="https://doi.org/10.1172/jci.insight.137708" TargetMode="External" /><Relationship Type="http://schemas.openxmlformats.org/officeDocument/2006/relationships/hyperlink" Id="rId77" Target="https://doi.org/10.1172/jci.insight.163932" TargetMode="External" /><Relationship Type="http://schemas.openxmlformats.org/officeDocument/2006/relationships/hyperlink" Id="rId79" Target="https://doi.org/10.1172/jci.insight.90349" TargetMode="External" /><Relationship Type="http://schemas.openxmlformats.org/officeDocument/2006/relationships/hyperlink" Id="rId73" Target="https://doi.org/10.1186/s13059-014-0550-8" TargetMode="External" /><Relationship Type="http://schemas.openxmlformats.org/officeDocument/2006/relationships/hyperlink" Id="rId49" Target="https://doi.org/10.2144/000112729" TargetMode="External" /><Relationship Type="http://schemas.openxmlformats.org/officeDocument/2006/relationships/hyperlink" Id="rId53" Target="https://doi.org/10.7554/eLife.82597" TargetMode="External" /><Relationship Type="http://schemas.openxmlformats.org/officeDocument/2006/relationships/hyperlink" Id="rId20" Target="mailto:woldham@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143</Words>
  <Characters>821</Characters>
  <Application>Microsoft Office Word</Application>
  <DocSecurity>0</DocSecurity>
  <Lines>6</Lines>
  <Paragraphs>1</Paragraphs>
  <ScaleCrop>false</ScaleCrop>
  <Company/>
  <LinksUpToDate>false</LinksUpToDate>
  <CharactersWithSpaces>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Material</dc:title>
  <dc:creator>David R. Ziehr1,2,3, Fei Li1,3, K. Mark Parnell4, Nathan M. Krah5,6, Kevin J. Leahy1, Christelle Guillermier1,3, Jack Varon1,3, Rebecca M. Baron1,3, Bradley A. Maron7,8, Nancy J. Philp9, Lida P. Hariri3,10, Edy Y. Kim1,3, Matthew L. Steinhauser11,12, Rachel S. Knipe2,3, Jared Rutter6,13, and William M. Oldham1,3,✉</dc:creator>
  <cp:keywords/>
  <dcterms:created xsi:type="dcterms:W3CDTF">2024-08-05T15:16:50Z</dcterms:created>
  <dcterms:modified xsi:type="dcterms:W3CDTF">2024-08-05T15:16:50Z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y-affiliation">
    <vt:lpwstr/>
  </property>
  <property fmtid="{D5CDD505-2E9C-101B-9397-08002B2CF9AE}" pid="6" name="by-author">
    <vt:lpwstr/>
  </property>
  <property fmtid="{D5CDD505-2E9C-101B-9397-08002B2CF9AE}" pid="7" name="crossref">
    <vt:lpwstr/>
  </property>
  <property fmtid="{D5CDD505-2E9C-101B-9397-08002B2CF9AE}" pid="8" name="csl">
    <vt:lpwstr>stm.csl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ubtitle">
    <vt:lpwstr>Lactate transport inhibition therapeutically reprograms fibroblast metabolism in experimental pulmonary fibrosis</vt:lpwstr>
  </property>
  <property fmtid="{D5CDD505-2E9C-101B-9397-08002B2CF9AE}" pid="14" name="toc-title">
    <vt:lpwstr>Table of contents</vt:lpwstr>
  </property>
</Properties>
</file>