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Cs/>
          <w:i/>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Cs/>
          <w:i/>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Cs/>
          <w:i/>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Cs/>
          <w:i/>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Cs/>
          <w:i/>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Cs/>
          <w:i/>
        </w:rPr>
        <w:t xml:space="preserve">in vitro</w:t>
      </w:r>
      <w:r>
        <w:t xml:space="preserve"> </w:t>
      </w:r>
      <w:r>
        <w:t xml:space="preserve">using recombinant human TGFβ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Cs/>
          <w:i/>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Cs/>
          <w:i/>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Cs/>
          <w:i/>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Cs/>
          <w:i/>
        </w:rPr>
        <w:t xml:space="preserve">(6)</w:t>
      </w:r>
      <w:r>
        <w:t xml:space="preserve">. Missing values were imputed using random forest. Sample peak areas were normalized using probabilistic quotient normalization</w:t>
      </w:r>
      <w:r>
        <w:t xml:space="preserve"> </w:t>
      </w:r>
      <w:r>
        <w:rPr>
          <w:iCs/>
          <w:i/>
        </w:rPr>
        <w:t xml:space="preserve">(7)</w:t>
      </w:r>
      <w:r>
        <w:t xml:space="preserve">. Differentially regulated metabolites were identified using limma</w:t>
      </w:r>
      <w:r>
        <w:t xml:space="preserve"> </w:t>
      </w:r>
      <w:r>
        <w:rPr>
          <w:iCs/>
          <w:i/>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Cs/>
          <w:i/>
        </w:rPr>
        <w:t xml:space="preserve">(9)</w:t>
      </w:r>
      <w:r>
        <w:t xml:space="preserve"> </w:t>
      </w:r>
      <w:r>
        <w:t xml:space="preserve">with KEGG metabolite pathways</w:t>
      </w:r>
      <w:r>
        <w:t xml:space="preserve"> </w:t>
      </w:r>
      <w:r>
        <w:rPr>
          <w:iCs/>
          <w:i/>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rPr>
          <w:iCs/>
          <w:i/>
        </w:rPr>
        <w:t xml:space="preserve">(11)</w:t>
      </w:r>
      <w:r>
        <w:t xml:space="preserve">. Raw mass isotopomer distributions were corrected for natural isotope abundance using a custom R package (mzrtools, github.com/oldhamlab/mzrtools) employing the method of Fernandez,</w:t>
      </w:r>
      <w:r>
        <w:t xml:space="preserve"> </w:t>
      </w:r>
      <w:r>
        <w:rPr>
          <w:iCs/>
          <w:i/>
        </w:rPr>
        <w:t xml:space="preserve">et al.</w:t>
      </w:r>
      <w:r>
        <w:t xml:space="preserve"> </w:t>
      </w:r>
      <w:r>
        <w:rPr>
          <w:iCs/>
          <w:i/>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Cs/>
          <w:i/>
        </w:rPr>
        <w:t xml:space="preserve">(13)</w:t>
      </w:r>
      <w:r>
        <w:t xml:space="preserve">. Differentially expressed genes were identified using DESeq2</w:t>
      </w:r>
      <w:r>
        <w:t xml:space="preserve"> </w:t>
      </w:r>
      <w:r>
        <w:rPr>
          <w:iCs/>
          <w:i/>
        </w:rPr>
        <w:t xml:space="preserve">(14)</w:t>
      </w:r>
      <w:r>
        <w:t xml:space="preserve">. Gene set enrichment was performed using the fgsea R package</w:t>
      </w:r>
      <w:r>
        <w:t xml:space="preserve"> </w:t>
      </w:r>
      <w:r>
        <w:rPr>
          <w:iCs/>
          <w:i/>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Cs/>
          <w:i/>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day 21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Cs/>
          <w:i/>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Cs/>
          <w:i/>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Cs/>
          <w:i/>
        </w:rPr>
        <w:t xml:space="preserve">JCI Insight</w:t>
      </w:r>
      <w:r>
        <w:t xml:space="preserve"> </w:t>
      </w:r>
      <w:r>
        <w:rPr>
          <w:bCs/>
          <w:b/>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Cs/>
          <w:i/>
        </w:rPr>
        <w:t xml:space="preserve">Biotechniques</w:t>
      </w:r>
      <w:r>
        <w:t xml:space="preserve"> </w:t>
      </w:r>
      <w:r>
        <w:rPr>
          <w:bCs/>
          <w:b/>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Cs/>
          <w:i/>
        </w:rPr>
        <w:t xml:space="preserve">Nat Med</w:t>
      </w:r>
      <w:r>
        <w:t xml:space="preserve"> </w:t>
      </w:r>
      <w:r>
        <w:rPr>
          <w:bCs/>
          <w:b/>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rPr>
          <w:bCs/>
          <w:b/>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Cs/>
          <w:i/>
        </w:rPr>
        <w:t xml:space="preserve">J Biol Chem</w:t>
      </w:r>
      <w:r>
        <w:t xml:space="preserve"> </w:t>
      </w:r>
      <w:r>
        <w:rPr>
          <w:bCs/>
          <w:b/>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Cs/>
          <w:i/>
        </w:rPr>
        <w:t xml:space="preserve">Metabolomics</w:t>
      </w:r>
      <w:r>
        <w:t xml:space="preserve"> </w:t>
      </w:r>
      <w:r>
        <w:rPr>
          <w:bCs/>
          <w:b/>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Cs/>
          <w:i/>
        </w:rPr>
        <w:t xml:space="preserve">Anal Chem</w:t>
      </w:r>
      <w:r>
        <w:t xml:space="preserve"> </w:t>
      </w:r>
      <w:r>
        <w:rPr>
          <w:bCs/>
          <w:b/>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Cs/>
          <w:i/>
        </w:rPr>
        <w:t xml:space="preserve">Nucleic Acids Res</w:t>
      </w:r>
      <w:r>
        <w:t xml:space="preserve"> </w:t>
      </w:r>
      <w:r>
        <w:rPr>
          <w:bCs/>
          <w:b/>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Cs/>
          <w:i/>
        </w:rPr>
        <w:t xml:space="preserve">Nucleic Acids Res</w:t>
      </w:r>
      <w:r>
        <w:t xml:space="preserve"> </w:t>
      </w:r>
      <w:r>
        <w:rPr>
          <w:bCs/>
          <w:b/>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Cs/>
          <w:i/>
        </w:rPr>
        <w:t xml:space="preserve">Nature</w:t>
      </w:r>
      <w:r>
        <w:t xml:space="preserve"> </w:t>
      </w:r>
      <w:r>
        <w:rPr>
          <w:bCs/>
          <w:b/>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Cs/>
          <w:i/>
        </w:rPr>
        <w:t xml:space="preserve">J Mass Spectrom</w:t>
      </w:r>
      <w:r>
        <w:t xml:space="preserve"> </w:t>
      </w:r>
      <w:r>
        <w:rPr>
          <w:bCs/>
          <w:b/>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Cs/>
          <w:i/>
        </w:rPr>
        <w:t xml:space="preserve">Nat Methods</w:t>
      </w:r>
      <w:r>
        <w:t xml:space="preserve"> </w:t>
      </w:r>
      <w:r>
        <w:rPr>
          <w:bCs/>
          <w:b/>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Cs/>
          <w:i/>
        </w:rPr>
        <w:t xml:space="preserve">Genome Biol</w:t>
      </w:r>
      <w:r>
        <w:t xml:space="preserve"> </w:t>
      </w:r>
      <w:r>
        <w:rPr>
          <w:bCs/>
          <w:b/>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Cs/>
          <w:i/>
        </w:rPr>
        <w:t xml:space="preserve">Cell Metab</w:t>
      </w:r>
      <w:r>
        <w:t xml:space="preserve"> </w:t>
      </w:r>
      <w:r>
        <w:rPr>
          <w:bCs/>
          <w:b/>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Cs/>
          <w:i/>
        </w:rPr>
        <w:t xml:space="preserve">JCI Insight</w:t>
      </w:r>
      <w:r>
        <w:t xml:space="preserve"> </w:t>
      </w:r>
      <w:r>
        <w:rPr>
          <w:bCs/>
          <w:b/>
        </w:rPr>
        <w:t xml:space="preserve">8</w:t>
      </w:r>
      <w:r>
        <w:t xml:space="preserve">, e163932 (2023).</w:t>
      </w:r>
    </w:p>
    <w:bookmarkEnd w:id="76"/>
    <w:bookmarkStart w:id="78" w:name="ref-guillermier2017a"/>
    <w:p>
      <w:pPr>
        <w:pStyle w:val="Bibliography"/>
      </w:pPr>
      <w:r>
        <w:t xml:space="preserve">17. C. Guillermier, J. C. Poczatek, W. R. Taylor, M. L. Steinhauser,</w:t>
      </w:r>
      <w:r>
        <w:t xml:space="preserve"> </w:t>
      </w:r>
      <w:hyperlink r:id="rId77">
        <w:r>
          <w:rPr>
            <w:rStyle w:val="Hyperlink"/>
          </w:rPr>
          <w:t xml:space="preserve">Quantitative imaging of deuterated metabolic tracers in biological tissues with nanoscale secondary ion mass spectrometry</w:t>
        </w:r>
      </w:hyperlink>
      <w:r>
        <w:t xml:space="preserve">.</w:t>
      </w:r>
      <w:r>
        <w:t xml:space="preserve"> </w:t>
      </w:r>
      <w:r>
        <w:rPr>
          <w:iCs/>
          <w:i/>
        </w:rPr>
        <w:t xml:space="preserve">Int J Mass Spectrom</w:t>
      </w:r>
      <w:r>
        <w:t xml:space="preserve"> </w:t>
      </w:r>
      <w:r>
        <w:rPr>
          <w:bCs/>
          <w:b/>
        </w:rPr>
        <w:t xml:space="preserve">422</w:t>
      </w:r>
      <w:r>
        <w:t xml:space="preserve">, 42–50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Cs/>
          <w:b/>
        </w:rPr>
        <w:t xml:space="preserve">Fig. S1.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Cell count following siRNA-mediated MCT knockdown. (</w:t>
      </w:r>
      <w:r>
        <w:rPr>
          <w:bCs/>
          <w:b/>
        </w:rPr>
        <w:t xml:space="preserve">B</w:t>
      </w:r>
      <w:r>
        <w:t xml:space="preserve">) Small molecule inhibitors of MCT1/2 (AR-C155858, AR) or MCT4 (VB124, VB) decrease TGFβ-stimulated α-SMA expression in normal human lung fibroblasts. (</w:t>
      </w:r>
      <w:r>
        <w:rPr>
          <w:bCs/>
          <w:b/>
        </w:rPr>
        <w:t xml:space="preserve">C</w:t>
      </w:r>
      <w:r>
        <w:t xml:space="preserve">-</w:t>
      </w:r>
      <w:r>
        <w:rPr>
          <w:bCs/>
          <w:b/>
        </w:rPr>
        <w:t xml:space="preserve">D</w:t>
      </w:r>
      <w:r>
        <w:t xml:space="preserve">) Cell counts following pharmacologic inhibition of lactate transporters. Summary data are mean ± SEM (* p-value-value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Cs/>
          <w:b/>
        </w:rPr>
        <w:t xml:space="preserve">Fig. S2. Lactate transporter inhibition decreases pro-fibrotic gene transcription.</w:t>
      </w:r>
      <w:r>
        <w:t xml:space="preserve"> </w:t>
      </w:r>
      <w:r>
        <w:t xml:space="preserve">(</w:t>
      </w:r>
      <w:r>
        <w:rPr>
          <w:bCs/>
          <w:b/>
        </w:rPr>
        <w:t xml:space="preserve">A</w:t>
      </w:r>
      <w:r>
        <w:t xml:space="preserve">-</w:t>
      </w:r>
      <w:r>
        <w:rPr>
          <w:bCs/>
          <w:b/>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Cs/>
          <w:b/>
        </w:rPr>
        <w:t xml:space="preserve">Fig. S3. Lactate transport inhibition alters cellular bioenergetics.</w:t>
      </w:r>
      <w:r>
        <w:t xml:space="preserve"> </w:t>
      </w:r>
      <w:r>
        <w:t xml:space="preserve">(</w:t>
      </w:r>
      <w:r>
        <w:rPr>
          <w:bCs/>
          <w:b/>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w:t>
      </w:r>
      <w:r>
        <w:t xml:space="preserve"> </w:t>
      </w:r>
      <w:r>
        <w:rPr>
          <w:iCs/>
          <w:i/>
        </w:rPr>
        <w:t xml:space="preserve">colored</w:t>
      </w:r>
      <w:r>
        <w:t xml:space="preserve"> </w:t>
      </w:r>
      <w:r>
        <w:t xml:space="preserve">compares Drug</w:t>
      </w:r>
      <w:r>
        <w:t xml:space="preserve"> </w:t>
      </w:r>
      <w:r>
        <w:rPr>
          <w:iCs/>
          <w:i/>
        </w:rPr>
        <w:t xml:space="preserve">v.</w:t>
      </w:r>
      <w:r>
        <w:t xml:space="preserve"> </w:t>
      </w:r>
      <w:r>
        <w:t xml:space="preserve">Veh). (</w:t>
      </w:r>
      <w:r>
        <w:rPr>
          <w:bCs/>
          <w:b/>
        </w:rPr>
        <w:t xml:space="preserve">B</w:t>
      </w:r>
      <w:r>
        <w:t xml:space="preserve">) Extracellular glucose was determined 48 h following TGFβ in the presence of MCT1 inhibitor AZD3965 (AZD), VB, or both (N = 5 biological replicates). (</w:t>
      </w:r>
      <w:r>
        <w:rPr>
          <w:bCs/>
          <w:b/>
        </w:rPr>
        <w:t xml:space="preserve">C</w:t>
      </w:r>
      <w:r>
        <w:t xml:space="preserve">) Summary data from Seahorse extracellular flux analysis. (</w:t>
      </w:r>
      <w:r>
        <w:rPr>
          <w:bCs/>
          <w:b/>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Cs/>
          <w:i/>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Cs/>
          <w:b/>
        </w:rPr>
        <w:t xml:space="preserve">Fig. S4. Metabolomic profiling of lung fibroblasts treated with lactate transport inhibitors.</w:t>
      </w:r>
      <w:r>
        <w:t xml:space="preserve"> </w:t>
      </w:r>
      <w:r>
        <w:t xml:space="preserve">(</w:t>
      </w:r>
      <w:r>
        <w:rPr>
          <w:bCs/>
          <w:b/>
        </w:rPr>
        <w:t xml:space="preserve">A</w:t>
      </w:r>
      <w:r>
        <w:t xml:space="preserve">-</w:t>
      </w:r>
      <w:r>
        <w:rPr>
          <w:bCs/>
          <w:b/>
        </w:rPr>
        <w:t xml:space="preserve">D</w:t>
      </w:r>
      <w:r>
        <w:t xml:space="preserve">) Extracellular (A-B) and intracellular (C-D) metabolomic profile and metabolite set enrichment analyses of lung fibroblasts treated with TGFβ. (</w:t>
      </w:r>
      <w:r>
        <w:rPr>
          <w:bCs/>
          <w:b/>
        </w:rPr>
        <w:t xml:space="preserve">E-H</w:t>
      </w:r>
      <w:r>
        <w:t xml:space="preserve">) Extracellular (E-F) and intracellular (G-H) metabolomic profile and metabolite set enrichment analysis of AZD3965 treatment. (</w:t>
      </w:r>
      <w:r>
        <w:rPr>
          <w:bCs/>
          <w:b/>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w:t>
      </w:r>
      <w:r>
        <w:rPr>
          <w:bCs/>
          <w:b/>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 Summary data are mean ± SEM.</w:t>
      </w:r>
    </w:p>
    <w:p>
      <w:r>
        <w:br w:type="page"/>
      </w:r>
    </w:p>
    <w:p>
      <w:pPr>
        <w:pStyle w:val="CaptionedFigure"/>
      </w:pPr>
      <w:r>
        <w:drawing>
          <wp:inline>
            <wp:extent cx="5731055" cy="8997206"/>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8997206"/>
                    </a:xfrm>
                    <a:prstGeom prst="rect">
                      <a:avLst/>
                    </a:prstGeom>
                    <a:noFill/>
                    <a:ln w="9525">
                      <a:noFill/>
                      <a:headEnd/>
                      <a:tailEnd/>
                    </a:ln>
                  </pic:spPr>
                </pic:pic>
              </a:graphicData>
            </a:graphic>
          </wp:inline>
        </w:drawing>
      </w:r>
    </w:p>
    <w:p>
      <w:pPr>
        <w:pStyle w:val="ImageCaption"/>
      </w:pPr>
      <w:r>
        <w:rPr>
          <w:bCs/>
          <w:b/>
        </w:rPr>
        <w:t xml:space="preserve">Fig. S5. Stable isotope tracing in lung fibroblasts treated with TGFβ.</w:t>
      </w:r>
      <w:r>
        <w:t xml:space="preserve"> </w:t>
      </w:r>
      <w:r>
        <w:t xml:space="preserve">Lung fibroblasts were cultured with stable isotopes of glucose, lactate, and glutamine during treatment with TGFβ (</w:t>
      </w:r>
      <w:r>
        <w:rPr>
          <w:iCs/>
          <w:i/>
        </w:rPr>
        <w:t xml:space="preserve">columns</w:t>
      </w:r>
      <w:r>
        <w:t xml:space="preserve">). Mass isotope distributions were determined by LC-MS for key metabolites in central carbon metabolic pathways (</w:t>
      </w:r>
      <w:r>
        <w:rPr>
          <w:iCs/>
          <w:i/>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Cs/>
          <w:b/>
        </w:rPr>
        <w:t xml:space="preserve">Fig. S6. Lactate transport inhibition activates antioxidant defenses.</w:t>
      </w:r>
      <w:r>
        <w:t xml:space="preserve"> </w:t>
      </w:r>
      <w:r>
        <w:t xml:space="preserve">(</w:t>
      </w:r>
      <w:r>
        <w:rPr>
          <w:bCs/>
          <w:b/>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 (</w:t>
      </w:r>
      <w:r>
        <w:rPr>
          <w:bCs/>
          <w:b/>
        </w:rPr>
        <w:t xml:space="preserve">B</w:t>
      </w:r>
      <w:r>
        <w:t xml:space="preserve">) MitoTracker fluorescence was measured as a marker of mitochondrial mass (N = 3 biological replicates; * adjusted p-value &lt; 0.05 compared to TGFβ-treated cells). (</w:t>
      </w:r>
      <w:r>
        <w:rPr>
          <w:bCs/>
          <w:b/>
        </w:rPr>
        <w:t xml:space="preserve">C</w:t>
      </w:r>
      <w:r>
        <w:t xml:space="preserve">) Proline peak areas determined by LC-MS (N = 5 biological replicates, * adjusted p-value &lt; 0.05 for the main treatment effect). (</w:t>
      </w:r>
      <w:r>
        <w:rPr>
          <w:bCs/>
          <w:b/>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Cs/>
          <w:b/>
        </w:rPr>
        <w:t xml:space="preserve">Fig. S7. Mechanisms of lactate signaling.</w:t>
      </w:r>
      <w:r>
        <w:t xml:space="preserve"> </w:t>
      </w:r>
      <w:r>
        <w:t xml:space="preserve">(</w:t>
      </w:r>
      <w:r>
        <w:rPr>
          <w:bCs/>
          <w:b/>
        </w:rPr>
        <w:t xml:space="preserve">A</w:t>
      </w:r>
      <w:r>
        <w:t xml:space="preserve">) Exogenous lactate (10 mM) does not ameliorate TGFβ-stimulated α-SMA expression. (</w:t>
      </w:r>
      <w:r>
        <w:rPr>
          <w:bCs/>
          <w:b/>
        </w:rPr>
        <w:t xml:space="preserve">B</w:t>
      </w:r>
      <w:r>
        <w:t xml:space="preserve">) Lactate transport inhibition does not attenuate HIF-1α stabilization 6 h after TGFβ treatment. Summary data are mean ± SEM.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w:t>
      </w:r>
    </w:p>
    <w:p>
      <w:r>
        <w:br w:type="page"/>
      </w:r>
    </w:p>
    <w:p>
      <w:pPr>
        <w:pStyle w:val="CaptionedFigure"/>
      </w:pPr>
      <w:r>
        <w:drawing>
          <wp:inline>
            <wp:extent cx="4630105" cy="1758461"/>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30105" cy="1758461"/>
                    </a:xfrm>
                    <a:prstGeom prst="rect">
                      <a:avLst/>
                    </a:prstGeom>
                    <a:noFill/>
                    <a:ln w="9525">
                      <a:noFill/>
                      <a:headEnd/>
                      <a:tailEnd/>
                    </a:ln>
                  </pic:spPr>
                </pic:pic>
              </a:graphicData>
            </a:graphic>
          </wp:inline>
        </w:drawing>
      </w:r>
    </w:p>
    <w:p>
      <w:pPr>
        <w:pStyle w:val="ImageCaption"/>
      </w:pPr>
      <w:r>
        <w:rPr>
          <w:bCs/>
          <w:b/>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Cs/>
          <w:b/>
        </w:rPr>
        <w:t xml:space="preserve">Fig. S9. Metabolic reprogramming by lactate transport inhibition</w:t>
      </w:r>
      <w:r>
        <w:rPr>
          <w:bCs/>
          <w:b/>
        </w:rPr>
        <w:t xml:space="preserve"> </w:t>
      </w:r>
      <w:r>
        <w:rPr>
          <w:iCs/>
          <w:i/>
          <w:bCs/>
          <w:b/>
        </w:rPr>
        <w:t xml:space="preserve">in vivo</w:t>
      </w:r>
      <w:r>
        <w:rPr>
          <w:bCs/>
          <w:b/>
        </w:rPr>
        <w:t xml:space="preserve">.</w:t>
      </w:r>
      <w:r>
        <w:t xml:space="preserve"> </w:t>
      </w:r>
      <w:r>
        <w:t xml:space="preserve">(</w:t>
      </w:r>
      <w:r>
        <w:rPr>
          <w:bCs/>
          <w:b/>
        </w:rPr>
        <w:t xml:space="preserve">A</w:t>
      </w:r>
      <w:r>
        <w:t xml:space="preserve">-</w:t>
      </w:r>
      <w:r>
        <w:rPr>
          <w:bCs/>
          <w:b/>
        </w:rPr>
        <w:t xml:space="preserve">D</w:t>
      </w:r>
      <w:r>
        <w:t xml:space="preserve">) Plasma (A-B) and lung (C-D) metabolomic profile and metabolite set enrichment analyses in bleomycin-treated mice. (</w:t>
      </w:r>
      <w:r>
        <w:rPr>
          <w:bCs/>
          <w:b/>
        </w:rPr>
        <w:t xml:space="preserve">E</w:t>
      </w:r>
      <w:r>
        <w:t xml:space="preserve">-</w:t>
      </w:r>
      <w:r>
        <w:rPr>
          <w:bCs/>
          <w:b/>
        </w:rPr>
        <w:t xml:space="preserve">H</w:t>
      </w:r>
      <w:r>
        <w:t xml:space="preserve">) Plasma (E-F) and lung (G-H) metabolomic profile and metabolite set enrichment analysis of AZD3965 treatment in bleomycin-treated mice. (</w:t>
      </w:r>
      <w:r>
        <w:rPr>
          <w:bCs/>
          <w:b/>
        </w:rPr>
        <w:t xml:space="preserve">I</w:t>
      </w:r>
      <w:r>
        <w:t xml:space="preserve">-</w:t>
      </w:r>
      <w:r>
        <w:rPr>
          <w:bCs/>
          <w:b/>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61846" cy="1862440"/>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61846" cy="1862440"/>
                    </a:xfrm>
                    <a:prstGeom prst="rect">
                      <a:avLst/>
                    </a:prstGeom>
                    <a:noFill/>
                    <a:ln w="9525">
                      <a:noFill/>
                      <a:headEnd/>
                      <a:tailEnd/>
                    </a:ln>
                  </pic:spPr>
                </pic:pic>
              </a:graphicData>
            </a:graphic>
          </wp:inline>
        </w:drawing>
      </w:r>
    </w:p>
    <w:p>
      <w:pPr>
        <w:pStyle w:val="ImageCaption"/>
      </w:pPr>
      <w:r>
        <w:rPr>
          <w:bCs/>
          <w:b/>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6"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2024-04-25T12:33:24Z</dcterms:created>
  <dcterms:modified xsi:type="dcterms:W3CDTF">2024-04-25T12:33:24Z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