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F4AF8" w14:textId="5789E7D3" w:rsidR="00686BF4" w:rsidRPr="00E1251B" w:rsidRDefault="00686BF4" w:rsidP="00686BF4">
      <w:pPr>
        <w:shd w:val="clear" w:color="auto" w:fill="FFFFFF"/>
        <w:spacing w:after="18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E125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Текст выступления</w:t>
      </w:r>
    </w:p>
    <w:p w14:paraId="4FEA0D33" w14:textId="77777777" w:rsidR="0044612C" w:rsidRDefault="0044612C" w:rsidP="0044612C">
      <w:pPr>
        <w:shd w:val="clear" w:color="auto" w:fill="FFFFFF"/>
        <w:spacing w:after="180" w:line="240" w:lineRule="auto"/>
        <w:jc w:val="both"/>
        <w:outlineLvl w:val="1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Слайд 1.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Долгое время научному сообществу было известно 3 аллотропные модификации углерода – сажа графит, алмаз. Во второй половине 20 века существенно расширился список углеродных структур. Так в 80-ых открыли фуллерены,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91-ом были получены и изучены УНТ, а в 2000-е годы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был открыт двумерный объект, известный ныне как графен. Все вышеперечисленные структуры обладают поразительными физико-химическими свойствами: электропроводность, теплопроводность и т.д. Ко всему прочему графен, как и многие другие двумерные материалы, можно комбинировать друг с другом, улучшая свойства. </w:t>
      </w:r>
    </w:p>
    <w:p w14:paraId="61095051" w14:textId="29D7D1FC" w:rsidR="0044612C" w:rsidRDefault="0044612C" w:rsidP="0044612C">
      <w:pPr>
        <w:shd w:val="clear" w:color="auto" w:fill="FFFFFF"/>
        <w:spacing w:after="180" w:line="24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данном слайде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справа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 созданный в университете Райса так называемый арматурный графен. В этой гибридной наноструктуре УНТ действуют как «арматура» для улучшения механической прочности и электропроводности листов графена. Полученный «арматурный графен» обладает высокой прозрачностью порядка 96% в видимом диапазоне спектра частот, а также прочностью, в десятки раз превосходящей прочность обычного графена.</w:t>
      </w:r>
    </w:p>
    <w:p w14:paraId="3D5B17C1" w14:textId="77777777" w:rsidR="0044612C" w:rsidRDefault="0044612C" w:rsidP="0044612C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Слайд 2.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данном слайде представлена гибридная пленка, образованная листом графена и горизонтально расположенными на нем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одностенными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УНТ, на основе которой группой ученых из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Нанкинского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университета был разработан прототип гибкого фотоприемника, в качестве светочувствительного слоя которого используется гибридная пленка.   Полученный прототип обладает высокой светочувствительностью и устойчивостью к многократным изгибам, что крайне востребовано при разработке фотодатчиков и гибких солнечных элементов. </w:t>
      </w:r>
    </w:p>
    <w:p w14:paraId="0ACF66F3" w14:textId="2836CB73" w:rsidR="00913B32" w:rsidRDefault="0044612C" w:rsidP="00E6389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Суммируя все выше сказанное, можно с уверенностью сказать, что поиск и исследование новых сочетаний различных аллотропных модификаций углерода представляют собой актуальную задачу ввиду потенциальной возможности широкого применения новых композитных материалов.</w:t>
      </w:r>
    </w:p>
    <w:p w14:paraId="5927C914" w14:textId="76C8E68D" w:rsidR="00700E74" w:rsidRPr="00E63891" w:rsidRDefault="00700E74" w:rsidP="00E63891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00E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Слайды 6-8.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данной работы использовался метод </w:t>
      </w:r>
      <w:proofErr w:type="spellStart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>молеклярной</w:t>
      </w:r>
      <w:proofErr w:type="spellEnd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динамики с потенциалом </w:t>
      </w:r>
      <w:proofErr w:type="spellStart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>airebo</w:t>
      </w:r>
      <w:proofErr w:type="spellEnd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вычисления энергии </w:t>
      </w:r>
      <w:proofErr w:type="spellStart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>компазита</w:t>
      </w:r>
      <w:proofErr w:type="spellEnd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также квантовый метод </w:t>
      </w:r>
      <w:proofErr w:type="spellStart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>dftb</w:t>
      </w:r>
      <w:proofErr w:type="spellEnd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уточнения значения энергии и расчета зонной структуры </w:t>
      </w:r>
      <w:proofErr w:type="spellStart"/>
      <w:r w:rsidRPr="00700E74">
        <w:rPr>
          <w:rFonts w:ascii="Times New Roman" w:hAnsi="Times New Roman" w:cs="Times New Roman"/>
          <w:color w:val="000000" w:themeColor="text1"/>
          <w:sz w:val="24"/>
          <w:szCs w:val="24"/>
        </w:rPr>
        <w:t>компазита</w:t>
      </w:r>
      <w:proofErr w:type="spellEnd"/>
    </w:p>
    <w:p w14:paraId="2CBB9C94" w14:textId="36FF39D4" w:rsidR="00E1251B" w:rsidRDefault="00913B32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</w:t>
      </w:r>
      <w:r w:rsidR="00E1251B" w:rsidRP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00E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 w:rsidR="00E1251B" w:rsidRP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E1251B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В качестве объекта исследования были рассмотрены 2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-композитные структуры, образованные листом графена и </w:t>
      </w:r>
      <w:proofErr w:type="spellStart"/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одностенными</w:t>
      </w:r>
      <w:proofErr w:type="spellEnd"/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нанотрубками типа 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armchair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расположенными на листе графена в ряд на одинаковом расстоянии друг от друга. Рассматривались нанотрубки диаметром 0,9 </w:t>
      </w:r>
      <w:proofErr w:type="spellStart"/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нм</w:t>
      </w:r>
      <w:proofErr w:type="spellEnd"/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÷ 1,6 </w:t>
      </w:r>
      <w:proofErr w:type="spellStart"/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нм</w:t>
      </w:r>
      <w:proofErr w:type="spellEnd"/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отвечающие наиболее часто синтезируемых </w:t>
      </w:r>
      <w:proofErr w:type="spellStart"/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одностенным</w:t>
      </w:r>
      <w:proofErr w:type="spellEnd"/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нанотрубкам на практике. Тип 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armchair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 выбран из-за хороших электропроводящих свойств этих нанотрубок. Трубки располагались на расстоянии 10-16 гексагонов друг от друга на листе графене.  </w:t>
      </w:r>
    </w:p>
    <w:p w14:paraId="76A1683E" w14:textId="11790F71" w:rsidR="009C2476" w:rsidRPr="00E1251B" w:rsidRDefault="00913B32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</w:t>
      </w:r>
      <w:r w:rsidR="00E1251B" w:rsidRP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00E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="00E1251B" w:rsidRP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построения атомистических моделей супер-ячеек исследуемых композитов использовался «метод лупы», предложенный научной группой профессора Глуховой О.Е. В рамках этого метода построение </w:t>
      </w:r>
      <w:r w:rsidR="009C247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моделей 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проводится в несколько этапов. </w:t>
      </w:r>
    </w:p>
    <w:p w14:paraId="035817FB" w14:textId="57C99621" w:rsidR="00913B32" w:rsidRPr="00E1251B" w:rsidRDefault="009C2476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На первом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тап</w:t>
      </w:r>
      <w:r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AE233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построения </w:t>
      </w:r>
      <w:r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строился протяженный большой фрагмент атомной сетки композита, содержащий пять нанотрубок, расположенных на </w:t>
      </w:r>
      <w:proofErr w:type="spellStart"/>
      <w:r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графеновом</w:t>
      </w:r>
      <w:proofErr w:type="spellEnd"/>
      <w:r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листе. Чтобы исключить влияние краевых эффектов, краевые атомы нанотрубок и графена насыщались атомами водорода. Общее число атомов в структуре было более двух тысяч. Построенная атомная структура оптимизировалась методом молекулярной динамики с использованием потенциала AIREBO для описания взаимодействия между атомами углерода и водорода. Расчет происходил в программе </w:t>
      </w:r>
      <w:proofErr w:type="spellStart"/>
      <w:r w:rsidRPr="00E125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Kvazar</w:t>
      </w:r>
      <w:proofErr w:type="spellEnd"/>
      <w:r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разработанной на кафедре радиотехники и электродинамики. На основании оптимизированного большого фрагмента композита </w:t>
      </w:r>
      <w:r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строится расширенная супер-ячейка, содержащая части внутренних трех трубок. Построенная расширенная ячейка композита повторно оптимизируется потенциалом AIREBO для уточнения координат атомов.  На рисунке видно, что в ходе оптимизации графен стал криволинейным, а трубки немного деформировались.</w:t>
      </w:r>
    </w:p>
    <w:p w14:paraId="42C3D96B" w14:textId="22C2A99D" w:rsidR="00913B32" w:rsidRPr="00E1251B" w:rsidRDefault="00913B32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 1</w:t>
      </w:r>
      <w:r w:rsidR="00957A6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E1251B" w:rsidRP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E125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C247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На втором этапе из оптимизированно</w:t>
      </w:r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й</w:t>
      </w:r>
      <w:r w:rsidR="009C247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расширенной ячейки композита вырезается новая ячейка, которая содержит три нанотрубки шириной в один гексагон. Эта ячейка оптимизируется квантовым методом DFTB с помощью программы </w:t>
      </w:r>
      <w:r w:rsidR="009C2476" w:rsidRPr="00E125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Mizar</w:t>
      </w:r>
      <w:r w:rsidR="009C247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разработанной на кафедре радиотехники и электродинамики. В ходе оптимизации изменялись как координаты атомов </w:t>
      </w:r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композитной ячейки, так длины вектором трансляции </w:t>
      </w:r>
      <w:proofErr w:type="spellStart"/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Lx</w:t>
      </w:r>
      <w:proofErr w:type="spellEnd"/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9C247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C247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Ly</w:t>
      </w:r>
      <w:proofErr w:type="spellEnd"/>
      <w:r w:rsidR="009C2476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Цель оптимизации – поиск энергетически выгодной конфигурации структуры. </w:t>
      </w:r>
    </w:p>
    <w:p w14:paraId="3F7C5578" w14:textId="52F61514" w:rsidR="00A200A8" w:rsidRPr="00E1251B" w:rsidRDefault="00913B32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491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 1</w:t>
      </w:r>
      <w:r w:rsidR="00A32AA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0E491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0E4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третьем этапе из оптимизированной на предыдущем шаге ячейки вырезается серединная часть, которая и является элементарной ячейкой 2D-композита графен-ОУНТ. Эта ячейка снова оптимизируется методом DFTB с помощью программы </w:t>
      </w:r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Mizar</w:t>
      </w:r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. Описанный алгоритм применялся для построения каждой супер-ячейки.</w:t>
      </w:r>
    </w:p>
    <w:p w14:paraId="5AA6A8CB" w14:textId="5943711E" w:rsidR="00B80460" w:rsidRPr="00E1251B" w:rsidRDefault="00913B32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B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 1</w:t>
      </w:r>
      <w:r w:rsidR="00C2780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456B9A" w:rsidRPr="005D17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456B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происходило изучение энергетической стабильности построенных супер-ячеек </w:t>
      </w:r>
      <w:r w:rsidR="00B80460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>по изменению</w:t>
      </w:r>
      <w:r w:rsidR="00A200A8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суммарной энергии исследуемой композитной структуры E в соответствии с формулой, приведенной на слайде. Структура графен-ОУНТ конфигурировалась таким образом, чтобы суммарная энергия композита по абсолютной величине была меньше, чем для отдельных графена и нанотрубки. </w:t>
      </w:r>
    </w:p>
    <w:p w14:paraId="3C1E6814" w14:textId="5930F3B9" w:rsidR="00827D4D" w:rsidRDefault="00827D4D" w:rsidP="00827D4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Слайды 1</w:t>
      </w:r>
      <w:r w:rsidR="0024332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Результаты численной оценки энергетической стабильности исследуемых структур, а также их метрические характеристики приведены в таблицах на следующих слайдах. На данном слайде показаны характеристики для композитов с ОУНТ (12,0). В таблице также представлены значения энергетической щели – интервала энергий между валентной зоной и зоной проводимости, которая определялась по результатам расчета зонной структуры. Из табличных данных видно, что построенные супер-ячейки композита графен-ОУНТ являются энергетически устойчивыми, поскольку изменение энергии принимает отрицательные значения. Так видно, что величина энергетической щели почти нулевая, следовательно, исследуемые композиты являются проводниками. </w:t>
      </w:r>
      <w:r w:rsidR="000D75C0" w:rsidRPr="000D75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(МОЖНО ЛИСТАТЬ СЛАЙДЫ)</w:t>
      </w:r>
      <w:r w:rsidR="000D75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Аналогичные результаты были получены и</w:t>
      </w:r>
      <w:r w:rsidR="00A75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других типов трубок в составе композита. Из приведенных данных следует, что независимо от того, входит ли в их состав трубка с металлической проводимостью (12,0) и (18,0) или полупроводниковой (14,0) и (16,0), композит графен-ОУНТ обладает металлическим типом проводимости. </w:t>
      </w:r>
    </w:p>
    <w:p w14:paraId="1508D4C8" w14:textId="77777777" w:rsidR="00E63891" w:rsidRDefault="00360671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7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7</w:t>
      </w:r>
      <w:r w:rsidRPr="005D17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объяснения особенностей электронного строения композитов графен/ОУНТ по результатам расчета зонной структуры были построены распределения плотности электронных состояний (DOS – </w:t>
      </w:r>
      <w:proofErr w:type="spellStart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>density</w:t>
      </w:r>
      <w:proofErr w:type="spellEnd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>states</w:t>
      </w:r>
      <w:proofErr w:type="spellEnd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Pr="00360671">
        <w:t xml:space="preserve"> </w:t>
      </w: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примере композита с ОУНТ (12,0) и расстоянием 10 гексагонов между нанотрубками рассмотрим, как строится профиль DOS композитных структур графен/ОУНТ. На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данном слайде</w:t>
      </w: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показаны распределения DOS композита графен/ОУНТ (12,0) и распределения DOS отдельно для фрагмента графена и для ОУНТ (12,0), входящих в его состав. Вертикальной линией сиреневого цвета отмечен уровень энергии Ферми – последний заполненный уровень в зонном спектре. Как видно из рис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унка</w:t>
      </w: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на котором представлен полный профиль DOS композита и отдельных его составляющих, сильно изрезанный профиль DOS композита обусловлен вкладом входящих в него нанотрубок, профиль DOS которых полностью совпадает с профилем композита. Для объяснения нулевой энергетической щели композита рассмотрим более детально фрагмент распределений DOS композита и его составляющих вблизи энергии Ферми. Из рисунка видно, что в окрестности энергии Ферми DOS композита обращается в нуль только в одной точке, также как и DOS фрагмента графена. Следовательно, </w:t>
      </w:r>
      <w:proofErr w:type="spellStart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>бесщелевой</w:t>
      </w:r>
      <w:proofErr w:type="spellEnd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характер зонной структуры исследуемого </w:t>
      </w: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композита графен/ОУНТ обусловлен вкладом графена, являющегося </w:t>
      </w:r>
      <w:proofErr w:type="spellStart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>бесщелевым</w:t>
      </w:r>
      <w:proofErr w:type="spellEnd"/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проводником.  </w:t>
      </w:r>
    </w:p>
    <w:p w14:paraId="7FF1F1E9" w14:textId="05291B4C" w:rsidR="00360671" w:rsidRDefault="00360671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43F44325" w14:textId="271FC99D" w:rsidR="00360671" w:rsidRDefault="00360671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7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Слайд 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5D17D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>Отсутствие зависимости величины энергетической щели композита графен/ОУНТ от диаметра нанотрубок и расстояния между ними иллюстрируется на графиках DOS, для каждого типа рассматриваемых нанотрубок.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>Для более наглядной интерпретации закономерностей электронного строения композитов был выбран фрагмент распределения DOS вблизи энергии Ферми.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данном слайде приведены графики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Pr="00360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композитов с ОУНТ разного типа проводимости –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полупроводникая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(14,0) и металлическая (12,0)</w:t>
      </w:r>
    </w:p>
    <w:p w14:paraId="1F77506F" w14:textId="007BC1D9" w:rsidR="00182DB9" w:rsidRPr="00E1251B" w:rsidRDefault="00360671" w:rsidP="00E1251B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6067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Слайды 19-20.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82DB9" w:rsidRPr="00E1251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Основные выводы по проделанной работе приведены на слайде. </w:t>
      </w:r>
    </w:p>
    <w:p w14:paraId="3C7A4AA3" w14:textId="4566980D" w:rsidR="00A200A8" w:rsidRPr="00A200A8" w:rsidRDefault="00A200A8" w:rsidP="00A200A8">
      <w:pPr>
        <w:jc w:val="both"/>
        <w:rPr>
          <w:rFonts w:ascii="Times New Roman" w:hAnsi="Times New Roman" w:cs="Times New Roman"/>
          <w:sz w:val="24"/>
          <w:szCs w:val="24"/>
        </w:rPr>
      </w:pPr>
      <w:r w:rsidRPr="00A200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6137F" w14:textId="1FB581BE" w:rsidR="00A200A8" w:rsidRDefault="00A200A8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F0E73" w14:textId="3B19FCA3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FDCF28" w14:textId="1A01187C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516B4" w14:textId="3F14C012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1953B9" w14:textId="58ADAA3C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8AB52" w14:textId="5F81355D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E9230C" w14:textId="5CF283A3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B0DCDA" w14:textId="421592D4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E9D9D" w14:textId="55E17EA1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3C439" w14:textId="5F4BA176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7E1523" w14:textId="46FDE7C9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1DE77" w14:textId="63B049E7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10187A" w14:textId="6D88004C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8046BE" w14:textId="7526A67C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CDDD7A" w14:textId="02B68A09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A2049" w14:textId="5E156005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185F1" w14:textId="3C4C5E7F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D1EFFF" w14:textId="08F0FCE1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20527" w14:textId="542C7299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531B8" w14:textId="3BC14D64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C2BE3D" w14:textId="2708D386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7795A" w14:textId="6BE7289E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FE08E" w14:textId="72C66FAA" w:rsidR="00723B2B" w:rsidRDefault="00723B2B" w:rsidP="00AE23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105E1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lastRenderedPageBreak/>
        <w:t xml:space="preserve">1. Что такое без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ед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- без размерные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еденицы</w:t>
      </w:r>
      <w:proofErr w:type="spellEnd"/>
    </w:p>
    <w:p w14:paraId="611B4368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2. Что такое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дос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- расшифровка смысл</w:t>
      </w:r>
    </w:p>
    <w:p w14:paraId="6DF5CF3C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>3. Что такое торс</w:t>
      </w:r>
    </w:p>
    <w:p w14:paraId="0A1C2491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4. Что такое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аеробо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редо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- дать расшифровку</w:t>
      </w:r>
    </w:p>
    <w:p w14:paraId="74B37436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5. Почему не зонной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струкурры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, не информативно, т.к целые зоны.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дос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- более информативнее. как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кристалическая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транслуруем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структуру</w:t>
      </w:r>
    </w:p>
    <w:p w14:paraId="237E3BE6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6. Метод тысячной доли -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dftf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сточность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до тысячной,</w:t>
      </w:r>
    </w:p>
    <w:p w14:paraId="3CCC98D5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7. Метод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хф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от начал, не позволит произвести расчет т.к. структура большая. главная причина время</w:t>
      </w:r>
    </w:p>
    <w:p w14:paraId="100FF8A7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>8. Уравнение кона-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шема</w:t>
      </w:r>
      <w:proofErr w:type="spellEnd"/>
    </w:p>
    <w:p w14:paraId="4FC2C6E7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9. Учитывается ли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темпиратура.путем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задания распределение скоростей. да она сидит в молекул динамики, T = 300K, алгоритм термостат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Нозе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>-Гувера</w:t>
      </w:r>
    </w:p>
    <w:p w14:paraId="7E557A82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Темпиратура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учитывается в гамильтониане в DFTB</w:t>
      </w:r>
    </w:p>
    <w:p w14:paraId="3049D154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11. приближение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регуляррных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ячеек, проще рассчитывать. не зависит от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рассояния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между трубками</w:t>
      </w:r>
    </w:p>
    <w:p w14:paraId="1AF03FFC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прилжение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что графен без примесей.</w:t>
      </w:r>
    </w:p>
    <w:p w14:paraId="038CE330" w14:textId="7F5CDD2E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13. наблюдается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очищеный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графен в реальной жизни</w:t>
      </w:r>
    </w:p>
    <w:p w14:paraId="1DCB6B0D" w14:textId="77777777" w:rsid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В данной работы использовался метод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молеклярной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динамики с потенциалом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airebo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для вычисления энергии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компазита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, а также квантовый метод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dftb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для уточнения значения энергии и расчета зонной структуры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компазита</w:t>
      </w:r>
      <w:proofErr w:type="spellEnd"/>
    </w:p>
    <w:p w14:paraId="595D61E8" w14:textId="7A8A116D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энегритические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уровни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отсчитыватся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от 0 - уровень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вкууума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. 0 - покидает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кристалическую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решетку и становится свободным электроном. </w:t>
      </w:r>
    </w:p>
    <w:p w14:paraId="6E81D7BF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почему уровень Ферми, индикатор, отмечает границу, когда последний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заполнекный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уровенб</w:t>
      </w:r>
      <w:proofErr w:type="spellEnd"/>
    </w:p>
    <w:p w14:paraId="063EABC2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>+ добавить пояснения для англоязычных сокращений</w:t>
      </w:r>
    </w:p>
    <w:p w14:paraId="2D4FDE36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>1 [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эл.В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>] - 1 [Дж]</w:t>
      </w:r>
    </w:p>
    <w:p w14:paraId="6C0C81F3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- электронные характеристики -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дос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энергит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>. щель</w:t>
      </w:r>
    </w:p>
    <w:p w14:paraId="36E23A4B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- оптимизация - проводится путем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минимизщации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 полной энергии структуры композита по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коорд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. атомов структуры. поиск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равновестного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состояния композита</w:t>
      </w:r>
    </w:p>
    <w:p w14:paraId="1FE32232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- решение минимаксной задачи -&gt; как именно производится оптимизация. </w:t>
      </w:r>
    </w:p>
    <w:p w14:paraId="67A38E8F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ван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>-дер-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ваальсовы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у меня, </w:t>
      </w:r>
    </w:p>
    <w:p w14:paraId="08A0FF36" w14:textId="77777777" w:rsidR="00723B2B" w:rsidRPr="00723B2B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 xml:space="preserve">Целевая функция &lt;=&gt; полная энергия и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ваоьироваемы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 - параметры координаты, длины векторов трансляции ячейки.</w:t>
      </w:r>
    </w:p>
    <w:p w14:paraId="41B6CE6C" w14:textId="196B0A4C" w:rsidR="00723B2B" w:rsidRPr="00A200A8" w:rsidRDefault="00723B2B" w:rsidP="00723B2B">
      <w:pPr>
        <w:jc w:val="both"/>
        <w:rPr>
          <w:rFonts w:ascii="Times New Roman" w:hAnsi="Times New Roman" w:cs="Times New Roman"/>
          <w:sz w:val="24"/>
          <w:szCs w:val="24"/>
        </w:rPr>
      </w:pPr>
      <w:r w:rsidRPr="00723B2B">
        <w:rPr>
          <w:rFonts w:ascii="Times New Roman" w:hAnsi="Times New Roman" w:cs="Times New Roman"/>
          <w:sz w:val="24"/>
          <w:szCs w:val="24"/>
        </w:rPr>
        <w:t>- обменно-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кор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 xml:space="preserve">- что такое </w:t>
      </w:r>
      <w:proofErr w:type="spellStart"/>
      <w:r w:rsidRPr="00723B2B">
        <w:rPr>
          <w:rFonts w:ascii="Times New Roman" w:hAnsi="Times New Roman" w:cs="Times New Roman"/>
          <w:sz w:val="24"/>
          <w:szCs w:val="24"/>
        </w:rPr>
        <w:t>пэт</w:t>
      </w:r>
      <w:proofErr w:type="spellEnd"/>
      <w:r w:rsidRPr="00723B2B">
        <w:rPr>
          <w:rFonts w:ascii="Times New Roman" w:hAnsi="Times New Roman" w:cs="Times New Roman"/>
          <w:sz w:val="24"/>
          <w:szCs w:val="24"/>
        </w:rPr>
        <w:t>- подложка</w:t>
      </w:r>
    </w:p>
    <w:sectPr w:rsidR="00723B2B" w:rsidRPr="00A200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96F2A"/>
    <w:multiLevelType w:val="hybridMultilevel"/>
    <w:tmpl w:val="F58453E8"/>
    <w:lvl w:ilvl="0" w:tplc="836E8BFC">
      <w:start w:val="1"/>
      <w:numFmt w:val="bullet"/>
      <w:lvlText w:val="•"/>
      <w:lvlJc w:val="left"/>
      <w:pPr>
        <w:tabs>
          <w:tab w:val="num" w:pos="3838"/>
        </w:tabs>
        <w:ind w:left="3838" w:hanging="360"/>
      </w:pPr>
      <w:rPr>
        <w:rFonts w:ascii="Arial" w:hAnsi="Arial" w:hint="default"/>
      </w:rPr>
    </w:lvl>
    <w:lvl w:ilvl="1" w:tplc="BB18005A" w:tentative="1">
      <w:start w:val="1"/>
      <w:numFmt w:val="bullet"/>
      <w:lvlText w:val="•"/>
      <w:lvlJc w:val="left"/>
      <w:pPr>
        <w:tabs>
          <w:tab w:val="num" w:pos="4558"/>
        </w:tabs>
        <w:ind w:left="4558" w:hanging="360"/>
      </w:pPr>
      <w:rPr>
        <w:rFonts w:ascii="Arial" w:hAnsi="Arial" w:hint="default"/>
      </w:rPr>
    </w:lvl>
    <w:lvl w:ilvl="2" w:tplc="C7F8F2F4" w:tentative="1">
      <w:start w:val="1"/>
      <w:numFmt w:val="bullet"/>
      <w:lvlText w:val="•"/>
      <w:lvlJc w:val="left"/>
      <w:pPr>
        <w:tabs>
          <w:tab w:val="num" w:pos="5278"/>
        </w:tabs>
        <w:ind w:left="5278" w:hanging="360"/>
      </w:pPr>
      <w:rPr>
        <w:rFonts w:ascii="Arial" w:hAnsi="Arial" w:hint="default"/>
      </w:rPr>
    </w:lvl>
    <w:lvl w:ilvl="3" w:tplc="0164C61C" w:tentative="1">
      <w:start w:val="1"/>
      <w:numFmt w:val="bullet"/>
      <w:lvlText w:val="•"/>
      <w:lvlJc w:val="left"/>
      <w:pPr>
        <w:tabs>
          <w:tab w:val="num" w:pos="5998"/>
        </w:tabs>
        <w:ind w:left="5998" w:hanging="360"/>
      </w:pPr>
      <w:rPr>
        <w:rFonts w:ascii="Arial" w:hAnsi="Arial" w:hint="default"/>
      </w:rPr>
    </w:lvl>
    <w:lvl w:ilvl="4" w:tplc="B10EEEFE" w:tentative="1">
      <w:start w:val="1"/>
      <w:numFmt w:val="bullet"/>
      <w:lvlText w:val="•"/>
      <w:lvlJc w:val="left"/>
      <w:pPr>
        <w:tabs>
          <w:tab w:val="num" w:pos="6718"/>
        </w:tabs>
        <w:ind w:left="6718" w:hanging="360"/>
      </w:pPr>
      <w:rPr>
        <w:rFonts w:ascii="Arial" w:hAnsi="Arial" w:hint="default"/>
      </w:rPr>
    </w:lvl>
    <w:lvl w:ilvl="5" w:tplc="11180F96" w:tentative="1">
      <w:start w:val="1"/>
      <w:numFmt w:val="bullet"/>
      <w:lvlText w:val="•"/>
      <w:lvlJc w:val="left"/>
      <w:pPr>
        <w:tabs>
          <w:tab w:val="num" w:pos="7438"/>
        </w:tabs>
        <w:ind w:left="7438" w:hanging="360"/>
      </w:pPr>
      <w:rPr>
        <w:rFonts w:ascii="Arial" w:hAnsi="Arial" w:hint="default"/>
      </w:rPr>
    </w:lvl>
    <w:lvl w:ilvl="6" w:tplc="6E681B00" w:tentative="1">
      <w:start w:val="1"/>
      <w:numFmt w:val="bullet"/>
      <w:lvlText w:val="•"/>
      <w:lvlJc w:val="left"/>
      <w:pPr>
        <w:tabs>
          <w:tab w:val="num" w:pos="8158"/>
        </w:tabs>
        <w:ind w:left="8158" w:hanging="360"/>
      </w:pPr>
      <w:rPr>
        <w:rFonts w:ascii="Arial" w:hAnsi="Arial" w:hint="default"/>
      </w:rPr>
    </w:lvl>
    <w:lvl w:ilvl="7" w:tplc="59A2212C" w:tentative="1">
      <w:start w:val="1"/>
      <w:numFmt w:val="bullet"/>
      <w:lvlText w:val="•"/>
      <w:lvlJc w:val="left"/>
      <w:pPr>
        <w:tabs>
          <w:tab w:val="num" w:pos="8878"/>
        </w:tabs>
        <w:ind w:left="8878" w:hanging="360"/>
      </w:pPr>
      <w:rPr>
        <w:rFonts w:ascii="Arial" w:hAnsi="Arial" w:hint="default"/>
      </w:rPr>
    </w:lvl>
    <w:lvl w:ilvl="8" w:tplc="12EC6336" w:tentative="1">
      <w:start w:val="1"/>
      <w:numFmt w:val="bullet"/>
      <w:lvlText w:val="•"/>
      <w:lvlJc w:val="left"/>
      <w:pPr>
        <w:tabs>
          <w:tab w:val="num" w:pos="9598"/>
        </w:tabs>
        <w:ind w:left="9598" w:hanging="360"/>
      </w:pPr>
      <w:rPr>
        <w:rFonts w:ascii="Arial" w:hAnsi="Arial" w:hint="default"/>
      </w:rPr>
    </w:lvl>
  </w:abstractNum>
  <w:abstractNum w:abstractNumId="1" w15:restartNumberingAfterBreak="0">
    <w:nsid w:val="10FD5C7D"/>
    <w:multiLevelType w:val="hybridMultilevel"/>
    <w:tmpl w:val="E44E185A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173907E2"/>
    <w:multiLevelType w:val="hybridMultilevel"/>
    <w:tmpl w:val="13B8F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E3A21"/>
    <w:multiLevelType w:val="hybridMultilevel"/>
    <w:tmpl w:val="64103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92D36"/>
    <w:multiLevelType w:val="hybridMultilevel"/>
    <w:tmpl w:val="533E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6A8E"/>
    <w:multiLevelType w:val="hybridMultilevel"/>
    <w:tmpl w:val="3C1AF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C51CD"/>
    <w:multiLevelType w:val="hybridMultilevel"/>
    <w:tmpl w:val="8B9E9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E3379"/>
    <w:multiLevelType w:val="hybridMultilevel"/>
    <w:tmpl w:val="F06AA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1097E"/>
    <w:multiLevelType w:val="hybridMultilevel"/>
    <w:tmpl w:val="BD10B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352F7"/>
    <w:multiLevelType w:val="hybridMultilevel"/>
    <w:tmpl w:val="100E6EB0"/>
    <w:lvl w:ilvl="0" w:tplc="0419000F">
      <w:start w:val="1"/>
      <w:numFmt w:val="decimal"/>
      <w:lvlText w:val="%1."/>
      <w:lvlJc w:val="left"/>
      <w:pPr>
        <w:ind w:left="31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781F4D"/>
    <w:multiLevelType w:val="hybridMultilevel"/>
    <w:tmpl w:val="5AAE4B48"/>
    <w:lvl w:ilvl="0" w:tplc="041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9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3A7A"/>
    <w:rsid w:val="00000757"/>
    <w:rsid w:val="00076CE1"/>
    <w:rsid w:val="000826BE"/>
    <w:rsid w:val="00091FC4"/>
    <w:rsid w:val="00096F6A"/>
    <w:rsid w:val="000D054C"/>
    <w:rsid w:val="000D75C0"/>
    <w:rsid w:val="000E4911"/>
    <w:rsid w:val="00132B6E"/>
    <w:rsid w:val="001636C8"/>
    <w:rsid w:val="00164123"/>
    <w:rsid w:val="00182DB9"/>
    <w:rsid w:val="001A22CA"/>
    <w:rsid w:val="001E2053"/>
    <w:rsid w:val="001F1784"/>
    <w:rsid w:val="001F554E"/>
    <w:rsid w:val="001F7466"/>
    <w:rsid w:val="002047CA"/>
    <w:rsid w:val="00214FE7"/>
    <w:rsid w:val="002153A3"/>
    <w:rsid w:val="00243321"/>
    <w:rsid w:val="00263A7A"/>
    <w:rsid w:val="00284E74"/>
    <w:rsid w:val="002A2A89"/>
    <w:rsid w:val="002D41EB"/>
    <w:rsid w:val="002E2964"/>
    <w:rsid w:val="002E2A70"/>
    <w:rsid w:val="003531CD"/>
    <w:rsid w:val="00360671"/>
    <w:rsid w:val="00370D69"/>
    <w:rsid w:val="003750FC"/>
    <w:rsid w:val="0039220F"/>
    <w:rsid w:val="003B47A5"/>
    <w:rsid w:val="0040012D"/>
    <w:rsid w:val="0044612C"/>
    <w:rsid w:val="00455BEF"/>
    <w:rsid w:val="00456B9A"/>
    <w:rsid w:val="00480BB1"/>
    <w:rsid w:val="00502625"/>
    <w:rsid w:val="005434AD"/>
    <w:rsid w:val="005D17DF"/>
    <w:rsid w:val="005E5A3E"/>
    <w:rsid w:val="005E765A"/>
    <w:rsid w:val="005F43C8"/>
    <w:rsid w:val="00665474"/>
    <w:rsid w:val="00686BF4"/>
    <w:rsid w:val="006C524C"/>
    <w:rsid w:val="006E1A43"/>
    <w:rsid w:val="00700E74"/>
    <w:rsid w:val="00701377"/>
    <w:rsid w:val="00723B2B"/>
    <w:rsid w:val="00744077"/>
    <w:rsid w:val="00812717"/>
    <w:rsid w:val="00827D4D"/>
    <w:rsid w:val="008463E2"/>
    <w:rsid w:val="008539DA"/>
    <w:rsid w:val="00864BF9"/>
    <w:rsid w:val="00881D67"/>
    <w:rsid w:val="008E6A4B"/>
    <w:rsid w:val="00913B32"/>
    <w:rsid w:val="00957A69"/>
    <w:rsid w:val="00974381"/>
    <w:rsid w:val="00980896"/>
    <w:rsid w:val="00991C2A"/>
    <w:rsid w:val="009C2476"/>
    <w:rsid w:val="009F101F"/>
    <w:rsid w:val="00A1315B"/>
    <w:rsid w:val="00A200A8"/>
    <w:rsid w:val="00A32AAD"/>
    <w:rsid w:val="00A70491"/>
    <w:rsid w:val="00A7571C"/>
    <w:rsid w:val="00A76413"/>
    <w:rsid w:val="00A94890"/>
    <w:rsid w:val="00AD3D18"/>
    <w:rsid w:val="00AD7BAB"/>
    <w:rsid w:val="00AE2336"/>
    <w:rsid w:val="00AE48F8"/>
    <w:rsid w:val="00B01CB2"/>
    <w:rsid w:val="00B131B2"/>
    <w:rsid w:val="00B22078"/>
    <w:rsid w:val="00B57E44"/>
    <w:rsid w:val="00B71A98"/>
    <w:rsid w:val="00B80460"/>
    <w:rsid w:val="00B80FD8"/>
    <w:rsid w:val="00B92800"/>
    <w:rsid w:val="00BA540E"/>
    <w:rsid w:val="00BA6B75"/>
    <w:rsid w:val="00C27807"/>
    <w:rsid w:val="00C3304C"/>
    <w:rsid w:val="00C653E3"/>
    <w:rsid w:val="00C7632F"/>
    <w:rsid w:val="00D072E0"/>
    <w:rsid w:val="00D17A5D"/>
    <w:rsid w:val="00D314D1"/>
    <w:rsid w:val="00D358EE"/>
    <w:rsid w:val="00D50B65"/>
    <w:rsid w:val="00D67116"/>
    <w:rsid w:val="00DC5A4A"/>
    <w:rsid w:val="00DE07F0"/>
    <w:rsid w:val="00DF40E7"/>
    <w:rsid w:val="00E036A4"/>
    <w:rsid w:val="00E1251B"/>
    <w:rsid w:val="00E14DA6"/>
    <w:rsid w:val="00E63891"/>
    <w:rsid w:val="00E84957"/>
    <w:rsid w:val="00EB4147"/>
    <w:rsid w:val="00EC7409"/>
    <w:rsid w:val="00EF7009"/>
    <w:rsid w:val="00F14BF6"/>
    <w:rsid w:val="00F20EAB"/>
    <w:rsid w:val="00F51468"/>
    <w:rsid w:val="00F81B54"/>
    <w:rsid w:val="00F96CA4"/>
    <w:rsid w:val="00FB344C"/>
    <w:rsid w:val="00FE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8D8"/>
  <w15:docId w15:val="{38227748-A6FD-4F78-87A6-5D5D1028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7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746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F7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F746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E6A4B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50B6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E2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2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oldman</dc:creator>
  <cp:lastModifiedBy>Морев Илья</cp:lastModifiedBy>
  <cp:revision>42</cp:revision>
  <dcterms:created xsi:type="dcterms:W3CDTF">2020-05-13T18:21:00Z</dcterms:created>
  <dcterms:modified xsi:type="dcterms:W3CDTF">2020-06-16T18:45:00Z</dcterms:modified>
</cp:coreProperties>
</file>