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Basin-Specific DPS Formula Development</w:t>
      </w:r>
    </w:p>
    <w:p>
      <w:r>
        <w:t xml:space="preserve">A Regional Approach to Hurricane Threat Scoring</w:t>
      </w:r>
    </w:p>
    <w:p>
      <w:r>
        <w:t xml:space="preserve"/>
      </w:r>
    </w:p>
    <w:p>
      <w:pPr>
        <w:pStyle w:val="Heading2"/>
      </w:pPr>
      <w:r>
        <w:t xml:space="preserve">Executive Summary</w:t>
      </w:r>
    </w:p>
    <w:p>
      <w:r>
        <w:t xml:space="preserve">The Destructive Power Score (DPS) was originally developed and validated using Atlantic hurricane data. However, Hurricane Otis (2023) demonstrated that the current formula underestimates Eastern Pacific hurricane destructiveness by failing to account for regional surge mechanics, coastal topography, and rapid intensification dynamics.</w:t>
      </w:r>
    </w:p>
    <w:p>
      <w:r>
        <w:t xml:space="preserve"/>
      </w:r>
    </w:p>
    <w:p>
      <w:r>
        <w:t xml:space="preserve">This document outlines a strategy to develop basin-specific DPS formulas that maintain scientific credibility while accounting for regional realities. Each basin will be calibrated and validated against historically destructive storms with known damage figures.</w:t>
      </w:r>
    </w:p>
    <w:p>
      <w:r>
        <w:t xml:space="preserve"/>
      </w:r>
    </w:p>
    <w:p>
      <w:pPr>
        <w:pStyle w:val="Heading2"/>
      </w:pPr>
      <w:r>
        <w:t xml:space="preserve">Methodology &amp; Approach</w:t>
      </w:r>
    </w:p>
    <w:p>
      <w:pPr>
        <w:pStyle w:val="Heading3"/>
      </w:pPr>
      <w:r>
        <w:t xml:space="preserve">Core Philosophy</w:t>
      </w:r>
    </w:p>
    <w:p>
      <w:r>
        <w:t xml:space="preserve">A credible regional formula must:</w:t>
      </w:r>
    </w:p>
    <w:p>
      <w:pPr>
        <w:pStyle w:val="ListParagraph"/>
        <w:numPr>
          <w:ilvl w:val="0"/>
          <w:numId w:val="2"/>
        </w:numPr>
      </w:pPr>
      <w:r>
        <w:t xml:space="preserve">Account for basin-specific surge mechanics (shelf geometry, bathymetry)</w:t>
      </w:r>
    </w:p>
    <w:p>
      <w:pPr>
        <w:pStyle w:val="ListParagraph"/>
        <w:numPr>
          <w:ilvl w:val="0"/>
          <w:numId w:val="2"/>
        </w:numPr>
      </w:pPr>
      <w:r>
        <w:t xml:space="preserve">Weight rainfall/flooding risks based on regional climate patterns</w:t>
      </w:r>
    </w:p>
    <w:p>
      <w:pPr>
        <w:pStyle w:val="ListParagraph"/>
        <w:numPr>
          <w:ilvl w:val="0"/>
          <w:numId w:val="2"/>
        </w:numPr>
      </w:pPr>
      <w:r>
        <w:t xml:space="preserve">Reflect typical wind field sizes in the basin</w:t>
      </w:r>
    </w:p>
    <w:p>
      <w:pPr>
        <w:pStyle w:val="ListParagraph"/>
        <w:numPr>
          <w:ilvl w:val="0"/>
          <w:numId w:val="2"/>
        </w:numPr>
      </w:pPr>
      <w:r>
        <w:t xml:space="preserve">Use regional economic vulnerability data (not generic NRI)</w:t>
      </w:r>
    </w:p>
    <w:p>
      <w:pPr>
        <w:pStyle w:val="ListParagraph"/>
        <w:numPr>
          <w:ilvl w:val="0"/>
          <w:numId w:val="2"/>
        </w:numPr>
      </w:pPr>
      <w:r>
        <w:t xml:space="preserve">Validate against ≥3 historically destructive storms with confirmed damage figures</w:t>
      </w:r>
    </w:p>
    <w:p>
      <w:r>
        <w:t xml:space="preserve"/>
      </w:r>
    </w:p>
    <w:p>
      <w:pPr>
        <w:pStyle w:val="Heading3"/>
      </w:pPr>
      <w:r>
        <w:t xml:space="preserve">Formula Structure</w:t>
      </w:r>
    </w:p>
    <w:p>
      <w:r>
        <w:t xml:space="preserve">Base formula for all basins: cumDPI = peak_dpi × (1 + duration_factor + breadth_factor)</w:t>
      </w:r>
    </w:p>
    <w:p>
      <w:r>
        <w:t xml:space="preserve"/>
      </w:r>
    </w:p>
    <w:p>
      <w:r>
        <w:t xml:space="preserve">Basin variations will modify:</w:t>
      </w:r>
    </w:p>
    <w:p>
      <w:pPr>
        <w:pStyle w:val="ListParagraph"/>
        <w:numPr>
          <w:ilvl w:val="0"/>
          <w:numId w:val="2"/>
        </w:numPr>
      </w:pPr>
      <w:r>
        <w:t xml:space="preserve">Surge component weight (35-50% of peak_dpi)</w:t>
      </w:r>
    </w:p>
    <w:p>
      <w:pPr>
        <w:pStyle w:val="ListParagraph"/>
        <w:numPr>
          <w:ilvl w:val="0"/>
          <w:numId w:val="2"/>
        </w:numPr>
      </w:pPr>
      <w:r>
        <w:t xml:space="preserve">Wind field contribution (depends on RMW/R34 distribution)</w:t>
      </w:r>
    </w:p>
    <w:p>
      <w:pPr>
        <w:pStyle w:val="ListParagraph"/>
        <w:numPr>
          <w:ilvl w:val="0"/>
          <w:numId w:val="2"/>
        </w:numPr>
      </w:pPr>
      <w:r>
        <w:t xml:space="preserve">Rainfall anomaly thresholds</w:t>
      </w:r>
    </w:p>
    <w:p>
      <w:pPr>
        <w:pStyle w:val="ListParagraph"/>
        <w:numPr>
          <w:ilvl w:val="0"/>
          <w:numId w:val="2"/>
        </w:numPr>
      </w:pPr>
      <w:r>
        <w:t xml:space="preserve">Rapid intensification risk factor</w:t>
      </w:r>
    </w:p>
    <w:p>
      <w:pPr>
        <w:pStyle w:val="ListParagraph"/>
        <w:numPr>
          <w:ilvl w:val="0"/>
          <w:numId w:val="2"/>
        </w:numPr>
      </w:pPr>
      <w:r>
        <w:t xml:space="preserve">Coastal economic exposure scaling</w:t>
      </w:r>
    </w:p>
    <w:p>
      <w:r>
        <w:t xml:space="preserve"/>
      </w:r>
    </w:p>
    <w:p>
      <w:pPr>
        <w:pStyle w:val="Heading2"/>
      </w:pPr>
      <w:r>
        <w:t xml:space="preserve">Basin-by-Basin Analysis</w:t>
      </w:r>
    </w:p>
    <w:p>
      <w:pPr>
        <w:pStyle w:val="Heading3"/>
      </w:pPr>
      <w:r>
        <w:t xml:space="preserve">1. Atlantic Basin (Baseline Reference)</w:t>
      </w:r>
    </w:p>
    <w:p>
      <w:pPr>
        <w:pStyle w:val="Heading3"/>
      </w:pPr>
      <w:r>
        <w:t xml:space="preserve">Current DPS Formula</w:t>
      </w:r>
    </w:p>
    <w:p>
      <w:r>
        <w:t xml:space="preserve">Peak DPI: 40% surge + 40% wind field + 10% wind speed + 10% forward speed</w:t>
      </w:r>
    </w:p>
    <w:p>
      <w:r>
        <w:t xml:space="preserve"/>
      </w:r>
    </w:p>
    <w:p>
      <w:pPr>
        <w:pStyle w:val="Heading3"/>
      </w:pPr>
      <w:r>
        <w:t xml:space="preserve">Key Destructive Storms (Validation Set)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700"/>
        <w:gridCol w:w="2400"/>
        <w:gridCol w:w="1660"/>
      </w:tblGrid>
      <w:tr>
        <w:tc>
          <w:tcPr>
            <w:tcW w:type="dxa" w:w="21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Hurricane</w:t>
            </w:r>
          </w:p>
        </w:tc>
        <w:tc>
          <w:tcPr>
            <w:tcW w:type="dxa" w:w="14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Year</w:t>
            </w:r>
          </w:p>
        </w:tc>
        <w:tc>
          <w:tcPr>
            <w:tcW w:type="dxa" w:w="27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Damage (USD)</w:t>
            </w:r>
          </w:p>
        </w:tc>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Category</w:t>
            </w:r>
          </w:p>
        </w:tc>
        <w:tc>
          <w:tcPr>
            <w:tcW w:type="dxa" w:w="16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Peak DPS</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Katrina</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2005</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$125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3 at landfall</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100</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Harvey</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2017</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$125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4</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97</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Florence</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2018</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$24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4</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77</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Maria</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2017</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$90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4</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100</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Helene</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2024</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$32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4</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81</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Ian</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2022</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$112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4</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100</w:t>
            </w:r>
          </w:p>
        </w:tc>
      </w:tr>
    </w:tbl>
    <w:p>
      <w:r>
        <w:t xml:space="preserve"/>
      </w:r>
    </w:p>
    <w:p>
      <w:pPr>
        <w:pStyle w:val="Heading3"/>
      </w:pPr>
      <w:r>
        <w:t xml:space="preserve">Basin Characteristics</w:t>
      </w:r>
    </w:p>
    <w:p>
      <w:pPr>
        <w:pStyle w:val="ListParagraph"/>
        <w:numPr>
          <w:ilvl w:val="0"/>
          <w:numId w:val="2"/>
        </w:numPr>
      </w:pPr>
      <w:r>
        <w:t xml:space="preserve">Continental shelf: Highly variable (shallow in Gulf, deeper offshore)</w:t>
      </w:r>
    </w:p>
    <w:p>
      <w:pPr>
        <w:pStyle w:val="ListParagraph"/>
        <w:numPr>
          <w:ilvl w:val="0"/>
          <w:numId w:val="2"/>
        </w:numPr>
      </w:pPr>
      <w:r>
        <w:t xml:space="preserve">Surge amplification: Strong in Gulf (shelf geometry), moderate on East Coast</w:t>
      </w:r>
    </w:p>
    <w:p>
      <w:pPr>
        <w:pStyle w:val="ListParagraph"/>
        <w:numPr>
          <w:ilvl w:val="0"/>
          <w:numId w:val="2"/>
        </w:numPr>
      </w:pPr>
      <w:r>
        <w:t xml:space="preserve">Rainfall patterns: Orographic enhancement in Appalachians, river basins (Mississippi, Piedmont)</w:t>
      </w:r>
    </w:p>
    <w:p>
      <w:pPr>
        <w:pStyle w:val="ListParagraph"/>
        <w:numPr>
          <w:ilvl w:val="0"/>
          <w:numId w:val="2"/>
        </w:numPr>
      </w:pPr>
      <w:r>
        <w:t xml:space="preserve">Wind field size: RMW 10-35 nm, R34 typically 40-80 nm</w:t>
      </w:r>
    </w:p>
    <w:p>
      <w:pPr>
        <w:pStyle w:val="ListParagraph"/>
        <w:numPr>
          <w:ilvl w:val="0"/>
          <w:numId w:val="2"/>
        </w:numPr>
      </w:pPr>
      <w:r>
        <w:t xml:space="preserve">Economic concentration: High (Miami, Houston, New Orleans, Charleston)</w:t>
      </w:r>
    </w:p>
    <w:p>
      <w:pPr>
        <w:pStyle w:val="ListParagraph"/>
        <w:numPr>
          <w:ilvl w:val="0"/>
          <w:numId w:val="2"/>
        </w:numPr>
      </w:pPr>
      <w:r>
        <w:t xml:space="preserve">Typical duration: 2-5 days coastal threat</w:t>
      </w:r>
    </w:p>
    <w:p>
      <w:r>
        <w:t xml:space="preserve"/>
      </w:r>
    </w:p>
    <w:p>
      <w:pPr>
        <w:pStyle w:val="Heading3"/>
      </w:pPr>
      <w:r>
        <w:t xml:space="preserve">2. Eastern Pacific Basin</w:t>
      </w:r>
    </w:p>
    <w:p>
      <w:pPr>
        <w:pStyle w:val="Heading3"/>
      </w:pPr>
      <w:r>
        <w:t xml:space="preserve">Otis Case Study: DPS Performance</w:t>
      </w:r>
    </w:p>
    <w:p>
      <w:r>
        <w:t xml:space="preserve">Hurricane Otis (Oct 2023): $12-16 billion damage, Cat 5 at landfall (165 mph)</w:t>
      </w:r>
    </w:p>
    <w:p>
      <w:r>
        <w:t xml:space="preserve"/>
      </w:r>
    </w:p>
    <w:p>
      <w:r>
        <w:t xml:space="preserve">Current Atlantic DPS would estimate: ~70-85</w:t>
      </w:r>
    </w:p>
    <w:p>
      <w:r>
        <w:t xml:space="preserve">Actual destructiveness ratio suggests needed DPS: ~95-100</w:t>
      </w:r>
    </w:p>
    <w:p>
      <w:r>
        <w:t xml:space="preserve"/>
      </w:r>
    </w:p>
    <w:p>
      <w:r>
        <w:t xml:space="preserve">Gap Analysis:</w:t>
      </w:r>
    </w:p>
    <w:p>
      <w:pPr>
        <w:pStyle w:val="ListParagraph"/>
        <w:numPr>
          <w:ilvl w:val="0"/>
          <w:numId w:val="2"/>
        </w:numPr>
      </w:pPr>
      <w:r>
        <w:t xml:space="preserve">Rapid intensification (115 mph in 24h) not captured by snapshot DPI</w:t>
      </w:r>
    </w:p>
    <w:p>
      <w:pPr>
        <w:pStyle w:val="ListParagraph"/>
        <w:numPr>
          <w:ilvl w:val="0"/>
          <w:numId w:val="2"/>
        </w:numPr>
      </w:pPr>
      <w:r>
        <w:t xml:space="preserve">Acapulco Bay funnel effect + narrow shelf = surge amplification not in Atlantic model</w:t>
      </w:r>
    </w:p>
    <w:p>
      <w:pPr>
        <w:pStyle w:val="ListParagraph"/>
        <w:numPr>
          <w:ilvl w:val="0"/>
          <w:numId w:val="2"/>
        </w:numPr>
      </w:pPr>
      <w:r>
        <w:t xml:space="preserve">Urban concentration (Acapulco): $12B damage from single region vs. distributed Atlantic damage</w:t>
      </w:r>
    </w:p>
    <w:p>
      <w:pPr>
        <w:pStyle w:val="ListParagraph"/>
        <w:numPr>
          <w:ilvl w:val="0"/>
          <w:numId w:val="2"/>
        </w:numPr>
      </w:pPr>
      <w:r>
        <w:t xml:space="preserve">Wind field size: Likely compact (RMW 8-15 nm) → concentrated damage, not widespread</w:t>
      </w:r>
    </w:p>
    <w:p>
      <w:r>
        <w:t xml:space="preserve"/>
      </w:r>
    </w:p>
    <w:p>
      <w:pPr>
        <w:pStyle w:val="Heading3"/>
      </w:pPr>
      <w:r>
        <w:t xml:space="preserve">Proposed Eastern Pacific Adjustments</w:t>
      </w:r>
    </w:p>
    <w:p>
      <w:pPr>
        <w:pStyle w:val="ListParagraph"/>
        <w:numPr>
          <w:ilvl w:val="0"/>
          <w:numId w:val="2"/>
        </w:numPr>
      </w:pPr>
      <w:r>
        <w:t xml:space="preserve">Rapid Intensification Factor: +0.15 to peak DPI if ΔV &gt; 100 mph in 24h</w:t>
      </w:r>
    </w:p>
    <w:p>
      <w:pPr>
        <w:pStyle w:val="ListParagraph"/>
        <w:numPr>
          <w:ilvl w:val="0"/>
          <w:numId w:val="2"/>
        </w:numPr>
      </w:pPr>
      <w:r>
        <w:t xml:space="preserve">Pacific Surge Component: Increase to 50% (vs. 40%) due to shallow shelves, canyon features</w:t>
      </w:r>
    </w:p>
    <w:p>
      <w:pPr>
        <w:pStyle w:val="ListParagraph"/>
        <w:numPr>
          <w:ilvl w:val="0"/>
          <w:numId w:val="2"/>
        </w:numPr>
      </w:pPr>
      <w:r>
        <w:t xml:space="preserve">Compact Storm Modifier: If RMW &lt; 12 nm, apply concentration factor +0.08</w:t>
      </w:r>
    </w:p>
    <w:p>
      <w:pPr>
        <w:pStyle w:val="ListParagraph"/>
        <w:numPr>
          <w:ilvl w:val="0"/>
          <w:numId w:val="2"/>
        </w:numPr>
      </w:pPr>
      <w:r>
        <w:t xml:space="preserve">Economic scaling: Use high-density coastal city weights (Acapulco, Puerto Vallarta, Manzanillo)</w:t>
      </w:r>
    </w:p>
    <w:p>
      <w:r>
        <w:t xml:space="preserve"/>
      </w:r>
    </w:p>
    <w:p>
      <w:pPr>
        <w:pStyle w:val="Heading3"/>
      </w:pPr>
      <w:r>
        <w:t xml:space="preserve">Key Destructive Storms for Validation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700"/>
        <w:gridCol w:w="2400"/>
        <w:gridCol w:w="1660"/>
      </w:tblGrid>
      <w:tr>
        <w:tc>
          <w:tcPr>
            <w:tcW w:type="dxa" w:w="21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Hurricane</w:t>
            </w:r>
          </w:p>
        </w:tc>
        <w:tc>
          <w:tcPr>
            <w:tcW w:type="dxa" w:w="14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Year</w:t>
            </w:r>
          </w:p>
        </w:tc>
        <w:tc>
          <w:tcPr>
            <w:tcW w:type="dxa" w:w="27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Damage (USD)</w:t>
            </w:r>
          </w:p>
        </w:tc>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Category</w:t>
            </w:r>
          </w:p>
        </w:tc>
        <w:tc>
          <w:tcPr>
            <w:tcW w:type="dxa" w:w="16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Status</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Otis</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2023</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$12-16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5</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VALIDATION TARGET</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Patricia</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2015*</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$463 million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5</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Outside 10yr window</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Linda</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2019</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 billions estimate</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4</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Research needed</w:t>
            </w:r>
          </w:p>
        </w:tc>
      </w:tr>
    </w:tbl>
    <w:p>
      <w:r>
        <w:t xml:space="preserve">* Patricia (2015) is technically outside the 10-year window but offers valuable data</w:t>
      </w:r>
    </w:p>
    <w:p>
      <w:r>
        <w:t xml:space="preserve"/>
      </w:r>
    </w:p>
    <w:p>
      <w:pPr>
        <w:pStyle w:val="Heading3"/>
      </w:pPr>
      <w:r>
        <w:t xml:space="preserve">Basin Characteristics</w:t>
      </w:r>
    </w:p>
    <w:p>
      <w:pPr>
        <w:pStyle w:val="ListParagraph"/>
        <w:numPr>
          <w:ilvl w:val="0"/>
          <w:numId w:val="2"/>
        </w:numPr>
      </w:pPr>
      <w:r>
        <w:t xml:space="preserve">Continental shelf: Narrow (shelf break 50-100 nm from coast)</w:t>
      </w:r>
    </w:p>
    <w:p>
      <w:pPr>
        <w:pStyle w:val="ListParagraph"/>
        <w:numPr>
          <w:ilvl w:val="0"/>
          <w:numId w:val="2"/>
        </w:numPr>
      </w:pPr>
      <w:r>
        <w:t xml:space="preserve">Surge amplification: Strong due to canyon systems, bay funneling</w:t>
      </w:r>
    </w:p>
    <w:p>
      <w:pPr>
        <w:pStyle w:val="ListParagraph"/>
        <w:numPr>
          <w:ilvl w:val="0"/>
          <w:numId w:val="2"/>
        </w:numPr>
      </w:pPr>
      <w:r>
        <w:t xml:space="preserve">Rainfall patterns: Orographic on western Mexico (Sierra Madre), stalling over complex terrain</w:t>
      </w:r>
    </w:p>
    <w:p>
      <w:pPr>
        <w:pStyle w:val="ListParagraph"/>
        <w:numPr>
          <w:ilvl w:val="0"/>
          <w:numId w:val="2"/>
        </w:numPr>
      </w:pPr>
      <w:r>
        <w:t xml:space="preserve">Wind field size: Generally compact (RMW 8-20 nm, R34 30-60 nm)</w:t>
      </w:r>
    </w:p>
    <w:p>
      <w:pPr>
        <w:pStyle w:val="ListParagraph"/>
        <w:numPr>
          <w:ilvl w:val="0"/>
          <w:numId w:val="2"/>
        </w:numPr>
      </w:pPr>
      <w:r>
        <w:t xml:space="preserve">Economic concentration: Very high (tourist centers: Acapulco, Puerto Vallarta, Cabo)</w:t>
      </w:r>
    </w:p>
    <w:p>
      <w:pPr>
        <w:pStyle w:val="ListParagraph"/>
        <w:numPr>
          <w:ilvl w:val="0"/>
          <w:numId w:val="2"/>
        </w:numPr>
      </w:pPr>
      <w:r>
        <w:t xml:space="preserve">Environmental conduciveness: Very warm ocean, minimal shear → rapid intensification risk</w:t>
      </w:r>
    </w:p>
    <w:p>
      <w:r>
        <w:t xml:space="preserve"/>
      </w:r>
    </w:p>
    <w:p>
      <w:r>
        <w:br w:type="page"/>
      </w:r>
    </w:p>
    <w:p>
      <w:pPr>
        <w:pStyle w:val="Heading3"/>
      </w:pPr>
      <w:r>
        <w:t xml:space="preserve">3. Western Pacific Basin</w:t>
      </w:r>
    </w:p>
    <w:p>
      <w:pPr>
        <w:pStyle w:val="Heading3"/>
      </w:pPr>
      <w:r>
        <w:t xml:space="preserve">Overview</w:t>
      </w:r>
    </w:p>
    <w:p>
      <w:r>
        <w:t xml:space="preserve">World&amp;#x2019;s most active and most destructive typhoon basin. Unique challenges:</w:t>
      </w:r>
    </w:p>
    <w:p>
      <w:pPr>
        <w:pStyle w:val="ListParagraph"/>
        <w:numPr>
          <w:ilvl w:val="0"/>
          <w:numId w:val="2"/>
        </w:numPr>
      </w:pPr>
      <w:r>
        <w:t xml:space="preserve">Typhoons can exceed 180 mph (wind field size even larger than Atlantic)</w:t>
      </w:r>
    </w:p>
    <w:p>
      <w:pPr>
        <w:pStyle w:val="ListParagraph"/>
        <w:numPr>
          <w:ilvl w:val="0"/>
          <w:numId w:val="2"/>
        </w:numPr>
      </w:pPr>
      <w:r>
        <w:t xml:space="preserve">Extended coastal threat (Asian mainland, island chains extend 3000+ nm)</w:t>
      </w:r>
    </w:p>
    <w:p>
      <w:pPr>
        <w:pStyle w:val="ListParagraph"/>
        <w:numPr>
          <w:ilvl w:val="0"/>
          <w:numId w:val="2"/>
        </w:numPr>
      </w:pPr>
      <w:r>
        <w:t xml:space="preserve">Multi-day stalling common (monsoon interactions)</w:t>
      </w:r>
    </w:p>
    <w:p>
      <w:pPr>
        <w:pStyle w:val="ListParagraph"/>
        <w:numPr>
          <w:ilvl w:val="0"/>
          <w:numId w:val="2"/>
        </w:numPr>
      </w:pPr>
      <w:r>
        <w:t xml:space="preserve">Orographic rainfall: Extreme in Philippines, Japan, Taiwan mountains</w:t>
      </w:r>
    </w:p>
    <w:p>
      <w:pPr>
        <w:pStyle w:val="ListParagraph"/>
        <w:numPr>
          <w:ilvl w:val="0"/>
          <w:numId w:val="2"/>
        </w:numPr>
      </w:pPr>
      <w:r>
        <w:t xml:space="preserve">Storm surge: Highly variable by coastal geometry (Japan trench-side, China shelf)</w:t>
      </w:r>
    </w:p>
    <w:p>
      <w:r>
        <w:t xml:space="preserve"/>
      </w:r>
    </w:p>
    <w:p>
      <w:pPr>
        <w:pStyle w:val="Heading3"/>
      </w:pPr>
      <w:r>
        <w:t xml:space="preserve">Key Destructive Typhoons for Validation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700"/>
        <w:gridCol w:w="2400"/>
        <w:gridCol w:w="1660"/>
      </w:tblGrid>
      <w:tr>
        <w:tc>
          <w:tcPr>
            <w:tcW w:type="dxa" w:w="21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Typhoon</w:t>
            </w:r>
          </w:p>
        </w:tc>
        <w:tc>
          <w:tcPr>
            <w:tcW w:type="dxa" w:w="14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Year</w:t>
            </w:r>
          </w:p>
        </w:tc>
        <w:tc>
          <w:tcPr>
            <w:tcW w:type="dxa" w:w="27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Damage (USD)</w:t>
            </w:r>
          </w:p>
        </w:tc>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Category*</w:t>
            </w:r>
          </w:p>
        </w:tc>
        <w:tc>
          <w:tcPr>
            <w:tcW w:type="dxa" w:w="16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Status</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Haiyan</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2013</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$11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5</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VALIDATION TARGET</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Mangkhut</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2018</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$1.5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5</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Research needed</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Noru</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2022</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 billions estimate</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Cat 5</w:t>
            </w:r>
          </w:p>
        </w:tc>
        <w:tc>
          <w:tcPr>
            <w:tcW w:type="dxa" w:w="16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Research needed</w:t>
            </w:r>
          </w:p>
        </w:tc>
      </w:tr>
    </w:tbl>
    <w:p>
      <w:r>
        <w:t xml:space="preserve">* JMA/RSMC categories differ from Saffir-Simpson</w:t>
      </w:r>
    </w:p>
    <w:p>
      <w:r>
        <w:t xml:space="preserve"/>
      </w:r>
    </w:p>
    <w:p>
      <w:pPr>
        <w:pStyle w:val="Heading3"/>
      </w:pPr>
      <w:r>
        <w:t xml:space="preserve">Proposed Western Pacific Adjustments</w:t>
      </w:r>
    </w:p>
    <w:p>
      <w:pPr>
        <w:pStyle w:val="ListParagraph"/>
        <w:numPr>
          <w:ilvl w:val="0"/>
          <w:numId w:val="2"/>
        </w:numPr>
      </w:pPr>
      <w:r>
        <w:t xml:space="preserve">Surge Component: 45% (intermediate between Atlantic &amp; Pacific)</w:t>
      </w:r>
    </w:p>
    <w:p>
      <w:pPr>
        <w:pStyle w:val="ListParagraph"/>
        <w:numPr>
          <w:ilvl w:val="0"/>
          <w:numId w:val="2"/>
        </w:numPr>
      </w:pPr>
      <w:r>
        <w:t xml:space="preserve">Wind field size weight: +10% (typhoons have larger R34 zones than Atlantic)</w:t>
      </w:r>
    </w:p>
    <w:p>
      <w:pPr>
        <w:pStyle w:val="ListParagraph"/>
        <w:numPr>
          <w:ilvl w:val="0"/>
          <w:numId w:val="2"/>
        </w:numPr>
      </w:pPr>
      <w:r>
        <w:t xml:space="preserve">Orographic rainfall factor: Significant for Philippines, Japan, Taiwan</w:t>
      </w:r>
    </w:p>
    <w:p>
      <w:pPr>
        <w:pStyle w:val="ListParagraph"/>
        <w:numPr>
          <w:ilvl w:val="0"/>
          <w:numId w:val="2"/>
        </w:numPr>
      </w:pPr>
      <w:r>
        <w:t xml:space="preserve">Duration bonus: Higher weight (monsoon-influenced stalling common)</w:t>
      </w:r>
    </w:p>
    <w:p>
      <w:pPr>
        <w:pStyle w:val="ListParagraph"/>
        <w:numPr>
          <w:ilvl w:val="0"/>
          <w:numId w:val="2"/>
        </w:numPr>
      </w:pPr>
      <w:r>
        <w:t xml:space="preserve">Economic scaling: Regional GDP-based weights (Japan &gt; Philippines &gt; Vietnam)</w:t>
      </w:r>
    </w:p>
    <w:p>
      <w:r>
        <w:t xml:space="preserve"/>
      </w:r>
    </w:p>
    <w:p>
      <w:pPr>
        <w:pStyle w:val="Heading3"/>
      </w:pPr>
      <w:r>
        <w:t xml:space="preserve">4. North Indian Basin</w:t>
      </w:r>
    </w:p>
    <w:p>
      <w:r>
        <w:t xml:space="preserve">Moderate activity but extreme seasonal and geographic variability. Key considerations:</w:t>
      </w:r>
    </w:p>
    <w:p>
      <w:pPr>
        <w:pStyle w:val="ListParagraph"/>
        <w:numPr>
          <w:ilvl w:val="0"/>
          <w:numId w:val="2"/>
        </w:numPr>
      </w:pPr>
      <w:r>
        <w:t xml:space="preserve">Pre-monsoon (April-May): Compact, rapid intensification</w:t>
      </w:r>
    </w:p>
    <w:p>
      <w:pPr>
        <w:pStyle w:val="ListParagraph"/>
        <w:numPr>
          <w:ilvl w:val="0"/>
          <w:numId w:val="2"/>
        </w:numPr>
      </w:pPr>
      <w:r>
        <w:t xml:space="preserve">Monsoon (June-September): Larger systems, extensive rainfall</w:t>
      </w:r>
    </w:p>
    <w:p>
      <w:pPr>
        <w:pStyle w:val="ListParagraph"/>
        <w:numPr>
          <w:ilvl w:val="0"/>
          <w:numId w:val="2"/>
        </w:numPr>
      </w:pPr>
      <w:r>
        <w:t xml:space="preserve">Bay of Bengal surge: Among world&amp;#x2019;s highest (shallow shelf, funnel effect)</w:t>
      </w:r>
    </w:p>
    <w:p>
      <w:pPr>
        <w:pStyle w:val="ListParagraph"/>
        <w:numPr>
          <w:ilvl w:val="0"/>
          <w:numId w:val="2"/>
        </w:numPr>
      </w:pPr>
      <w:r>
        <w:t xml:space="preserve">Economic vulnerability: Very high (Bangladesh, Eastern India, Myanmar densely populated)</w:t>
      </w:r>
    </w:p>
    <w:p>
      <w:r>
        <w:t xml:space="preserve"/>
      </w:r>
    </w:p>
    <w:p>
      <w:pPr>
        <w:pStyle w:val="Heading3"/>
      </w:pPr>
      <w:r>
        <w:t xml:space="preserve">Key Destructive Cyclones for Validation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700"/>
        <w:gridCol w:w="2400"/>
        <w:gridCol w:w="1660"/>
      </w:tblGrid>
      <w:tr>
        <w:tc>
          <w:tcPr>
            <w:tcW w:type="dxa" w:w="21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Cyclone</w:t>
            </w:r>
          </w:p>
        </w:tc>
        <w:tc>
          <w:tcPr>
            <w:tcW w:type="dxa" w:w="14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Year</w:t>
            </w:r>
          </w:p>
        </w:tc>
        <w:tc>
          <w:tcPr>
            <w:tcW w:type="dxa" w:w="27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Damage (USD)</w:t>
            </w:r>
          </w:p>
        </w:tc>
        <w:tc>
          <w:tcPr>
            <w:tcW w:type="dxa" w:w="24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Status</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Bhola</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1970</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$1-3 billion (1970 USD)</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HISTORIC VALIDATION</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Cyclone Sidr</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2007</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$1.7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VALIDATION TARGET</w:t>
            </w:r>
          </w:p>
        </w:tc>
      </w:tr>
      <w:tr>
        <w:tc>
          <w:tcPr>
            <w:tcW w:type="dxa" w:w="216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Cyclone Aila</w:t>
            </w:r>
          </w:p>
        </w:tc>
        <w:tc>
          <w:tcPr>
            <w:tcW w:type="dxa" w:w="144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2009</w:t>
            </w:r>
          </w:p>
        </w:tc>
        <w:tc>
          <w:tcPr>
            <w:tcW w:type="dxa" w:w="27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$1.5 billion</w:t>
            </w:r>
          </w:p>
        </w:tc>
        <w:tc>
          <w:tcPr>
            <w:tcW w:type="dxa" w:w="24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val="false"/>
                <w:bCs w:val="false"/>
                <w:color w:val="000000"/>
              </w:rPr>
              <w:t xml:space="preserve">Research needed</w:t>
            </w:r>
          </w:p>
        </w:tc>
      </w:tr>
    </w:tbl>
    <w:p>
      <w:r>
        <w:t xml:space="preserve"/>
      </w:r>
    </w:p>
    <w:p>
      <w:pPr>
        <w:pStyle w:val="Heading3"/>
      </w:pPr>
      <w:r>
        <w:t xml:space="preserve">5. South Indian &amp; South Pacific Basins</w:t>
      </w:r>
    </w:p>
    <w:p>
      <w:r>
        <w:t xml:space="preserve">Lower frequency but significant impact where they occur. Considerations:</w:t>
      </w:r>
    </w:p>
    <w:p>
      <w:pPr>
        <w:pStyle w:val="ListParagraph"/>
        <w:numPr>
          <w:ilvl w:val="0"/>
          <w:numId w:val="2"/>
        </w:numPr>
      </w:pPr>
      <w:r>
        <w:t xml:space="preserve">South Indian: Warming ocean (increasing intensity potential)</w:t>
      </w:r>
    </w:p>
    <w:p>
      <w:pPr>
        <w:pStyle w:val="ListParagraph"/>
        <w:numPr>
          <w:ilvl w:val="0"/>
          <w:numId w:val="2"/>
        </w:numPr>
      </w:pPr>
      <w:r>
        <w:t xml:space="preserve">South Pacific: Small island targets, cyclones can travel 1000+ nm</w:t>
      </w:r>
    </w:p>
    <w:p>
      <w:pPr>
        <w:pStyle w:val="ListParagraph"/>
        <w:numPr>
          <w:ilvl w:val="0"/>
          <w:numId w:val="2"/>
        </w:numPr>
      </w:pPr>
      <w:r>
        <w:t xml:space="preserve">Limited economic exposure but high vulnerability ratio (small island economies)</w:t>
      </w:r>
    </w:p>
    <w:p>
      <w:r>
        <w:t xml:space="preserve"/>
      </w:r>
    </w:p>
    <w:p>
      <w:r>
        <w:br w:type="page"/>
      </w:r>
    </w:p>
    <w:p>
      <w:pPr>
        <w:pStyle w:val="Heading2"/>
      </w:pPr>
      <w:r>
        <w:t xml:space="preserve">Research &amp; Development Plan</w:t>
      </w:r>
    </w:p>
    <w:p>
      <w:pPr>
        <w:pStyle w:val="Heading3"/>
      </w:pPr>
      <w:r>
        <w:t xml:space="preserve">Phase 1: Historical Data Compilation</w:t>
      </w:r>
    </w:p>
    <w:p>
      <w:r>
        <w:t xml:space="preserve">For each basin, compile:</w:t>
      </w:r>
    </w:p>
    <w:p>
      <w:pPr>
        <w:pStyle w:val="ListParagraph"/>
        <w:numPr>
          <w:ilvl w:val="0"/>
          <w:numId w:val="2"/>
        </w:numPr>
      </w:pPr>
      <w:r>
        <w:t xml:space="preserve">≥10 major destructive storms (1990-2026) with confirmed damage figures</w:t>
      </w:r>
    </w:p>
    <w:p>
      <w:pPr>
        <w:pStyle w:val="ListParagraph"/>
        <w:numPr>
          <w:ilvl w:val="0"/>
          <w:numId w:val="2"/>
        </w:numPr>
      </w:pPr>
      <w:r>
        <w:t xml:space="preserve">Meteorological data: Peak winds, central pressure, RMW, R34, forward speed</w:t>
      </w:r>
    </w:p>
    <w:p>
      <w:pPr>
        <w:pStyle w:val="ListParagraph"/>
        <w:numPr>
          <w:ilvl w:val="0"/>
          <w:numId w:val="2"/>
        </w:numPr>
      </w:pPr>
      <w:r>
        <w:t xml:space="preserve">Track data: Duration, breadth of coastal exposure, stall patterns</w:t>
      </w:r>
    </w:p>
    <w:p>
      <w:pPr>
        <w:pStyle w:val="ListParagraph"/>
        <w:numPr>
          <w:ilvl w:val="0"/>
          <w:numId w:val="2"/>
        </w:numPr>
      </w:pPr>
      <w:r>
        <w:t xml:space="preserve">Environmental data: SST, shear, intensification rate</w:t>
      </w:r>
    </w:p>
    <w:p>
      <w:pPr>
        <w:pStyle w:val="ListParagraph"/>
        <w:numPr>
          <w:ilvl w:val="0"/>
          <w:numId w:val="2"/>
        </w:numPr>
      </w:pPr>
      <w:r>
        <w:t xml:space="preserve">Impact data: Casualties, housing damaged, economic sectors affected</w:t>
      </w:r>
    </w:p>
    <w:p>
      <w:r>
        <w:t xml:space="preserve"/>
      </w:r>
    </w:p>
    <w:p>
      <w:pPr>
        <w:pStyle w:val="Heading3"/>
      </w:pPr>
      <w:r>
        <w:t xml:space="preserve">Phase 2: Formula Calibration</w:t>
      </w:r>
    </w:p>
    <w:p>
      <w:r>
        <w:t xml:space="preserve">For each basin:</w:t>
      </w:r>
    </w:p>
    <w:p>
      <w:pPr>
        <w:pStyle w:val="ListParagraph"/>
        <w:numPr>
          <w:ilvl w:val="0"/>
          <w:numId w:val="2"/>
        </w:numPr>
      </w:pPr>
      <w:r>
        <w:t xml:space="preserve">Adjust surge/wind/forward speed/wind field weights iteratively</w:t>
      </w:r>
    </w:p>
    <w:p>
      <w:pPr>
        <w:pStyle w:val="ListParagraph"/>
        <w:numPr>
          <w:ilvl w:val="0"/>
          <w:numId w:val="2"/>
        </w:numPr>
      </w:pPr>
      <w:r>
        <w:t xml:space="preserve">Add basin-specific factors (rapid intensification, orographic enhancement)</w:t>
      </w:r>
    </w:p>
    <w:p>
      <w:pPr>
        <w:pStyle w:val="ListParagraph"/>
        <w:numPr>
          <w:ilvl w:val="0"/>
          <w:numId w:val="2"/>
        </w:numPr>
      </w:pPr>
      <w:r>
        <w:t xml:space="preserve">Validate that DPS ranking correlates with actual damage</w:t>
      </w:r>
    </w:p>
    <w:p>
      <w:pPr>
        <w:pStyle w:val="ListParagraph"/>
        <w:numPr>
          <w:ilvl w:val="0"/>
          <w:numId w:val="2"/>
        </w:numPr>
      </w:pPr>
      <w:r>
        <w:t xml:space="preserve">Target: Correlation coefficient &gt; 0.8 with damage figures</w:t>
      </w:r>
    </w:p>
    <w:p>
      <w:r>
        <w:t xml:space="preserve"/>
      </w:r>
    </w:p>
    <w:p>
      <w:pPr>
        <w:pStyle w:val="Heading3"/>
      </w:pPr>
      <w:r>
        <w:t xml:space="preserve">Phase 3: Implementation &amp; Testing</w:t>
      </w:r>
    </w:p>
    <w:p>
      <w:r>
        <w:t xml:space="preserve">For each basin:</w:t>
      </w:r>
    </w:p>
    <w:p>
      <w:pPr>
        <w:pStyle w:val="ListParagraph"/>
        <w:numPr>
          <w:ilvl w:val="0"/>
          <w:numId w:val="2"/>
        </w:numPr>
      </w:pPr>
      <w:r>
        <w:t xml:space="preserve">Code basin-specific formulas</w:t>
      </w:r>
    </w:p>
    <w:p>
      <w:pPr>
        <w:pStyle w:val="ListParagraph"/>
        <w:numPr>
          <w:ilvl w:val="0"/>
          <w:numId w:val="2"/>
        </w:numPr>
      </w:pPr>
      <w:r>
        <w:t xml:space="preserve">Test against ≥3 validation storms (using only publicly available track/intensity data)</w:t>
      </w:r>
    </w:p>
    <w:p>
      <w:pPr>
        <w:pStyle w:val="ListParagraph"/>
        <w:numPr>
          <w:ilvl w:val="0"/>
          <w:numId w:val="2"/>
        </w:numPr>
      </w:pPr>
      <w:r>
        <w:t xml:space="preserve">Document deviation vs. Atlantic baseline</w:t>
      </w:r>
    </w:p>
    <w:p>
      <w:pPr>
        <w:pStyle w:val="ListParagraph"/>
        <w:numPr>
          <w:ilvl w:val="0"/>
          <w:numId w:val="2"/>
        </w:numPr>
      </w:pPr>
      <w:r>
        <w:t xml:space="preserve">Publish methodology &amp; results</w:t>
      </w:r>
    </w:p>
    <w:p>
      <w:r>
        <w:t xml:space="preserve"/>
      </w:r>
    </w:p>
    <w:p>
      <w:pPr>
        <w:pStyle w:val="Heading2"/>
      </w:pPr>
      <w:r>
        <w:t xml:space="preserve">Next Steps</w:t>
      </w:r>
    </w:p>
    <w:p>
      <w:pPr>
        <w:pStyle w:val="ListParagraph"/>
        <w:numPr>
          <w:ilvl w:val="0"/>
          <w:numId w:val="2"/>
        </w:numPr>
      </w:pPr>
      <w:r>
        <w:t xml:space="preserve">Phase 1 START: Research destructive Eastern Pacific hurricanes (Patricia, Otis, Linda, etc.)</w:t>
      </w:r>
    </w:p>
    <w:p>
      <w:pPr>
        <w:pStyle w:val="ListParagraph"/>
        <w:numPr>
          <w:ilvl w:val="0"/>
          <w:numId w:val="2"/>
        </w:numPr>
      </w:pPr>
      <w:r>
        <w:t xml:space="preserve">Compile damage figures, meteorological data, track characteristics</w:t>
      </w:r>
    </w:p>
    <w:p>
      <w:pPr>
        <w:pStyle w:val="ListParagraph"/>
        <w:numPr>
          <w:ilvl w:val="0"/>
          <w:numId w:val="2"/>
        </w:numPr>
      </w:pPr>
      <w:r>
        <w:t xml:space="preserve">Propose Otis-specific DPS formula to test rapid intensification factor</w:t>
      </w:r>
    </w:p>
    <w:p>
      <w:pPr>
        <w:pStyle w:val="ListParagraph"/>
        <w:numPr>
          <w:ilvl w:val="0"/>
          <w:numId w:val="2"/>
        </w:numPr>
      </w:pPr>
      <w:r>
        <w:t xml:space="preserve">Create spreadsheet tool to track all historical storms by basin</w:t>
      </w:r>
    </w:p>
    <w:p>
      <w:pPr>
        <w:pStyle w:val="ListParagraph"/>
        <w:numPr>
          <w:ilvl w:val="0"/>
          <w:numId w:val="2"/>
        </w:numPr>
      </w:pPr>
      <w:r>
        <w:t xml:space="preserve">Document methodology in peer-review-ready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40" w:after="8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2026-03-30T20:11:38.877Z</dcterms:created>
  <dcterms:modified xsi:type="dcterms:W3CDTF">2026-03-30T20:11:38.877Z</dcterms:modified>
</cp:coreProperties>
</file>

<file path=docProps/custom.xml><?xml version="1.0" encoding="utf-8"?>
<Properties xmlns="http://schemas.openxmlformats.org/officeDocument/2006/custom-properties" xmlns:vt="http://schemas.openxmlformats.org/officeDocument/2006/docPropsVTypes"/>
</file>