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Calibri" w:hAnsi="Calibri"/>
          <w:b/>
          <w:color w:val="2F6F57"/>
          <w:sz w:val="20"/>
        </w:rPr>
        <w:t>PUZZLE GAME CONCEPT &amp; RESEARCH BRIEF</w:t>
      </w:r>
    </w:p>
    <w:p>
      <w:pPr>
        <w:spacing w:after="160"/>
        <w:jc w:val="center"/>
      </w:pPr>
      <w:r>
        <w:rPr>
          <w:rFonts w:ascii="Calibri" w:hAnsi="Calibri"/>
          <w:b/>
          <w:color w:val="0B2545"/>
          <w:sz w:val="64"/>
        </w:rPr>
        <w:t>Urban Field</w:t>
      </w:r>
    </w:p>
    <w:p>
      <w:pPr>
        <w:spacing w:after="440"/>
        <w:jc w:val="center"/>
      </w:pPr>
      <w:r>
        <w:rPr>
          <w:rFonts w:ascii="Calibri" w:hAnsi="Calibri"/>
          <w:i/>
          <w:color w:val="1F4D78"/>
          <w:sz w:val="30"/>
        </w:rPr>
        <w:t>A provably solvable city-reconstruction puzzle</w:t>
      </w:r>
    </w:p>
    <w:p>
      <w:pPr>
        <w:spacing w:after="1000"/>
        <w:ind w:left="936" w:right="936"/>
        <w:jc w:val="center"/>
      </w:pPr>
      <w:r>
        <w:rPr>
          <w:rFonts w:ascii="Calibri" w:hAnsi="Calibri"/>
          <w:color w:val="33485B"/>
          <w:sz w:val="24"/>
        </w:rPr>
        <w:t>Rebuild the hidden city that produced the resource map. Every building shapes its neighborhood; every block must return to balance.</w:t>
      </w:r>
    </w:p>
    <w:p>
      <w:pPr>
        <w:spacing w:after="60"/>
        <w:jc w:val="center"/>
      </w:pPr>
      <w:r>
        <w:rPr>
          <w:rFonts w:ascii="Calibri" w:hAnsi="Calibri"/>
          <w:b/>
          <w:color w:val="5D6B78"/>
          <w:sz w:val="21"/>
        </w:rPr>
        <w:t>Working design document</w:t>
      </w:r>
    </w:p>
    <w:p>
      <w:pPr>
        <w:jc w:val="center"/>
      </w:pPr>
      <w:r>
        <w:rPr>
          <w:rFonts w:ascii="Calibri" w:hAnsi="Calibri"/>
          <w:color w:val="5D6B78"/>
          <w:sz w:val="21"/>
        </w:rPr>
        <w:t>1 September 2026 · core-operator revision</w:t>
      </w:r>
    </w:p>
    <w:p>
      <w:r>
        <w:br w:type="page"/>
      </w:r>
    </w:p>
    <w:p>
      <w:pPr>
        <w:pStyle w:val="Heading1"/>
        <w:keepNext/>
        <w:keepLines/>
      </w:pPr>
      <w:r>
        <w:t>Executive summary</w:t>
      </w:r>
    </w:p>
    <w:p>
      <w:r>
        <w:rPr>
          <w:rFonts w:ascii="Calibri" w:hAnsi="Calibri"/>
          <w:b/>
          <w:color w:val="0B2545"/>
        </w:rPr>
        <w:t>Urban Field</w:t>
      </w:r>
      <w:r>
        <w:rPr>
          <w:rFonts w:ascii="Calibri" w:hAnsi="Calibri"/>
        </w:rPr>
        <w:t xml:space="preserve"> is a compact spatial logic game in which the player receives a fixed inventory of civic buildings and a grid of per-cell resource targets. Sources create resources, sinks absorb them, converters exchange one resource for another, and transporters relocate them through visible directional footprints. The puzzle is solved when the combined influence of all placed buildings exactly matches the displayed field.</w:t>
      </w:r>
    </w:p>
    <w:p>
      <w:pPr>
        <w:spacing w:before="120" w:after="200" w:line="276" w:lineRule="auto"/>
        <w:ind w:left="230" w:right="173"/>
        <w:shd w:fill="EAF4EF"/>
        <w:pBdr>
          <w:left w:val="single" w:sz="18" w:space="8" w:color="2F6F57"/>
        </w:pBdr>
      </w:pPr>
      <w:r>
        <w:rPr>
          <w:rFonts w:ascii="Calibri" w:hAnsi="Calibri"/>
          <w:b/>
          <w:color w:val="2F6F57"/>
          <w:sz w:val="19"/>
        </w:rPr>
        <w:t xml:space="preserve">CORE INVENTION  </w:t>
      </w:r>
      <w:r>
        <w:rPr>
          <w:rFonts w:ascii="Calibri" w:hAnsi="Calibri"/>
          <w:color w:val="0B2545"/>
          <w:sz w:val="21"/>
        </w:rPr>
        <w:t>Generate a complete hidden city containing production, absorption, conversion, and transport; calculate the resource field it produces; remove the buildings; and ask the player to reconstruct the unique city through deduction.</w:t>
      </w:r>
    </w:p>
    <w:p>
      <w:pPr>
        <w:pStyle w:val="Heading2"/>
        <w:keepNext/>
        <w:keepLines/>
      </w:pPr>
      <w:r>
        <w:t>Design pillars</w:t>
      </w:r>
    </w:p>
    <w:p>
      <w:pPr>
        <w:numPr>
          <w:ilvl w:val="0"/>
          <w:numId w:val="10"/>
        </w:numPr>
      </w:pPr>
      <w:r>
        <w:rPr>
          <w:rFonts w:ascii="Calibri" w:hAnsi="Calibri"/>
          <w:b/>
        </w:rPr>
        <w:t>Tiny rules, deep overlap.</w:t>
      </w:r>
      <w:r>
        <w:rPr>
          <w:rFonts w:ascii="Calibri" w:hAnsi="Calibri"/>
        </w:rPr>
        <w:t xml:space="preserve"> Each building should be explainable in one sentence; complexity comes from overlapping effects.</w:t>
      </w:r>
    </w:p>
    <w:p>
      <w:pPr>
        <w:numPr>
          <w:ilvl w:val="0"/>
          <w:numId w:val="10"/>
        </w:numPr>
      </w:pPr>
      <w:r>
        <w:rPr>
          <w:rFonts w:ascii="Calibri" w:hAnsi="Calibri"/>
          <w:b/>
        </w:rPr>
        <w:t>Provable instances.</w:t>
      </w:r>
      <w:r>
        <w:rPr>
          <w:rFonts w:ascii="Calibri" w:hAnsi="Calibri"/>
        </w:rPr>
        <w:t xml:space="preserve"> Every released puzzle has a solution, a uniqueness certificate, and a deduction-only trace.</w:t>
      </w:r>
    </w:p>
    <w:p>
      <w:pPr>
        <w:numPr>
          <w:ilvl w:val="0"/>
          <w:numId w:val="10"/>
        </w:numPr>
      </w:pPr>
      <w:r>
        <w:rPr>
          <w:rFonts w:ascii="Calibri" w:hAnsi="Calibri"/>
          <w:b/>
        </w:rPr>
        <w:t>City logic, not city decoration.</w:t>
      </w:r>
      <w:r>
        <w:rPr>
          <w:rFonts w:ascii="Calibri" w:hAnsi="Calibri"/>
        </w:rPr>
        <w:t xml:space="preserve"> Production, consumption, conversion, transport, and terrain must create deductions rather than merely supply theme.</w:t>
      </w:r>
    </w:p>
    <w:p>
      <w:pPr>
        <w:numPr>
          <w:ilvl w:val="0"/>
          <w:numId w:val="10"/>
        </w:numPr>
      </w:pPr>
      <w:r>
        <w:rPr>
          <w:rFonts w:ascii="Calibri" w:hAnsi="Calibri"/>
          <w:b/>
        </w:rPr>
        <w:t>Visible causality.</w:t>
      </w:r>
      <w:r>
        <w:rPr>
          <w:rFonts w:ascii="Calibri" w:hAnsi="Calibri"/>
        </w:rPr>
        <w:t xml:space="preserve"> The player can always inspect exactly which cells a building would affect.</w:t>
      </w:r>
    </w:p>
    <w:p>
      <w:pPr>
        <w:numPr>
          <w:ilvl w:val="0"/>
          <w:numId w:val="10"/>
        </w:numPr>
      </w:pPr>
      <w:r>
        <w:rPr>
          <w:rFonts w:ascii="Calibri" w:hAnsi="Calibri"/>
          <w:b/>
        </w:rPr>
        <w:t>A rewarding reveal.</w:t>
      </w:r>
      <w:r>
        <w:rPr>
          <w:rFonts w:ascii="Calibri" w:hAnsi="Calibri"/>
        </w:rPr>
        <w:t xml:space="preserve"> Correct infrastructure causes the abstract board to bloom into a living miniature city.</w:t>
      </w:r>
    </w:p>
    <w:p>
      <w:pPr>
        <w:pStyle w:val="Heading2"/>
        <w:keepNext/>
        <w:keepLines/>
      </w:pPr>
      <w:r>
        <w:t>The player experience</w:t>
      </w:r>
    </w:p>
    <w:p>
      <w:pPr>
        <w:numPr>
          <w:ilvl w:val="0"/>
          <w:numId w:val="11"/>
        </w:numPr>
      </w:pPr>
      <w:r>
        <w:rPr>
          <w:rFonts w:ascii="Calibri" w:hAnsi="Calibri"/>
          <w:b/>
        </w:rPr>
        <w:t>Read the field.</w:t>
      </w:r>
      <w:r>
        <w:rPr>
          <w:rFonts w:ascii="Calibri" w:hAnsi="Calibri"/>
        </w:rPr>
        <w:t xml:space="preserve"> Identify peaks, boundaries, conversions, directional transfers, and suspicious cancellations.</w:t>
      </w:r>
    </w:p>
    <w:p>
      <w:pPr>
        <w:numPr>
          <w:ilvl w:val="0"/>
          <w:numId w:val="11"/>
        </w:numPr>
      </w:pPr>
      <w:r>
        <w:rPr>
          <w:rFonts w:ascii="Calibri" w:hAnsi="Calibri"/>
          <w:b/>
        </w:rPr>
        <w:t>Test candidates.</w:t>
      </w:r>
      <w:r>
        <w:rPr>
          <w:rFonts w:ascii="Calibri" w:hAnsi="Calibri"/>
        </w:rPr>
        <w:t xml:space="preserve"> Preview a building's complete influence footprint before committing it.</w:t>
      </w:r>
    </w:p>
    <w:p>
      <w:pPr>
        <w:numPr>
          <w:ilvl w:val="0"/>
          <w:numId w:val="11"/>
        </w:numPr>
      </w:pPr>
      <w:r>
        <w:rPr>
          <w:rFonts w:ascii="Calibri" w:hAnsi="Calibri"/>
          <w:b/>
        </w:rPr>
        <w:t>Place and propagate.</w:t>
      </w:r>
      <w:r>
        <w:rPr>
          <w:rFonts w:ascii="Calibri" w:hAnsi="Calibri"/>
        </w:rPr>
        <w:t xml:space="preserve"> A placed building updates every source, sink, conversion, intake, and output cell in its footprint.</w:t>
      </w:r>
    </w:p>
    <w:p>
      <w:pPr>
        <w:numPr>
          <w:ilvl w:val="0"/>
          <w:numId w:val="11"/>
        </w:numPr>
      </w:pPr>
      <w:r>
        <w:rPr>
          <w:rFonts w:ascii="Calibri" w:hAnsi="Calibri"/>
          <w:b/>
        </w:rPr>
        <w:t>Use inventory logic.</w:t>
      </w:r>
      <w:r>
        <w:rPr>
          <w:rFonts w:ascii="Calibri" w:hAnsi="Calibri"/>
        </w:rPr>
        <w:t xml:space="preserve"> Remaining pieces constrain what combinations are still possible.</w:t>
      </w:r>
    </w:p>
    <w:p>
      <w:pPr>
        <w:numPr>
          <w:ilvl w:val="0"/>
          <w:numId w:val="11"/>
        </w:numPr>
      </w:pPr>
      <w:r>
        <w:rPr>
          <w:rFonts w:ascii="Calibri" w:hAnsi="Calibri"/>
          <w:b/>
        </w:rPr>
        <w:t>Balance the city.</w:t>
      </w:r>
      <w:r>
        <w:rPr>
          <w:rFonts w:ascii="Calibri" w:hAnsi="Calibri"/>
        </w:rPr>
        <w:t xml:space="preserve"> Every resource in every cell reaches its exact target, with no deficit or excess.</w:t>
      </w:r>
    </w:p>
    <w:p>
      <w:pPr>
        <w:pStyle w:val="Heading1"/>
        <w:keepNext/>
        <w:keepLines/>
      </w:pPr>
      <w:r>
        <w:t>1. Core mathematical model</w:t>
      </w:r>
    </w:p>
    <w:p>
      <w:r>
        <w:rPr>
          <w:b w:val="0"/>
        </w:rPr>
        <w:t xml:space="preserve">Every cell </w:t>
      </w:r>
      <w:r>
        <w:rPr>
          <w:rFonts w:ascii="Calibri" w:hAnsi="Calibri"/>
          <w:i/>
        </w:rPr>
        <w:t>c</w:t>
      </w:r>
      <w:r>
        <w:t xml:space="preserve"> has a target resource vector:</w:t>
      </w:r>
    </w:p>
    <w:p>
      <w:pPr>
        <w:spacing w:before="60" w:after="160"/>
        <w:jc w:val="center"/>
      </w:pPr>
      <w:r>
        <w:rPr>
          <w:rFonts w:ascii="Cambria Math" w:hAnsi="Cambria Math"/>
          <w:i/>
          <w:color w:val="0B2545"/>
          <w:sz w:val="23"/>
        </w:rPr>
        <w:t>R(c) = (electricity, food, sanitation, nature, …)</w:t>
      </w:r>
    </w:p>
    <w:p>
      <w:r>
        <w:t>Each building type has a signed, vector-valued spatial effect pattern, or kernel. Orientation o is part of the placement state for directional transporters. If x(b,p,o) records whether building type b is placed at position p with orientation o, the resulting value for resource k at cell c is:</w:t>
      </w:r>
    </w:p>
    <w:p>
      <w:pPr>
        <w:spacing w:before="60" w:after="160"/>
        <w:jc w:val="center"/>
      </w:pPr>
      <w:r>
        <w:rPr>
          <w:rFonts w:ascii="Cambria Math" w:hAnsi="Cambria Math"/>
          <w:i/>
          <w:color w:val="0B2545"/>
          <w:sz w:val="23"/>
        </w:rPr>
        <w:t>F(c,k) = Σ  x(b,p,o) · K(b,o,k,c−p)</w:t>
      </w:r>
    </w:p>
    <w:p>
      <w:r>
        <w:t>The puzzle is complete when the generated field matches the target everywhere:</w:t>
      </w:r>
    </w:p>
    <w:p>
      <w:pPr>
        <w:spacing w:before="60" w:after="160"/>
        <w:jc w:val="center"/>
      </w:pPr>
      <w:r>
        <w:rPr>
          <w:rFonts w:ascii="Cambria Math" w:hAnsi="Cambria Math"/>
          <w:i/>
          <w:color w:val="0B2545"/>
          <w:sz w:val="23"/>
        </w:rPr>
        <w:t>F(c,k) = R(c,k)   for every cell c and resource k</w:t>
      </w:r>
    </w:p>
    <w:p>
      <w:pPr>
        <w:pStyle w:val="Heading2"/>
        <w:keepNext/>
        <w:keepLines/>
      </w:pPr>
      <w:r>
        <w:t>Four core operator families</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350"/>
        <w:gridCol w:w="2250"/>
        <w:gridCol w:w="3450"/>
        <w:gridCol w:w="2310"/>
      </w:tblGrid>
      <w:tr>
        <w:trPr>
          <w:tblHeader w:val="true"/>
          <w:cantSplit/>
        </w:trPr>
        <w:tc>
          <w:tcPr>
            <w:tcW w:type="dxa" w:w="135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Operator</w:t>
            </w:r>
          </w:p>
        </w:tc>
        <w:tc>
          <w:tcPr>
            <w:tcW w:type="dxa" w:w="225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Function</w:t>
            </w:r>
          </w:p>
        </w:tc>
        <w:tc>
          <w:tcPr>
            <w:tcW w:type="dxa" w:w="345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City examples</w:t>
            </w:r>
          </w:p>
        </w:tc>
        <w:tc>
          <w:tcPr>
            <w:tcW w:type="dxa" w:w="231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Onboarding phase</w:t>
            </w:r>
          </w:p>
        </w:tc>
      </w:tr>
      <w:tr>
        <w:trPr>
          <w:cantSplit/>
        </w:trPr>
        <w:tc>
          <w:tcPr>
            <w:tcW w:type="dxa" w:w="1350"/>
          </w:tcPr>
          <w:p>
            <w:pPr>
              <w:spacing w:before="0" w:after="0" w:line="259" w:lineRule="auto"/>
            </w:pPr>
            <w:r>
              <w:rPr>
                <w:rFonts w:ascii="Calibri" w:hAnsi="Calibri"/>
                <w:color w:val="222222"/>
                <w:sz w:val="17"/>
              </w:rPr>
              <w:t>Source</w:t>
            </w:r>
          </w:p>
        </w:tc>
        <w:tc>
          <w:tcPr>
            <w:tcW w:type="dxa" w:w="2250"/>
          </w:tcPr>
          <w:p>
            <w:pPr>
              <w:spacing w:before="0" w:after="0" w:line="259" w:lineRule="auto"/>
            </w:pPr>
            <w:r>
              <w:rPr>
                <w:rFonts w:ascii="Calibri" w:hAnsi="Calibri"/>
                <w:color w:val="222222"/>
                <w:sz w:val="17"/>
              </w:rPr>
              <w:t>Adds a resource within a visible footprint</w:t>
            </w:r>
          </w:p>
        </w:tc>
        <w:tc>
          <w:tcPr>
            <w:tcW w:type="dxa" w:w="3450"/>
          </w:tcPr>
          <w:p>
            <w:pPr>
              <w:spacing w:before="0" w:after="0" w:line="259" w:lineRule="auto"/>
            </w:pPr>
            <w:r>
              <w:rPr>
                <w:rFonts w:ascii="Calibri" w:hAnsi="Calibri"/>
                <w:color w:val="222222"/>
                <w:sz w:val="17"/>
              </w:rPr>
              <w:t>Solar plant, park, farm, treatment plant</w:t>
            </w:r>
          </w:p>
        </w:tc>
        <w:tc>
          <w:tcPr>
            <w:tcW w:type="dxa" w:w="2310"/>
          </w:tcPr>
          <w:p>
            <w:pPr>
              <w:spacing w:before="0" w:after="0" w:line="259" w:lineRule="auto"/>
            </w:pPr>
            <w:r>
              <w:rPr>
                <w:rFonts w:ascii="Calibri" w:hAnsi="Calibri"/>
                <w:color w:val="222222"/>
                <w:sz w:val="17"/>
              </w:rPr>
              <w:t>Tutorial 1</w:t>
            </w:r>
          </w:p>
        </w:tc>
      </w:tr>
      <w:tr>
        <w:trPr>
          <w:cantSplit/>
        </w:trPr>
        <w:tc>
          <w:tcPr>
            <w:tcW w:type="dxa" w:w="1350"/>
          </w:tcPr>
          <w:p>
            <w:pPr>
              <w:spacing w:before="0" w:after="0" w:line="259" w:lineRule="auto"/>
            </w:pPr>
            <w:r>
              <w:rPr>
                <w:rFonts w:ascii="Calibri" w:hAnsi="Calibri"/>
                <w:color w:val="222222"/>
                <w:sz w:val="17"/>
              </w:rPr>
              <w:t>Sink</w:t>
            </w:r>
          </w:p>
        </w:tc>
        <w:tc>
          <w:tcPr>
            <w:tcW w:type="dxa" w:w="2250"/>
          </w:tcPr>
          <w:p>
            <w:pPr>
              <w:spacing w:before="0" w:after="0" w:line="259" w:lineRule="auto"/>
            </w:pPr>
            <w:r>
              <w:rPr>
                <w:rFonts w:ascii="Calibri" w:hAnsi="Calibri"/>
                <w:color w:val="222222"/>
                <w:sz w:val="17"/>
              </w:rPr>
              <w:t>Subtracts or absorbs a resource</w:t>
            </w:r>
          </w:p>
        </w:tc>
        <w:tc>
          <w:tcPr>
            <w:tcW w:type="dxa" w:w="3450"/>
          </w:tcPr>
          <w:p>
            <w:pPr>
              <w:spacing w:before="0" w:after="0" w:line="259" w:lineRule="auto"/>
            </w:pPr>
            <w:r>
              <w:rPr>
                <w:rFonts w:ascii="Calibri" w:hAnsi="Calibri"/>
                <w:color w:val="222222"/>
                <w:sz w:val="17"/>
              </w:rPr>
              <w:t>Battery, warehouse, wetland</w:t>
            </w:r>
          </w:p>
        </w:tc>
        <w:tc>
          <w:tcPr>
            <w:tcW w:type="dxa" w:w="2310"/>
          </w:tcPr>
          <w:p>
            <w:pPr>
              <w:spacing w:before="0" w:after="0" w:line="259" w:lineRule="auto"/>
            </w:pPr>
            <w:r>
              <w:rPr>
                <w:rFonts w:ascii="Calibri" w:hAnsi="Calibri"/>
                <w:color w:val="222222"/>
                <w:sz w:val="17"/>
              </w:rPr>
              <w:t>Tutorial 2</w:t>
            </w:r>
          </w:p>
        </w:tc>
      </w:tr>
      <w:tr>
        <w:trPr>
          <w:cantSplit/>
        </w:trPr>
        <w:tc>
          <w:tcPr>
            <w:tcW w:type="dxa" w:w="1350"/>
          </w:tcPr>
          <w:p>
            <w:pPr>
              <w:spacing w:before="0" w:after="0" w:line="259" w:lineRule="auto"/>
            </w:pPr>
            <w:r>
              <w:rPr>
                <w:rFonts w:ascii="Calibri" w:hAnsi="Calibri"/>
                <w:color w:val="222222"/>
                <w:sz w:val="17"/>
              </w:rPr>
              <w:t>Converter</w:t>
            </w:r>
          </w:p>
        </w:tc>
        <w:tc>
          <w:tcPr>
            <w:tcW w:type="dxa" w:w="2250"/>
          </w:tcPr>
          <w:p>
            <w:pPr>
              <w:spacing w:before="0" w:after="0" w:line="259" w:lineRule="auto"/>
            </w:pPr>
            <w:r>
              <w:rPr>
                <w:rFonts w:ascii="Calibri" w:hAnsi="Calibri"/>
                <w:color w:val="222222"/>
                <w:sz w:val="17"/>
              </w:rPr>
              <w:t>Consumes one resource and produces another in one fixed effect</w:t>
            </w:r>
          </w:p>
        </w:tc>
        <w:tc>
          <w:tcPr>
            <w:tcW w:type="dxa" w:w="3450"/>
          </w:tcPr>
          <w:p>
            <w:pPr>
              <w:spacing w:before="0" w:after="0" w:line="259" w:lineRule="auto"/>
            </w:pPr>
            <w:r>
              <w:rPr>
                <w:rFonts w:ascii="Calibri" w:hAnsi="Calibri"/>
                <w:color w:val="222222"/>
                <w:sz w:val="17"/>
              </w:rPr>
              <w:t>Greenhouse, recycling centre, biogas plant</w:t>
            </w:r>
          </w:p>
        </w:tc>
        <w:tc>
          <w:tcPr>
            <w:tcW w:type="dxa" w:w="2310"/>
          </w:tcPr>
          <w:p>
            <w:pPr>
              <w:spacing w:before="0" w:after="0" w:line="259" w:lineRule="auto"/>
            </w:pPr>
            <w:r>
              <w:rPr>
                <w:rFonts w:ascii="Calibri" w:hAnsi="Calibri"/>
                <w:color w:val="222222"/>
                <w:sz w:val="17"/>
              </w:rPr>
              <w:t>Tutorial 3</w:t>
            </w:r>
          </w:p>
        </w:tc>
      </w:tr>
      <w:tr>
        <w:trPr>
          <w:cantSplit/>
        </w:trPr>
        <w:tc>
          <w:tcPr>
            <w:tcW w:type="dxa" w:w="1350"/>
          </w:tcPr>
          <w:p>
            <w:pPr>
              <w:spacing w:before="0" w:after="0" w:line="259" w:lineRule="auto"/>
            </w:pPr>
            <w:r>
              <w:rPr>
                <w:rFonts w:ascii="Calibri" w:hAnsi="Calibri"/>
                <w:color w:val="222222"/>
                <w:sz w:val="17"/>
              </w:rPr>
              <w:t>Transporter</w:t>
            </w:r>
          </w:p>
        </w:tc>
        <w:tc>
          <w:tcPr>
            <w:tcW w:type="dxa" w:w="2250"/>
          </w:tcPr>
          <w:p>
            <w:pPr>
              <w:spacing w:before="0" w:after="0" w:line="259" w:lineRule="auto"/>
            </w:pPr>
            <w:r>
              <w:rPr>
                <w:rFonts w:ascii="Calibri" w:hAnsi="Calibri"/>
                <w:color w:val="222222"/>
                <w:sz w:val="17"/>
              </w:rPr>
              <w:t>Removes at visible intake cells and adds at visible output cells</w:t>
            </w:r>
          </w:p>
        </w:tc>
        <w:tc>
          <w:tcPr>
            <w:tcW w:type="dxa" w:w="3450"/>
          </w:tcPr>
          <w:p>
            <w:pPr>
              <w:spacing w:before="0" w:after="0" w:line="259" w:lineRule="auto"/>
            </w:pPr>
            <w:r>
              <w:rPr>
                <w:rFonts w:ascii="Calibri" w:hAnsi="Calibri"/>
                <w:color w:val="222222"/>
                <w:sz w:val="17"/>
              </w:rPr>
              <w:t>Substation, depot, pump, transit hub</w:t>
            </w:r>
          </w:p>
        </w:tc>
        <w:tc>
          <w:tcPr>
            <w:tcW w:type="dxa" w:w="2310"/>
          </w:tcPr>
          <w:p>
            <w:pPr>
              <w:spacing w:before="0" w:after="0" w:line="259" w:lineRule="auto"/>
            </w:pPr>
            <w:r>
              <w:rPr>
                <w:rFonts w:ascii="Calibri" w:hAnsi="Calibri"/>
                <w:color w:val="222222"/>
                <w:sz w:val="17"/>
              </w:rPr>
              <w:t>Tutorial 4</w:t>
            </w:r>
          </w:p>
        </w:tc>
      </w:tr>
    </w:tbl>
    <w:p>
      <w:pPr>
        <w:spacing w:after="40"/>
      </w:pPr>
    </w:p>
    <w:p>
      <w:pPr>
        <w:spacing w:before="120" w:after="200" w:line="276" w:lineRule="auto"/>
        <w:ind w:left="230" w:right="173"/>
        <w:shd w:fill="F4F6F9"/>
        <w:pBdr>
          <w:left w:val="single" w:sz="18" w:space="8" w:color="2E74B5"/>
        </w:pBdr>
      </w:pPr>
      <w:r>
        <w:rPr>
          <w:rFonts w:ascii="Calibri" w:hAnsi="Calibri"/>
          <w:b/>
          <w:color w:val="2E74B5"/>
          <w:sz w:val="19"/>
        </w:rPr>
        <w:t xml:space="preserve">CORE RULE CONTRACT  </w:t>
      </w:r>
      <w:r>
        <w:rPr>
          <w:rFonts w:ascii="Calibri" w:hAnsi="Calibri"/>
          <w:color w:val="0B2545"/>
          <w:sz w:val="21"/>
        </w:rPr>
        <w:t>All four operators resolve simultaneously as signed footprints. A converter has fixed input and output amounts; a transporter's orientation, intake, and output are visible. Avoid placement-order rules, hidden priorities, saturation, and adaptive pathfinding in the first implementation.</w:t>
      </w:r>
    </w:p>
    <w:p>
      <w:pPr>
        <w:pStyle w:val="Heading1"/>
        <w:keepNext/>
        <w:keepLines/>
      </w:pPr>
      <w:r>
        <w:t>2. What is—and is not—proved</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550"/>
        <w:gridCol w:w="3600"/>
        <w:gridCol w:w="4210"/>
      </w:tblGrid>
      <w:tr>
        <w:trPr>
          <w:tblHeader w:val="true"/>
          <w:cantSplit/>
        </w:trPr>
        <w:tc>
          <w:tcPr>
            <w:tcW w:type="dxa" w:w="155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Property</w:t>
            </w:r>
          </w:p>
        </w:tc>
        <w:tc>
          <w:tcPr>
            <w:tcW w:type="dxa" w:w="360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Meaning</w:t>
            </w:r>
          </w:p>
        </w:tc>
        <w:tc>
          <w:tcPr>
            <w:tcW w:type="dxa" w:w="421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How it is established</w:t>
            </w:r>
          </w:p>
        </w:tc>
      </w:tr>
      <w:tr>
        <w:trPr>
          <w:cantSplit/>
        </w:trPr>
        <w:tc>
          <w:tcPr>
            <w:tcW w:type="dxa" w:w="1550"/>
          </w:tcPr>
          <w:p>
            <w:pPr>
              <w:spacing w:before="0" w:after="0" w:line="259" w:lineRule="auto"/>
            </w:pPr>
            <w:r>
              <w:rPr>
                <w:rFonts w:ascii="Calibri" w:hAnsi="Calibri"/>
                <w:color w:val="222222"/>
                <w:sz w:val="18"/>
              </w:rPr>
              <w:t>Deterministic</w:t>
            </w:r>
          </w:p>
        </w:tc>
        <w:tc>
          <w:tcPr>
            <w:tcW w:type="dxa" w:w="3600"/>
          </w:tcPr>
          <w:p>
            <w:pPr>
              <w:spacing w:before="0" w:after="0" w:line="259" w:lineRule="auto"/>
            </w:pPr>
            <w:r>
              <w:rPr>
                <w:rFonts w:ascii="Calibri" w:hAnsi="Calibri"/>
                <w:color w:val="222222"/>
                <w:sz w:val="18"/>
              </w:rPr>
              <w:t>The same placement always produces the same field.</w:t>
            </w:r>
          </w:p>
        </w:tc>
        <w:tc>
          <w:tcPr>
            <w:tcW w:type="dxa" w:w="4210"/>
          </w:tcPr>
          <w:p>
            <w:pPr>
              <w:spacing w:before="0" w:after="0" w:line="259" w:lineRule="auto"/>
            </w:pPr>
            <w:r>
              <w:rPr>
                <w:rFonts w:ascii="Calibri" w:hAnsi="Calibri"/>
                <w:color w:val="222222"/>
                <w:sz w:val="18"/>
              </w:rPr>
              <w:t>Use fixed, simultaneous building-effect rules.</w:t>
            </w:r>
          </w:p>
        </w:tc>
      </w:tr>
      <w:tr>
        <w:trPr>
          <w:cantSplit/>
        </w:trPr>
        <w:tc>
          <w:tcPr>
            <w:tcW w:type="dxa" w:w="1550"/>
          </w:tcPr>
          <w:p>
            <w:pPr>
              <w:spacing w:before="0" w:after="0" w:line="259" w:lineRule="auto"/>
            </w:pPr>
            <w:r>
              <w:rPr>
                <w:rFonts w:ascii="Calibri" w:hAnsi="Calibri"/>
                <w:color w:val="222222"/>
                <w:sz w:val="18"/>
              </w:rPr>
              <w:t>Solvable</w:t>
            </w:r>
          </w:p>
        </w:tc>
        <w:tc>
          <w:tcPr>
            <w:tcW w:type="dxa" w:w="3600"/>
          </w:tcPr>
          <w:p>
            <w:pPr>
              <w:spacing w:before="0" w:after="0" w:line="259" w:lineRule="auto"/>
            </w:pPr>
            <w:r>
              <w:rPr>
                <w:rFonts w:ascii="Calibri" w:hAnsi="Calibri"/>
                <w:color w:val="222222"/>
                <w:sz w:val="18"/>
              </w:rPr>
              <w:t>At least one legal placement reproduces the target field.</w:t>
            </w:r>
          </w:p>
        </w:tc>
        <w:tc>
          <w:tcPr>
            <w:tcW w:type="dxa" w:w="4210"/>
          </w:tcPr>
          <w:p>
            <w:pPr>
              <w:spacing w:before="0" w:after="0" w:line="259" w:lineRule="auto"/>
            </w:pPr>
            <w:r>
              <w:rPr>
                <w:rFonts w:ascii="Calibri" w:hAnsi="Calibri"/>
                <w:color w:val="222222"/>
                <w:sz w:val="18"/>
              </w:rPr>
              <w:t>The hidden generated city is a constructive witness.</w:t>
            </w:r>
          </w:p>
        </w:tc>
      </w:tr>
      <w:tr>
        <w:trPr>
          <w:cantSplit/>
        </w:trPr>
        <w:tc>
          <w:tcPr>
            <w:tcW w:type="dxa" w:w="1550"/>
          </w:tcPr>
          <w:p>
            <w:pPr>
              <w:spacing w:before="0" w:after="0" w:line="259" w:lineRule="auto"/>
            </w:pPr>
            <w:r>
              <w:rPr>
                <w:rFonts w:ascii="Calibri" w:hAnsi="Calibri"/>
                <w:color w:val="222222"/>
                <w:sz w:val="18"/>
              </w:rPr>
              <w:t>Unique</w:t>
            </w:r>
          </w:p>
        </w:tc>
        <w:tc>
          <w:tcPr>
            <w:tcW w:type="dxa" w:w="3600"/>
          </w:tcPr>
          <w:p>
            <w:pPr>
              <w:spacing w:before="0" w:after="0" w:line="259" w:lineRule="auto"/>
            </w:pPr>
            <w:r>
              <w:rPr>
                <w:rFonts w:ascii="Calibri" w:hAnsi="Calibri"/>
                <w:color w:val="222222"/>
                <w:sz w:val="18"/>
              </w:rPr>
              <w:t>No different legal placement produces the same field.</w:t>
            </w:r>
          </w:p>
        </w:tc>
        <w:tc>
          <w:tcPr>
            <w:tcW w:type="dxa" w:w="4210"/>
          </w:tcPr>
          <w:p>
            <w:pPr>
              <w:spacing w:before="0" w:after="0" w:line="259" w:lineRule="auto"/>
            </w:pPr>
            <w:r>
              <w:rPr>
                <w:rFonts w:ascii="Calibri" w:hAnsi="Calibri"/>
                <w:color w:val="222222"/>
                <w:sz w:val="18"/>
              </w:rPr>
              <w:t>Search for a second solution after excluding the generated city.</w:t>
            </w:r>
          </w:p>
        </w:tc>
      </w:tr>
      <w:tr>
        <w:trPr>
          <w:cantSplit/>
        </w:trPr>
        <w:tc>
          <w:tcPr>
            <w:tcW w:type="dxa" w:w="1550"/>
          </w:tcPr>
          <w:p>
            <w:pPr>
              <w:spacing w:before="0" w:after="0" w:line="259" w:lineRule="auto"/>
            </w:pPr>
            <w:r>
              <w:rPr>
                <w:rFonts w:ascii="Calibri" w:hAnsi="Calibri"/>
                <w:color w:val="222222"/>
                <w:sz w:val="18"/>
              </w:rPr>
              <w:t>Deduction-solvable</w:t>
            </w:r>
          </w:p>
        </w:tc>
        <w:tc>
          <w:tcPr>
            <w:tcW w:type="dxa" w:w="3600"/>
          </w:tcPr>
          <w:p>
            <w:pPr>
              <w:spacing w:before="0" w:after="0" w:line="259" w:lineRule="auto"/>
            </w:pPr>
            <w:r>
              <w:rPr>
                <w:rFonts w:ascii="Calibri" w:hAnsi="Calibri"/>
                <w:color w:val="222222"/>
                <w:sz w:val="18"/>
              </w:rPr>
              <w:t>The intended player can finish without speculative branching.</w:t>
            </w:r>
          </w:p>
        </w:tc>
        <w:tc>
          <w:tcPr>
            <w:tcW w:type="dxa" w:w="4210"/>
          </w:tcPr>
          <w:p>
            <w:pPr>
              <w:spacing w:before="0" w:after="0" w:line="259" w:lineRule="auto"/>
            </w:pPr>
            <w:r>
              <w:rPr>
                <w:rFonts w:ascii="Calibri" w:hAnsi="Calibri"/>
                <w:color w:val="222222"/>
                <w:sz w:val="18"/>
              </w:rPr>
              <w:t>Run a restricted human-style solver and inspect its trace.</w:t>
            </w:r>
          </w:p>
        </w:tc>
      </w:tr>
      <w:tr>
        <w:trPr>
          <w:cantSplit/>
        </w:trPr>
        <w:tc>
          <w:tcPr>
            <w:tcW w:type="dxa" w:w="1550"/>
          </w:tcPr>
          <w:p>
            <w:pPr>
              <w:spacing w:before="0" w:after="0" w:line="259" w:lineRule="auto"/>
            </w:pPr>
            <w:r>
              <w:rPr>
                <w:rFonts w:ascii="Calibri" w:hAnsi="Calibri"/>
                <w:color w:val="222222"/>
                <w:sz w:val="18"/>
              </w:rPr>
              <w:t>Enjoyable</w:t>
            </w:r>
          </w:p>
        </w:tc>
        <w:tc>
          <w:tcPr>
            <w:tcW w:type="dxa" w:w="3600"/>
          </w:tcPr>
          <w:p>
            <w:pPr>
              <w:spacing w:before="0" w:after="0" w:line="259" w:lineRule="auto"/>
            </w:pPr>
            <w:r>
              <w:rPr>
                <w:rFonts w:ascii="Calibri" w:hAnsi="Calibri"/>
                <w:color w:val="222222"/>
                <w:sz w:val="18"/>
              </w:rPr>
              <w:t>The trace contains varied discoveries rather than repetitive bookkeeping.</w:t>
            </w:r>
          </w:p>
        </w:tc>
        <w:tc>
          <w:tcPr>
            <w:tcW w:type="dxa" w:w="4210"/>
          </w:tcPr>
          <w:p>
            <w:pPr>
              <w:spacing w:before="0" w:after="0" w:line="259" w:lineRule="auto"/>
            </w:pPr>
            <w:r>
              <w:rPr>
                <w:rFonts w:ascii="Calibri" w:hAnsi="Calibri"/>
                <w:color w:val="222222"/>
                <w:sz w:val="18"/>
              </w:rPr>
              <w:t>Score traces, then calibrate against playtests.</w:t>
            </w:r>
          </w:p>
        </w:tc>
      </w:tr>
    </w:tbl>
    <w:p>
      <w:pPr>
        <w:spacing w:after="40"/>
      </w:pPr>
    </w:p>
    <w:p>
      <w:pPr>
        <w:pStyle w:val="Heading2"/>
        <w:keepNext/>
        <w:keepLines/>
      </w:pPr>
      <w:r>
        <w:t>Uniqueness test</w:t>
      </w:r>
    </w:p>
    <w:p>
      <w:r>
        <w:t>Write the complete resource model as a constrained system A·x = r, where x includes building position and any legal transporter orientation. Converter inputs and transporter intakes are negative coefficients; converter outputs and transporter deliveries are positive coefficients. After finding the generated placement x*, add a no-good constraint requiring at least one placement decision to differ, then solve again. If the modified system is infeasible, the solution is unique.</w:t>
      </w:r>
    </w:p>
    <w:p>
      <w:pPr>
        <w:spacing w:before="60" w:after="160"/>
        <w:jc w:val="center"/>
      </w:pPr>
      <w:r>
        <w:rPr>
          <w:rFonts w:ascii="Cambria Math" w:hAnsi="Cambria Math"/>
          <w:i/>
          <w:color w:val="0B2545"/>
          <w:sz w:val="23"/>
        </w:rPr>
        <w:t>If A·x = A·x*, then A·(x−x*) = 0</w:t>
      </w:r>
    </w:p>
    <w:p>
      <w:r>
        <w:t>Any nonzero legal difference x−x* that leaves the field unchanged is a reconstruction ambiguity. In discrete tomography this kind of invisible change is often called a ghost. Conversion and transport create especially expressive cancellations, so uniqueness testing is essential rather than optional.</w:t>
      </w:r>
    </w:p>
    <w:p>
      <w:pPr>
        <w:pStyle w:val="Heading2"/>
        <w:keepNext/>
        <w:keepLines/>
      </w:pPr>
      <w:r>
        <w:t>Puzzle acceptance pipeline</w:t>
      </w:r>
    </w:p>
    <w:p>
      <w:pPr>
        <w:numPr>
          <w:ilvl w:val="0"/>
          <w:numId w:val="12"/>
        </w:numPr>
      </w:pPr>
      <w:r>
        <w:rPr>
          <w:rFonts w:ascii="Calibri" w:hAnsi="Calibri"/>
          <w:b/>
        </w:rPr>
        <w:t>Generate</w:t>
      </w:r>
      <w:r>
        <w:rPr>
          <w:rFonts w:ascii="Calibri" w:hAnsi="Calibri"/>
        </w:rPr>
        <w:t xml:space="preserve"> a candidate city using the fixed building inventory.</w:t>
      </w:r>
    </w:p>
    <w:p>
      <w:pPr>
        <w:numPr>
          <w:ilvl w:val="0"/>
          <w:numId w:val="12"/>
        </w:numPr>
      </w:pPr>
      <w:r>
        <w:rPr>
          <w:rFonts w:ascii="Calibri" w:hAnsi="Calibri"/>
          <w:b/>
        </w:rPr>
        <w:t>Calculate</w:t>
      </w:r>
      <w:r>
        <w:rPr>
          <w:rFonts w:ascii="Calibri" w:hAnsi="Calibri"/>
        </w:rPr>
        <w:t xml:space="preserve"> its full resource field.</w:t>
      </w:r>
    </w:p>
    <w:p>
      <w:pPr>
        <w:numPr>
          <w:ilvl w:val="0"/>
          <w:numId w:val="12"/>
        </w:numPr>
      </w:pPr>
      <w:r>
        <w:rPr>
          <w:rFonts w:ascii="Calibri" w:hAnsi="Calibri"/>
          <w:b/>
        </w:rPr>
        <w:t>Verify</w:t>
      </w:r>
      <w:r>
        <w:rPr>
          <w:rFonts w:ascii="Calibri" w:hAnsi="Calibri"/>
        </w:rPr>
        <w:t xml:space="preserve"> that the field has exactly one legal reconstruction.</w:t>
      </w:r>
    </w:p>
    <w:p>
      <w:pPr>
        <w:numPr>
          <w:ilvl w:val="0"/>
          <w:numId w:val="12"/>
        </w:numPr>
      </w:pPr>
      <w:r>
        <w:rPr>
          <w:rFonts w:ascii="Calibri" w:hAnsi="Calibri"/>
          <w:b/>
        </w:rPr>
        <w:t>Run</w:t>
      </w:r>
      <w:r>
        <w:rPr>
          <w:rFonts w:ascii="Calibri" w:hAnsi="Calibri"/>
        </w:rPr>
        <w:t xml:space="preserve"> the human-style solver and reject instances requiring guesses.</w:t>
      </w:r>
    </w:p>
    <w:p>
      <w:pPr>
        <w:numPr>
          <w:ilvl w:val="0"/>
          <w:numId w:val="12"/>
        </w:numPr>
      </w:pPr>
      <w:r>
        <w:rPr>
          <w:rFonts w:ascii="Calibri" w:hAnsi="Calibri"/>
          <w:b/>
        </w:rPr>
        <w:t>Score</w:t>
      </w:r>
      <w:r>
        <w:rPr>
          <w:rFonts w:ascii="Calibri" w:hAnsi="Calibri"/>
        </w:rPr>
        <w:t xml:space="preserve"> the deduction trace for variety, bottlenecks, pacing, and scan burden.</w:t>
      </w:r>
    </w:p>
    <w:p>
      <w:pPr>
        <w:numPr>
          <w:ilvl w:val="0"/>
          <w:numId w:val="12"/>
        </w:numPr>
      </w:pPr>
      <w:r>
        <w:rPr>
          <w:rFonts w:ascii="Calibri" w:hAnsi="Calibri"/>
          <w:b/>
        </w:rPr>
        <w:t>Accept</w:t>
      </w:r>
      <w:r>
        <w:rPr>
          <w:rFonts w:ascii="Calibri" w:hAnsi="Calibri"/>
        </w:rPr>
        <w:t xml:space="preserve"> only puzzles meeting the target difficulty and visual-quality profile.</w:t>
      </w:r>
    </w:p>
    <w:p>
      <w:pPr>
        <w:pStyle w:val="Heading1"/>
        <w:keepNext/>
        <w:keepLines/>
      </w:pPr>
      <w:r>
        <w:t>3. Precedent landscape</w:t>
      </w:r>
    </w:p>
    <w:p>
      <w:r>
        <w:t>The concept has clear ancestors, which is useful: their deduction patterns and interfaces can be studied. The complete combination, however, appears to occupy a distinct design space.</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500"/>
        <w:gridCol w:w="2500"/>
        <w:gridCol w:w="2760"/>
        <w:gridCol w:w="2600"/>
      </w:tblGrid>
      <w:tr>
        <w:trPr>
          <w:tblHeader w:val="true"/>
          <w:cantSplit/>
        </w:trPr>
        <w:tc>
          <w:tcPr>
            <w:tcW w:type="dxa" w:w="1500"/>
            <w:tcMar>
              <w:top w:w="80" w:type="dxa"/>
              <w:start w:w="120" w:type="dxa"/>
              <w:bottom w:w="80" w:type="dxa"/>
              <w:end w:w="120" w:type="dxa"/>
            </w:tcMar>
            <w:vAlign w:val="center"/>
            <w:shd w:fill="E8EEF5"/>
          </w:tcPr>
          <w:p>
            <w:pPr>
              <w:spacing w:before="0" w:after="0" w:line="252" w:lineRule="auto"/>
            </w:pPr>
            <w:r>
              <w:rPr>
                <w:rFonts w:ascii="Calibri" w:hAnsi="Calibri"/>
                <w:b/>
                <w:color w:val="0B2545"/>
                <w:sz w:val="16"/>
              </w:rPr>
              <w:t>Reference</w:t>
            </w:r>
          </w:p>
        </w:tc>
        <w:tc>
          <w:tcPr>
            <w:tcW w:type="dxa" w:w="2500"/>
            <w:tcMar>
              <w:top w:w="80" w:type="dxa"/>
              <w:start w:w="120" w:type="dxa"/>
              <w:bottom w:w="80" w:type="dxa"/>
              <w:end w:w="120" w:type="dxa"/>
            </w:tcMar>
            <w:vAlign w:val="center"/>
            <w:shd w:fill="E8EEF5"/>
          </w:tcPr>
          <w:p>
            <w:pPr>
              <w:spacing w:before="0" w:after="0" w:line="252" w:lineRule="auto"/>
            </w:pPr>
            <w:r>
              <w:rPr>
                <w:rFonts w:ascii="Calibri" w:hAnsi="Calibri"/>
                <w:b/>
                <w:color w:val="0B2545"/>
                <w:sz w:val="16"/>
              </w:rPr>
              <w:t>Shared foundation</w:t>
            </w:r>
          </w:p>
        </w:tc>
        <w:tc>
          <w:tcPr>
            <w:tcW w:type="dxa" w:w="2760"/>
            <w:tcMar>
              <w:top w:w="80" w:type="dxa"/>
              <w:start w:w="120" w:type="dxa"/>
              <w:bottom w:w="80" w:type="dxa"/>
              <w:end w:w="120" w:type="dxa"/>
            </w:tcMar>
            <w:vAlign w:val="center"/>
            <w:shd w:fill="E8EEF5"/>
          </w:tcPr>
          <w:p>
            <w:pPr>
              <w:spacing w:before="0" w:after="0" w:line="252" w:lineRule="auto"/>
            </w:pPr>
            <w:r>
              <w:rPr>
                <w:rFonts w:ascii="Calibri" w:hAnsi="Calibri"/>
                <w:b/>
                <w:color w:val="0B2545"/>
                <w:sz w:val="16"/>
              </w:rPr>
              <w:t>Important difference</w:t>
            </w:r>
          </w:p>
        </w:tc>
        <w:tc>
          <w:tcPr>
            <w:tcW w:type="dxa" w:w="2600"/>
            <w:tcMar>
              <w:top w:w="80" w:type="dxa"/>
              <w:start w:w="120" w:type="dxa"/>
              <w:bottom w:w="80" w:type="dxa"/>
              <w:end w:w="120" w:type="dxa"/>
            </w:tcMar>
            <w:vAlign w:val="center"/>
            <w:shd w:fill="E8EEF5"/>
          </w:tcPr>
          <w:p>
            <w:pPr>
              <w:spacing w:before="0" w:after="0" w:line="252" w:lineRule="auto"/>
            </w:pPr>
            <w:r>
              <w:rPr>
                <w:rFonts w:ascii="Calibri" w:hAnsi="Calibri"/>
                <w:b/>
                <w:color w:val="0B2545"/>
                <w:sz w:val="16"/>
              </w:rPr>
              <w:t>Design lesson</w:t>
            </w:r>
          </w:p>
        </w:tc>
      </w:tr>
      <w:tr>
        <w:trPr>
          <w:cantSplit/>
        </w:trPr>
        <w:tc>
          <w:tcPr>
            <w:tcW w:type="dxa" w:w="1500"/>
          </w:tcPr>
          <w:p>
            <w:pPr>
              <w:spacing w:before="0" w:after="0" w:line="259" w:lineRule="auto"/>
            </w:pPr>
            <w:r>
              <w:rPr>
                <w:rFonts w:ascii="Calibri" w:hAnsi="Calibri"/>
                <w:color w:val="222222"/>
                <w:sz w:val="16"/>
              </w:rPr>
              <w:t>Mosaic / Fill-a-Pix</w:t>
            </w:r>
          </w:p>
        </w:tc>
        <w:tc>
          <w:tcPr>
            <w:tcW w:type="dxa" w:w="2500"/>
          </w:tcPr>
          <w:p>
            <w:pPr>
              <w:spacing w:before="0" w:after="0" w:line="259" w:lineRule="auto"/>
            </w:pPr>
            <w:r>
              <w:rPr>
                <w:rFonts w:ascii="Calibri" w:hAnsi="Calibri"/>
                <w:color w:val="222222"/>
                <w:sz w:val="16"/>
              </w:rPr>
              <w:t>Reconstruct a hidden binary grid from overlapping local sums.</w:t>
            </w:r>
          </w:p>
        </w:tc>
        <w:tc>
          <w:tcPr>
            <w:tcW w:type="dxa" w:w="2760"/>
          </w:tcPr>
          <w:p>
            <w:pPr>
              <w:spacing w:before="0" w:after="0" w:line="259" w:lineRule="auto"/>
            </w:pPr>
            <w:r>
              <w:rPr>
                <w:rFonts w:ascii="Calibri" w:hAnsi="Calibri"/>
                <w:color w:val="222222"/>
                <w:sz w:val="16"/>
              </w:rPr>
              <w:t>One object type, one channel, usually one 3×3 footprint.</w:t>
            </w:r>
          </w:p>
        </w:tc>
        <w:tc>
          <w:tcPr>
            <w:tcW w:type="dxa" w:w="2600"/>
          </w:tcPr>
          <w:p>
            <w:pPr>
              <w:spacing w:before="0" w:after="0" w:line="259" w:lineRule="auto"/>
            </w:pPr>
            <w:r>
              <w:rPr>
                <w:rFonts w:ascii="Calibri" w:hAnsi="Calibri"/>
                <w:color w:val="222222"/>
                <w:sz w:val="16"/>
              </w:rPr>
              <w:t>The closest mathematical ancestor; learn its overlap deductions.</w:t>
            </w:r>
          </w:p>
        </w:tc>
      </w:tr>
      <w:tr>
        <w:trPr>
          <w:cantSplit/>
        </w:trPr>
        <w:tc>
          <w:tcPr>
            <w:tcW w:type="dxa" w:w="1500"/>
          </w:tcPr>
          <w:p>
            <w:pPr>
              <w:spacing w:before="0" w:after="0" w:line="259" w:lineRule="auto"/>
            </w:pPr>
            <w:r>
              <w:rPr>
                <w:rFonts w:ascii="Calibri" w:hAnsi="Calibri"/>
                <w:color w:val="222222"/>
                <w:sz w:val="16"/>
              </w:rPr>
              <w:t>Minesweeper / Tametsi</w:t>
            </w:r>
          </w:p>
        </w:tc>
        <w:tc>
          <w:tcPr>
            <w:tcW w:type="dxa" w:w="2500"/>
          </w:tcPr>
          <w:p>
            <w:pPr>
              <w:spacing w:before="0" w:after="0" w:line="259" w:lineRule="auto"/>
            </w:pPr>
            <w:r>
              <w:rPr>
                <w:rFonts w:ascii="Calibri" w:hAnsi="Calibri"/>
                <w:color w:val="222222"/>
                <w:sz w:val="16"/>
              </w:rPr>
              <w:t>Infer hidden objects from local or regional counts.</w:t>
            </w:r>
          </w:p>
        </w:tc>
        <w:tc>
          <w:tcPr>
            <w:tcW w:type="dxa" w:w="2760"/>
          </w:tcPr>
          <w:p>
            <w:pPr>
              <w:spacing w:before="0" w:after="0" w:line="259" w:lineRule="auto"/>
            </w:pPr>
            <w:r>
              <w:rPr>
                <w:rFonts w:ascii="Calibri" w:hAnsi="Calibri"/>
                <w:color w:val="222222"/>
                <w:sz w:val="16"/>
              </w:rPr>
              <w:t>Usually one mine type; standard random play may require guessing.</w:t>
            </w:r>
          </w:p>
        </w:tc>
        <w:tc>
          <w:tcPr>
            <w:tcW w:type="dxa" w:w="2600"/>
          </w:tcPr>
          <w:p>
            <w:pPr>
              <w:spacing w:before="0" w:after="0" w:line="259" w:lineRule="auto"/>
            </w:pPr>
            <w:r>
              <w:rPr>
                <w:rFonts w:ascii="Calibri" w:hAnsi="Calibri"/>
                <w:color w:val="222222"/>
                <w:sz w:val="16"/>
              </w:rPr>
              <w:t>Use explicit clue footprints and a no-guess generator.</w:t>
            </w:r>
          </w:p>
        </w:tc>
      </w:tr>
      <w:tr>
        <w:trPr>
          <w:cantSplit/>
        </w:trPr>
        <w:tc>
          <w:tcPr>
            <w:tcW w:type="dxa" w:w="1500"/>
          </w:tcPr>
          <w:p>
            <w:pPr>
              <w:spacing w:before="0" w:after="0" w:line="259" w:lineRule="auto"/>
            </w:pPr>
            <w:r>
              <w:rPr>
                <w:rFonts w:ascii="Calibri" w:hAnsi="Calibri"/>
                <w:color w:val="222222"/>
                <w:sz w:val="16"/>
              </w:rPr>
              <w:t>Akari</w:t>
            </w:r>
          </w:p>
        </w:tc>
        <w:tc>
          <w:tcPr>
            <w:tcW w:type="dxa" w:w="2500"/>
          </w:tcPr>
          <w:p>
            <w:pPr>
              <w:spacing w:before="0" w:after="0" w:line="259" w:lineRule="auto"/>
            </w:pPr>
            <w:r>
              <w:rPr>
                <w:rFonts w:ascii="Calibri" w:hAnsi="Calibri"/>
                <w:color w:val="222222"/>
                <w:sz w:val="16"/>
              </w:rPr>
              <w:t>Place sources whose coverage must satisfy the whole grid.</w:t>
            </w:r>
          </w:p>
        </w:tc>
        <w:tc>
          <w:tcPr>
            <w:tcW w:type="dxa" w:w="2760"/>
          </w:tcPr>
          <w:p>
            <w:pPr>
              <w:spacing w:before="0" w:after="0" w:line="259" w:lineRule="auto"/>
            </w:pPr>
            <w:r>
              <w:rPr>
                <w:rFonts w:ascii="Calibri" w:hAnsi="Calibri"/>
                <w:color w:val="222222"/>
                <w:sz w:val="16"/>
              </w:rPr>
              <w:t>Coverage is mostly Boolean and uses blockers rather than resource sums.</w:t>
            </w:r>
          </w:p>
        </w:tc>
        <w:tc>
          <w:tcPr>
            <w:tcW w:type="dxa" w:w="2600"/>
          </w:tcPr>
          <w:p>
            <w:pPr>
              <w:spacing w:before="0" w:after="0" w:line="259" w:lineRule="auto"/>
            </w:pPr>
            <w:r>
              <w:rPr>
                <w:rFonts w:ascii="Calibri" w:hAnsi="Calibri"/>
                <w:color w:val="222222"/>
                <w:sz w:val="16"/>
              </w:rPr>
              <w:t>Long-range effects can stay readable when geometry is visible.</w:t>
            </w:r>
          </w:p>
        </w:tc>
      </w:tr>
      <w:tr>
        <w:trPr>
          <w:cantSplit/>
        </w:trPr>
        <w:tc>
          <w:tcPr>
            <w:tcW w:type="dxa" w:w="1500"/>
          </w:tcPr>
          <w:p>
            <w:pPr>
              <w:spacing w:before="0" w:after="0" w:line="259" w:lineRule="auto"/>
            </w:pPr>
            <w:r>
              <w:rPr>
                <w:rFonts w:ascii="Calibri" w:hAnsi="Calibri"/>
                <w:color w:val="222222"/>
                <w:sz w:val="16"/>
              </w:rPr>
              <w:t>Beacon</w:t>
            </w:r>
          </w:p>
        </w:tc>
        <w:tc>
          <w:tcPr>
            <w:tcW w:type="dxa" w:w="2500"/>
          </w:tcPr>
          <w:p>
            <w:pPr>
              <w:spacing w:before="0" w:after="0" w:line="259" w:lineRule="auto"/>
            </w:pPr>
            <w:r>
              <w:rPr>
                <w:rFonts w:ascii="Calibri" w:hAnsi="Calibri"/>
                <w:color w:val="222222"/>
                <w:sz w:val="16"/>
              </w:rPr>
              <w:t>Generate hidden beacons, compute readings, then reconstruct a satisfying placement.</w:t>
            </w:r>
          </w:p>
        </w:tc>
        <w:tc>
          <w:tcPr>
            <w:tcW w:type="dxa" w:w="2760"/>
          </w:tcPr>
          <w:p>
            <w:pPr>
              <w:spacing w:before="0" w:after="0" w:line="259" w:lineRule="auto"/>
            </w:pPr>
            <w:r>
              <w:rPr>
                <w:rFonts w:ascii="Calibri" w:hAnsi="Calibri"/>
                <w:color w:val="222222"/>
                <w:sz w:val="16"/>
              </w:rPr>
              <w:t>One object and one visibility measurement; any satisfying layout may count.</w:t>
            </w:r>
          </w:p>
        </w:tc>
        <w:tc>
          <w:tcPr>
            <w:tcW w:type="dxa" w:w="2600"/>
          </w:tcPr>
          <w:p>
            <w:pPr>
              <w:spacing w:before="0" w:after="0" w:line="259" w:lineRule="auto"/>
            </w:pPr>
            <w:r>
              <w:rPr>
                <w:rFonts w:ascii="Calibri" w:hAnsi="Calibri"/>
                <w:color w:val="222222"/>
                <w:sz w:val="16"/>
              </w:rPr>
              <w:t>Direct evidence that solution-first measurement generation is playable.</w:t>
            </w:r>
          </w:p>
        </w:tc>
      </w:tr>
      <w:tr>
        <w:trPr>
          <w:cantSplit/>
        </w:trPr>
        <w:tc>
          <w:tcPr>
            <w:tcW w:type="dxa" w:w="1500"/>
          </w:tcPr>
          <w:p>
            <w:pPr>
              <w:spacing w:before="0" w:after="0" w:line="259" w:lineRule="auto"/>
            </w:pPr>
            <w:r>
              <w:rPr>
                <w:rFonts w:ascii="Calibri" w:hAnsi="Calibri"/>
                <w:color w:val="222222"/>
                <w:sz w:val="16"/>
              </w:rPr>
              <w:t>Discrete tomography</w:t>
            </w:r>
          </w:p>
        </w:tc>
        <w:tc>
          <w:tcPr>
            <w:tcW w:type="dxa" w:w="2500"/>
          </w:tcPr>
          <w:p>
            <w:pPr>
              <w:spacing w:before="0" w:after="0" w:line="259" w:lineRule="auto"/>
            </w:pPr>
            <w:r>
              <w:rPr>
                <w:rFonts w:ascii="Calibri" w:hAnsi="Calibri"/>
                <w:color w:val="222222"/>
                <w:sz w:val="16"/>
              </w:rPr>
              <w:t>Recover a hidden lattice object from numeric projections.</w:t>
            </w:r>
          </w:p>
        </w:tc>
        <w:tc>
          <w:tcPr>
            <w:tcW w:type="dxa" w:w="2760"/>
          </w:tcPr>
          <w:p>
            <w:pPr>
              <w:spacing w:before="0" w:after="0" w:line="259" w:lineRule="auto"/>
            </w:pPr>
            <w:r>
              <w:rPr>
                <w:rFonts w:ascii="Calibri" w:hAnsi="Calibri"/>
                <w:color w:val="222222"/>
                <w:sz w:val="16"/>
              </w:rPr>
              <w:t>A mathematical reconstruction field rather than a consumer game.</w:t>
            </w:r>
          </w:p>
        </w:tc>
        <w:tc>
          <w:tcPr>
            <w:tcW w:type="dxa" w:w="2600"/>
          </w:tcPr>
          <w:p>
            <w:pPr>
              <w:spacing w:before="0" w:after="0" w:line="259" w:lineRule="auto"/>
            </w:pPr>
            <w:r>
              <w:rPr>
                <w:rFonts w:ascii="Calibri" w:hAnsi="Calibri"/>
                <w:color w:val="222222"/>
                <w:sz w:val="16"/>
              </w:rPr>
              <w:t>Provides language and theory for uniqueness, ghosts, and ambiguity.</w:t>
            </w:r>
          </w:p>
        </w:tc>
      </w:tr>
      <w:tr>
        <w:trPr>
          <w:cantSplit/>
        </w:trPr>
        <w:tc>
          <w:tcPr>
            <w:tcW w:type="dxa" w:w="1500"/>
          </w:tcPr>
          <w:p>
            <w:pPr>
              <w:spacing w:before="0" w:after="0" w:line="259" w:lineRule="auto"/>
            </w:pPr>
            <w:r>
              <w:rPr>
                <w:rFonts w:ascii="Calibri" w:hAnsi="Calibri"/>
                <w:color w:val="222222"/>
                <w:sz w:val="16"/>
              </w:rPr>
              <w:t>Concrete Jungle</w:t>
            </w:r>
          </w:p>
        </w:tc>
        <w:tc>
          <w:tcPr>
            <w:tcW w:type="dxa" w:w="2500"/>
          </w:tcPr>
          <w:p>
            <w:pPr>
              <w:spacing w:before="0" w:after="0" w:line="259" w:lineRule="auto"/>
            </w:pPr>
            <w:r>
              <w:rPr>
                <w:rFonts w:ascii="Calibri" w:hAnsi="Calibri"/>
                <w:color w:val="222222"/>
                <w:sz w:val="16"/>
              </w:rPr>
              <w:t>City buildings exert positive and negative local influence.</w:t>
            </w:r>
          </w:p>
        </w:tc>
        <w:tc>
          <w:tcPr>
            <w:tcW w:type="dxa" w:w="2760"/>
          </w:tcPr>
          <w:p>
            <w:pPr>
              <w:spacing w:before="0" w:after="0" w:line="259" w:lineRule="auto"/>
            </w:pPr>
            <w:r>
              <w:rPr>
                <w:rFonts w:ascii="Calibri" w:hAnsi="Calibri"/>
                <w:color w:val="222222"/>
                <w:sz w:val="16"/>
              </w:rPr>
              <w:t>Sequential deck-building and score optimisation, not exact reconstruction.</w:t>
            </w:r>
          </w:p>
        </w:tc>
        <w:tc>
          <w:tcPr>
            <w:tcW w:type="dxa" w:w="2600"/>
          </w:tcPr>
          <w:p>
            <w:pPr>
              <w:spacing w:before="0" w:after="0" w:line="259" w:lineRule="auto"/>
            </w:pPr>
            <w:r>
              <w:rPr>
                <w:rFonts w:ascii="Calibri" w:hAnsi="Calibri"/>
                <w:color w:val="222222"/>
                <w:sz w:val="16"/>
              </w:rPr>
              <w:t>Closest thematic/mechanical cousin for city influence.</w:t>
            </w:r>
          </w:p>
        </w:tc>
      </w:tr>
      <w:tr>
        <w:trPr>
          <w:cantSplit/>
        </w:trPr>
        <w:tc>
          <w:tcPr>
            <w:tcW w:type="dxa" w:w="1500"/>
          </w:tcPr>
          <w:p>
            <w:pPr>
              <w:spacing w:before="0" w:after="0" w:line="259" w:lineRule="auto"/>
            </w:pPr>
            <w:r>
              <w:rPr>
                <w:rFonts w:ascii="Calibri" w:hAnsi="Calibri"/>
                <w:color w:val="222222"/>
                <w:sz w:val="16"/>
              </w:rPr>
              <w:t>ISLANDERS</w:t>
            </w:r>
          </w:p>
        </w:tc>
        <w:tc>
          <w:tcPr>
            <w:tcW w:type="dxa" w:w="2500"/>
          </w:tcPr>
          <w:p>
            <w:pPr>
              <w:spacing w:before="0" w:after="0" w:line="259" w:lineRule="auto"/>
            </w:pPr>
            <w:r>
              <w:rPr>
                <w:rFonts w:ascii="Calibri" w:hAnsi="Calibri"/>
                <w:color w:val="222222"/>
                <w:sz w:val="16"/>
              </w:rPr>
              <w:t>Building placement scores from nearby positive and negative relationships.</w:t>
            </w:r>
          </w:p>
        </w:tc>
        <w:tc>
          <w:tcPr>
            <w:tcW w:type="dxa" w:w="2760"/>
          </w:tcPr>
          <w:p>
            <w:pPr>
              <w:spacing w:before="0" w:after="0" w:line="259" w:lineRule="auto"/>
            </w:pPr>
            <w:r>
              <w:rPr>
                <w:rFonts w:ascii="Calibri" w:hAnsi="Calibri"/>
                <w:color w:val="222222"/>
                <w:sz w:val="16"/>
              </w:rPr>
              <w:t>Open-ended optimisation rather than a fixed provable solution.</w:t>
            </w:r>
          </w:p>
        </w:tc>
        <w:tc>
          <w:tcPr>
            <w:tcW w:type="dxa" w:w="2600"/>
          </w:tcPr>
          <w:p>
            <w:pPr>
              <w:spacing w:before="0" w:after="0" w:line="259" w:lineRule="auto"/>
            </w:pPr>
            <w:r>
              <w:rPr>
                <w:rFonts w:ascii="Calibri" w:hAnsi="Calibri"/>
                <w:color w:val="222222"/>
                <w:sz w:val="16"/>
              </w:rPr>
              <w:t>Preview affected structures and make causality legible.</w:t>
            </w:r>
          </w:p>
        </w:tc>
      </w:tr>
      <w:tr>
        <w:trPr>
          <w:cantSplit/>
        </w:trPr>
        <w:tc>
          <w:tcPr>
            <w:tcW w:type="dxa" w:w="1500"/>
          </w:tcPr>
          <w:p>
            <w:pPr>
              <w:spacing w:before="0" w:after="0" w:line="259" w:lineRule="auto"/>
            </w:pPr>
            <w:r>
              <w:rPr>
                <w:rFonts w:ascii="Calibri" w:hAnsi="Calibri"/>
                <w:color w:val="222222"/>
                <w:sz w:val="16"/>
              </w:rPr>
              <w:t>Dorfromantik</w:t>
            </w:r>
          </w:p>
        </w:tc>
        <w:tc>
          <w:tcPr>
            <w:tcW w:type="dxa" w:w="2500"/>
          </w:tcPr>
          <w:p>
            <w:pPr>
              <w:spacing w:before="0" w:after="0" w:line="259" w:lineRule="auto"/>
            </w:pPr>
            <w:r>
              <w:rPr>
                <w:rFonts w:ascii="Calibri" w:hAnsi="Calibri"/>
                <w:color w:val="222222"/>
                <w:sz w:val="16"/>
              </w:rPr>
              <w:t>Peaceful construction supports exact and minimum spatial objectives.</w:t>
            </w:r>
          </w:p>
        </w:tc>
        <w:tc>
          <w:tcPr>
            <w:tcW w:type="dxa" w:w="2760"/>
          </w:tcPr>
          <w:p>
            <w:pPr>
              <w:spacing w:before="0" w:after="0" w:line="259" w:lineRule="auto"/>
            </w:pPr>
            <w:r>
              <w:rPr>
                <w:rFonts w:ascii="Calibri" w:hAnsi="Calibri"/>
                <w:color w:val="222222"/>
                <w:sz w:val="16"/>
              </w:rPr>
              <w:t>Tile-sequence optimisation rather than a hidden-field inverse problem.</w:t>
            </w:r>
          </w:p>
        </w:tc>
        <w:tc>
          <w:tcPr>
            <w:tcW w:type="dxa" w:w="2600"/>
          </w:tcPr>
          <w:p>
            <w:pPr>
              <w:spacing w:before="0" w:after="0" w:line="259" w:lineRule="auto"/>
            </w:pPr>
            <w:r>
              <w:rPr>
                <w:rFonts w:ascii="Calibri" w:hAnsi="Calibri"/>
                <w:color w:val="222222"/>
                <w:sz w:val="16"/>
              </w:rPr>
              <w:t>A city-building presentation can carry precise constraints gracefully.</w:t>
            </w:r>
          </w:p>
        </w:tc>
      </w:tr>
    </w:tbl>
    <w:p>
      <w:pPr>
        <w:spacing w:after="40"/>
      </w:pPr>
    </w:p>
    <w:p>
      <w:pPr>
        <w:spacing w:before="120" w:after="200" w:line="276" w:lineRule="auto"/>
        <w:ind w:left="230" w:right="173"/>
        <w:shd w:fill="FFF5DB"/>
        <w:pBdr>
          <w:left w:val="single" w:sz="18" w:space="8" w:color="A66B00"/>
        </w:pBdr>
      </w:pPr>
      <w:r>
        <w:rPr>
          <w:rFonts w:ascii="Calibri" w:hAnsi="Calibri"/>
          <w:b/>
          <w:color w:val="A66B00"/>
          <w:sz w:val="19"/>
        </w:rPr>
        <w:t xml:space="preserve">POSITIONING  </w:t>
      </w:r>
      <w:r>
        <w:rPr>
          <w:rFonts w:ascii="Calibri" w:hAnsi="Calibri"/>
          <w:color w:val="0B2545"/>
          <w:sz w:val="21"/>
        </w:rPr>
        <w:t>Urban Field is best understood as a multichannel, heterogeneous-kernel Mosaic expressed through the spatial city-planning language of Concrete Jungle and ISLANDERS.</w:t>
      </w:r>
    </w:p>
    <w:p>
      <w:pPr>
        <w:pStyle w:val="Heading2"/>
        <w:keepNext/>
        <w:keepLines/>
      </w:pPr>
      <w:r>
        <w:t>Differentiating features</w:t>
      </w:r>
    </w:p>
    <w:p>
      <w:pPr>
        <w:numPr>
          <w:ilvl w:val="0"/>
          <w:numId w:val="10"/>
        </w:numPr>
      </w:pPr>
      <w:r>
        <w:rPr>
          <w:rFonts w:ascii="Calibri" w:hAnsi="Calibri"/>
        </w:rPr>
        <w:t>A fixed inventory of heterogeneous buildings rather than unlimited identical filled cells.</w:t>
      </w:r>
    </w:p>
    <w:p>
      <w:pPr>
        <w:numPr>
          <w:ilvl w:val="0"/>
          <w:numId w:val="10"/>
        </w:numPr>
      </w:pPr>
      <w:r>
        <w:rPr>
          <w:rFonts w:ascii="Calibri" w:hAnsi="Calibri"/>
        </w:rPr>
        <w:t>Several resource channels measured independently at every cell.</w:t>
      </w:r>
    </w:p>
    <w:p>
      <w:pPr>
        <w:numPr>
          <w:ilvl w:val="0"/>
          <w:numId w:val="10"/>
        </w:numPr>
      </w:pPr>
      <w:r>
        <w:rPr>
          <w:rFonts w:ascii="Calibri" w:hAnsi="Calibri"/>
        </w:rPr>
        <w:t>Different influence shapes, strengths, and ranges for different building types.</w:t>
      </w:r>
    </w:p>
    <w:p>
      <w:pPr>
        <w:numPr>
          <w:ilvl w:val="0"/>
          <w:numId w:val="10"/>
        </w:numPr>
      </w:pPr>
      <w:r>
        <w:rPr>
          <w:rFonts w:ascii="Calibri" w:hAnsi="Calibri"/>
        </w:rPr>
        <w:t>Four operator roles—source, sink, converter, and transporter—participate in every mature puzzle set.</w:t>
      </w:r>
    </w:p>
    <w:p>
      <w:pPr>
        <w:numPr>
          <w:ilvl w:val="0"/>
          <w:numId w:val="10"/>
        </w:numPr>
      </w:pPr>
      <w:r>
        <w:rPr>
          <w:rFonts w:ascii="Calibri" w:hAnsi="Calibri"/>
        </w:rPr>
        <w:t>Cross-resource conversion and directed intake/output signatures create deductions unavailable to ordinary local-sum puzzles.</w:t>
      </w:r>
    </w:p>
    <w:p>
      <w:pPr>
        <w:numPr>
          <w:ilvl w:val="0"/>
          <w:numId w:val="10"/>
        </w:numPr>
      </w:pPr>
      <w:r>
        <w:rPr>
          <w:rFonts w:ascii="Calibri" w:hAnsi="Calibri"/>
        </w:rPr>
        <w:t>A target field generated from a complete hidden city.</w:t>
      </w:r>
    </w:p>
    <w:p>
      <w:pPr>
        <w:numPr>
          <w:ilvl w:val="0"/>
          <w:numId w:val="10"/>
        </w:numPr>
      </w:pPr>
      <w:r>
        <w:rPr>
          <w:rFonts w:ascii="Calibri" w:hAnsi="Calibri"/>
        </w:rPr>
        <w:t>Solver-verified uniqueness plus a human-readable deduction trace.</w:t>
      </w:r>
    </w:p>
    <w:p>
      <w:pPr>
        <w:numPr>
          <w:ilvl w:val="0"/>
          <w:numId w:val="10"/>
        </w:numPr>
      </w:pPr>
      <w:r>
        <w:rPr>
          <w:rFonts w:ascii="Calibri" w:hAnsi="Calibri"/>
        </w:rPr>
        <w:t>A city-growth reveal that turns abstract arithmetic into an expressive artifact.</w:t>
      </w:r>
    </w:p>
    <w:p>
      <w:pPr>
        <w:pStyle w:val="Heading1"/>
        <w:keepNext/>
        <w:keepLines/>
      </w:pPr>
      <w:r>
        <w:t>4. Minimum viable prototype</w:t>
      </w:r>
    </w:p>
    <w:p>
      <w:pPr>
        <w:spacing w:before="120" w:after="200" w:line="276" w:lineRule="auto"/>
        <w:ind w:left="230" w:right="173"/>
        <w:shd w:fill="EAF4EF"/>
        <w:pBdr>
          <w:left w:val="single" w:sz="18" w:space="8" w:color="2F6F57"/>
        </w:pBdr>
      </w:pPr>
      <w:r>
        <w:rPr>
          <w:rFonts w:ascii="Calibri" w:hAnsi="Calibri"/>
          <w:b/>
          <w:color w:val="2F6F57"/>
          <w:sz w:val="19"/>
        </w:rPr>
        <w:t xml:space="preserve">PROTOTYPE QUESTION  </w:t>
      </w:r>
      <w:r>
        <w:rPr>
          <w:rFonts w:ascii="Calibri" w:hAnsi="Calibri"/>
          <w:color w:val="0B2545"/>
          <w:sz w:val="21"/>
        </w:rPr>
        <w:t>Is reconstructing a small city from production, absorption, conversion, and directional transport satisfying before progression, simulation, roads, or an economy are added?</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900"/>
        <w:gridCol w:w="7460"/>
      </w:tblGrid>
      <w:tr>
        <w:trPr>
          <w:tblHeader w:val="true"/>
          <w:cantSplit/>
        </w:trPr>
        <w:tc>
          <w:tcPr>
            <w:tcW w:type="dxa" w:w="190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Parameter</w:t>
            </w:r>
          </w:p>
        </w:tc>
        <w:tc>
          <w:tcPr>
            <w:tcW w:type="dxa" w:w="746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MVP specification</w:t>
            </w:r>
          </w:p>
        </w:tc>
      </w:tr>
      <w:tr>
        <w:trPr>
          <w:cantSplit/>
        </w:trPr>
        <w:tc>
          <w:tcPr>
            <w:tcW w:type="dxa" w:w="1900"/>
          </w:tcPr>
          <w:p>
            <w:pPr>
              <w:spacing w:before="0" w:after="0" w:line="259" w:lineRule="auto"/>
            </w:pPr>
            <w:r>
              <w:rPr>
                <w:rFonts w:ascii="Calibri" w:hAnsi="Calibri"/>
                <w:color w:val="222222"/>
                <w:sz w:val="18"/>
              </w:rPr>
              <w:t>Board</w:t>
            </w:r>
          </w:p>
        </w:tc>
        <w:tc>
          <w:tcPr>
            <w:tcW w:type="dxa" w:w="7460"/>
          </w:tcPr>
          <w:p>
            <w:pPr>
              <w:spacing w:before="0" w:after="0" w:line="259" w:lineRule="auto"/>
            </w:pPr>
            <w:r>
              <w:rPr>
                <w:rFonts w:ascii="Calibri" w:hAnsi="Calibri"/>
                <w:color w:val="222222"/>
                <w:sz w:val="18"/>
              </w:rPr>
              <w:t>5×5 square grid; optional small set of unbuildable terrain cells</w:t>
            </w:r>
          </w:p>
        </w:tc>
      </w:tr>
      <w:tr>
        <w:trPr>
          <w:cantSplit/>
        </w:trPr>
        <w:tc>
          <w:tcPr>
            <w:tcW w:type="dxa" w:w="1900"/>
          </w:tcPr>
          <w:p>
            <w:pPr>
              <w:spacing w:before="0" w:after="0" w:line="259" w:lineRule="auto"/>
            </w:pPr>
            <w:r>
              <w:rPr>
                <w:rFonts w:ascii="Calibri" w:hAnsi="Calibri"/>
                <w:color w:val="222222"/>
                <w:sz w:val="18"/>
              </w:rPr>
              <w:t>Resources</w:t>
            </w:r>
          </w:p>
        </w:tc>
        <w:tc>
          <w:tcPr>
            <w:tcW w:type="dxa" w:w="7460"/>
          </w:tcPr>
          <w:p>
            <w:pPr>
              <w:spacing w:before="0" w:after="0" w:line="259" w:lineRule="auto"/>
            </w:pPr>
            <w:r>
              <w:rPr>
                <w:rFonts w:ascii="Calibri" w:hAnsi="Calibri"/>
                <w:color w:val="222222"/>
                <w:sz w:val="18"/>
              </w:rPr>
              <w:t>Electricity and nature</w:t>
            </w:r>
          </w:p>
        </w:tc>
      </w:tr>
      <w:tr>
        <w:trPr>
          <w:cantSplit/>
        </w:trPr>
        <w:tc>
          <w:tcPr>
            <w:tcW w:type="dxa" w:w="1900"/>
          </w:tcPr>
          <w:p>
            <w:pPr>
              <w:spacing w:before="0" w:after="0" w:line="259" w:lineRule="auto"/>
            </w:pPr>
            <w:r>
              <w:rPr>
                <w:rFonts w:ascii="Calibri" w:hAnsi="Calibri"/>
                <w:color w:val="222222"/>
                <w:sz w:val="18"/>
              </w:rPr>
              <w:t>Inventory</w:t>
            </w:r>
          </w:p>
        </w:tc>
        <w:tc>
          <w:tcPr>
            <w:tcW w:type="dxa" w:w="7460"/>
          </w:tcPr>
          <w:p>
            <w:pPr>
              <w:spacing w:before="0" w:after="0" w:line="259" w:lineRule="auto"/>
            </w:pPr>
            <w:r>
              <w:rPr>
                <w:rFonts w:ascii="Calibri" w:hAnsi="Calibri"/>
                <w:color w:val="222222"/>
                <w:sz w:val="18"/>
              </w:rPr>
              <w:t>Six pieces: two solar plants, one park, one greenhouse, one battery, one power relay</w:t>
            </w:r>
          </w:p>
        </w:tc>
      </w:tr>
      <w:tr>
        <w:trPr>
          <w:cantSplit/>
        </w:trPr>
        <w:tc>
          <w:tcPr>
            <w:tcW w:type="dxa" w:w="1900"/>
          </w:tcPr>
          <w:p>
            <w:pPr>
              <w:spacing w:before="0" w:after="0" w:line="259" w:lineRule="auto"/>
            </w:pPr>
            <w:r>
              <w:rPr>
                <w:rFonts w:ascii="Calibri" w:hAnsi="Calibri"/>
                <w:color w:val="222222"/>
                <w:sz w:val="18"/>
              </w:rPr>
              <w:t>Placement</w:t>
            </w:r>
          </w:p>
        </w:tc>
        <w:tc>
          <w:tcPr>
            <w:tcW w:type="dxa" w:w="7460"/>
          </w:tcPr>
          <w:p>
            <w:pPr>
              <w:spacing w:before="0" w:after="0" w:line="259" w:lineRule="auto"/>
            </w:pPr>
            <w:r>
              <w:rPr>
                <w:rFonts w:ascii="Calibri" w:hAnsi="Calibri"/>
                <w:color w:val="222222"/>
                <w:sz w:val="18"/>
              </w:rPr>
              <w:t>At most one building per cell; every piece is used; the relay may rotate</w:t>
            </w:r>
          </w:p>
        </w:tc>
      </w:tr>
      <w:tr>
        <w:trPr>
          <w:cantSplit/>
        </w:trPr>
        <w:tc>
          <w:tcPr>
            <w:tcW w:type="dxa" w:w="1900"/>
          </w:tcPr>
          <w:p>
            <w:pPr>
              <w:spacing w:before="0" w:after="0" w:line="259" w:lineRule="auto"/>
            </w:pPr>
            <w:r>
              <w:rPr>
                <w:rFonts w:ascii="Calibri" w:hAnsi="Calibri"/>
                <w:color w:val="222222"/>
                <w:sz w:val="18"/>
              </w:rPr>
              <w:t>Values</w:t>
            </w:r>
          </w:p>
        </w:tc>
        <w:tc>
          <w:tcPr>
            <w:tcW w:type="dxa" w:w="7460"/>
          </w:tcPr>
          <w:p>
            <w:pPr>
              <w:spacing w:before="0" w:after="0" w:line="259" w:lineRule="auto"/>
            </w:pPr>
            <w:r>
              <w:rPr>
                <w:rFonts w:ascii="Calibri" w:hAnsi="Calibri"/>
                <w:color w:val="222222"/>
                <w:sz w:val="18"/>
              </w:rPr>
              <w:t>Small signed integers; visible targets normally range from 0 to 3</w:t>
            </w:r>
          </w:p>
        </w:tc>
      </w:tr>
      <w:tr>
        <w:trPr>
          <w:cantSplit/>
        </w:trPr>
        <w:tc>
          <w:tcPr>
            <w:tcW w:type="dxa" w:w="1900"/>
          </w:tcPr>
          <w:p>
            <w:pPr>
              <w:spacing w:before="0" w:after="0" w:line="259" w:lineRule="auto"/>
            </w:pPr>
            <w:r>
              <w:rPr>
                <w:rFonts w:ascii="Calibri" w:hAnsi="Calibri"/>
                <w:color w:val="222222"/>
                <w:sz w:val="18"/>
              </w:rPr>
              <w:t>Effects</w:t>
            </w:r>
          </w:p>
        </w:tc>
        <w:tc>
          <w:tcPr>
            <w:tcW w:type="dxa" w:w="7460"/>
          </w:tcPr>
          <w:p>
            <w:pPr>
              <w:spacing w:before="0" w:after="0" w:line="259" w:lineRule="auto"/>
            </w:pPr>
            <w:r>
              <w:rPr>
                <w:rFonts w:ascii="Calibri" w:hAnsi="Calibri"/>
                <w:color w:val="222222"/>
                <w:sz w:val="18"/>
              </w:rPr>
              <w:t>Small signed kernels: local sources/sinks, one cross-resource conversion, one directional transfer</w:t>
            </w:r>
          </w:p>
        </w:tc>
      </w:tr>
      <w:tr>
        <w:trPr>
          <w:cantSplit/>
        </w:trPr>
        <w:tc>
          <w:tcPr>
            <w:tcW w:type="dxa" w:w="1900"/>
          </w:tcPr>
          <w:p>
            <w:pPr>
              <w:spacing w:before="0" w:after="0" w:line="259" w:lineRule="auto"/>
            </w:pPr>
            <w:r>
              <w:rPr>
                <w:rFonts w:ascii="Calibri" w:hAnsi="Calibri"/>
                <w:color w:val="222222"/>
                <w:sz w:val="18"/>
              </w:rPr>
              <w:t>Success</w:t>
            </w:r>
          </w:p>
        </w:tc>
        <w:tc>
          <w:tcPr>
            <w:tcW w:type="dxa" w:w="7460"/>
          </w:tcPr>
          <w:p>
            <w:pPr>
              <w:spacing w:before="0" w:after="0" w:line="259" w:lineRule="auto"/>
            </w:pPr>
            <w:r>
              <w:rPr>
                <w:rFonts w:ascii="Calibri" w:hAnsi="Calibri"/>
                <w:color w:val="222222"/>
                <w:sz w:val="18"/>
              </w:rPr>
              <w:t>Every cell matches both displayed resource targets exactly</w:t>
            </w:r>
          </w:p>
        </w:tc>
      </w:tr>
      <w:tr>
        <w:trPr>
          <w:cantSplit/>
        </w:trPr>
        <w:tc>
          <w:tcPr>
            <w:tcW w:type="dxa" w:w="1900"/>
          </w:tcPr>
          <w:p>
            <w:pPr>
              <w:spacing w:before="0" w:after="0" w:line="259" w:lineRule="auto"/>
            </w:pPr>
            <w:r>
              <w:rPr>
                <w:rFonts w:ascii="Calibri" w:hAnsi="Calibri"/>
                <w:color w:val="222222"/>
                <w:sz w:val="18"/>
              </w:rPr>
              <w:t>Assistance</w:t>
            </w:r>
          </w:p>
        </w:tc>
        <w:tc>
          <w:tcPr>
            <w:tcW w:type="dxa" w:w="7460"/>
          </w:tcPr>
          <w:p>
            <w:pPr>
              <w:spacing w:before="0" w:after="0" w:line="259" w:lineRule="auto"/>
            </w:pPr>
            <w:r>
              <w:rPr>
                <w:rFonts w:ascii="Calibri" w:hAnsi="Calibri"/>
                <w:color w:val="222222"/>
                <w:sz w:val="18"/>
              </w:rPr>
              <w:t>Footprint preview, residual-demand display, undo, and constraint-focused hints</w:t>
            </w:r>
          </w:p>
        </w:tc>
      </w:tr>
      <w:tr>
        <w:trPr>
          <w:cantSplit/>
        </w:trPr>
        <w:tc>
          <w:tcPr>
            <w:tcW w:type="dxa" w:w="1900"/>
          </w:tcPr>
          <w:p>
            <w:pPr>
              <w:spacing w:before="0" w:after="0" w:line="259" w:lineRule="auto"/>
            </w:pPr>
            <w:r>
              <w:rPr>
                <w:rFonts w:ascii="Calibri" w:hAnsi="Calibri"/>
                <w:color w:val="222222"/>
                <w:sz w:val="18"/>
              </w:rPr>
              <w:t>Generation</w:t>
            </w:r>
          </w:p>
        </w:tc>
        <w:tc>
          <w:tcPr>
            <w:tcW w:type="dxa" w:w="7460"/>
          </w:tcPr>
          <w:p>
            <w:pPr>
              <w:spacing w:before="0" w:after="0" w:line="259" w:lineRule="auto"/>
            </w:pPr>
            <w:r>
              <w:rPr>
                <w:rFonts w:ascii="Calibri" w:hAnsi="Calibri"/>
                <w:color w:val="222222"/>
                <w:sz w:val="18"/>
              </w:rPr>
              <w:t>Hidden-solution generation followed by uniqueness and deduction checks</w:t>
            </w:r>
          </w:p>
        </w:tc>
      </w:tr>
    </w:tbl>
    <w:p>
      <w:pPr>
        <w:spacing w:after="40"/>
      </w:pPr>
    </w:p>
    <w:p>
      <w:pPr>
        <w:pStyle w:val="Heading2"/>
        <w:keepNext/>
        <w:keepLines/>
      </w:pPr>
      <w:r>
        <w:t>Initial building vocabulary</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650"/>
        <w:gridCol w:w="1900"/>
        <w:gridCol w:w="1900"/>
        <w:gridCol w:w="3910"/>
      </w:tblGrid>
      <w:tr>
        <w:trPr>
          <w:tblHeader w:val="true"/>
          <w:cantSplit/>
        </w:trPr>
        <w:tc>
          <w:tcPr>
            <w:tcW w:type="dxa" w:w="165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Building</w:t>
            </w:r>
          </w:p>
        </w:tc>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color w:val="0B2545"/>
                <w:sz w:val="17"/>
              </w:rPr>
              <w:t>Electricity kernel</w:t>
            </w:r>
          </w:p>
        </w:tc>
        <w:tc>
          <w:tcPr>
            <w:tcW w:type="dxa" w:w="1900"/>
            <w:tcMar>
              <w:top w:w="80" w:type="dxa"/>
              <w:start w:w="120" w:type="dxa"/>
              <w:bottom w:w="80" w:type="dxa"/>
              <w:end w:w="120" w:type="dxa"/>
            </w:tcMar>
            <w:vAlign w:val="center"/>
            <w:shd w:fill="E8EEF5"/>
          </w:tcPr>
          <w:p>
            <w:pPr>
              <w:spacing w:before="0" w:after="0" w:line="252" w:lineRule="auto"/>
              <w:jc w:val="center"/>
            </w:pPr>
            <w:r>
              <w:rPr>
                <w:rFonts w:ascii="Calibri" w:hAnsi="Calibri"/>
                <w:b/>
                <w:color w:val="0B2545"/>
                <w:sz w:val="17"/>
              </w:rPr>
              <w:t>Nature kernel</w:t>
            </w:r>
          </w:p>
        </w:tc>
        <w:tc>
          <w:tcPr>
            <w:tcW w:type="dxa" w:w="39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7"/>
              </w:rPr>
              <w:t>Purpose</w:t>
            </w:r>
          </w:p>
        </w:tc>
      </w:tr>
      <w:tr>
        <w:trPr>
          <w:cantSplit/>
        </w:trPr>
        <w:tc>
          <w:tcPr>
            <w:tcW w:type="dxa" w:w="1650"/>
          </w:tcPr>
          <w:p>
            <w:pPr>
              <w:spacing w:before="0" w:after="0" w:line="259" w:lineRule="auto"/>
              <w:jc w:val="left"/>
            </w:pPr>
            <w:r>
              <w:rPr>
                <w:rFonts w:ascii="Calibri" w:hAnsi="Calibri"/>
                <w:color w:val="222222"/>
                <w:sz w:val="17"/>
              </w:rPr>
              <w:t>Solar plant ×2</w:t>
            </w:r>
          </w:p>
        </w:tc>
        <w:tc>
          <w:tcPr>
            <w:tcW w:type="dxa" w:w="1900"/>
          </w:tcPr>
          <w:p>
            <w:pPr>
              <w:spacing w:before="0" w:after="0" w:line="259" w:lineRule="auto"/>
              <w:jc w:val="center"/>
            </w:pPr>
            <w:r>
              <w:rPr>
                <w:rFonts w:ascii="Calibri" w:hAnsi="Calibri"/>
                <w:color w:val="222222"/>
                <w:sz w:val="17"/>
              </w:rPr>
              <w:t>0 1 0</w:t>
              <w:br/>
              <w:t>1 2 1</w:t>
              <w:br/>
              <w:t>0 1 0</w:t>
            </w:r>
          </w:p>
        </w:tc>
        <w:tc>
          <w:tcPr>
            <w:tcW w:type="dxa" w:w="1900"/>
          </w:tcPr>
          <w:p>
            <w:pPr>
              <w:spacing w:before="0" w:after="0" w:line="259" w:lineRule="auto"/>
              <w:jc w:val="center"/>
            </w:pPr>
            <w:r>
              <w:rPr>
                <w:rFonts w:ascii="Calibri" w:hAnsi="Calibri"/>
                <w:color w:val="222222"/>
                <w:sz w:val="17"/>
              </w:rPr>
              <w:t>—</w:t>
            </w:r>
          </w:p>
        </w:tc>
        <w:tc>
          <w:tcPr>
            <w:tcW w:type="dxa" w:w="3910"/>
          </w:tcPr>
          <w:p>
            <w:pPr>
              <w:spacing w:before="0" w:after="0" w:line="259" w:lineRule="auto"/>
              <w:jc w:val="left"/>
            </w:pPr>
            <w:r>
              <w:rPr>
                <w:rFonts w:ascii="Calibri" w:hAnsi="Calibri"/>
                <w:color w:val="222222"/>
                <w:sz w:val="17"/>
              </w:rPr>
              <w:t>Source: creates distinctive power peaks and edge deductions.</w:t>
            </w:r>
          </w:p>
        </w:tc>
      </w:tr>
      <w:tr>
        <w:trPr>
          <w:cantSplit/>
        </w:trPr>
        <w:tc>
          <w:tcPr>
            <w:tcW w:type="dxa" w:w="1650"/>
          </w:tcPr>
          <w:p>
            <w:pPr>
              <w:spacing w:before="0" w:after="0" w:line="259" w:lineRule="auto"/>
              <w:jc w:val="left"/>
            </w:pPr>
            <w:r>
              <w:rPr>
                <w:rFonts w:ascii="Calibri" w:hAnsi="Calibri"/>
                <w:color w:val="222222"/>
                <w:sz w:val="17"/>
              </w:rPr>
              <w:t>Park ×1</w:t>
            </w:r>
          </w:p>
        </w:tc>
        <w:tc>
          <w:tcPr>
            <w:tcW w:type="dxa" w:w="1900"/>
          </w:tcPr>
          <w:p>
            <w:pPr>
              <w:spacing w:before="0" w:after="0" w:line="259" w:lineRule="auto"/>
              <w:jc w:val="center"/>
            </w:pPr>
            <w:r>
              <w:rPr>
                <w:rFonts w:ascii="Calibri" w:hAnsi="Calibri"/>
                <w:color w:val="222222"/>
                <w:sz w:val="17"/>
              </w:rPr>
              <w:t>—</w:t>
            </w:r>
          </w:p>
        </w:tc>
        <w:tc>
          <w:tcPr>
            <w:tcW w:type="dxa" w:w="1900"/>
          </w:tcPr>
          <w:p>
            <w:pPr>
              <w:spacing w:before="0" w:after="0" w:line="259" w:lineRule="auto"/>
              <w:jc w:val="center"/>
            </w:pPr>
            <w:r>
              <w:rPr>
                <w:rFonts w:ascii="Calibri" w:hAnsi="Calibri"/>
                <w:color w:val="222222"/>
                <w:sz w:val="17"/>
              </w:rPr>
              <w:t>1 1 1</w:t>
              <w:br/>
              <w:t>1 1 1</w:t>
              <w:br/>
              <w:t>1 1 1</w:t>
            </w:r>
          </w:p>
        </w:tc>
        <w:tc>
          <w:tcPr>
            <w:tcW w:type="dxa" w:w="3910"/>
          </w:tcPr>
          <w:p>
            <w:pPr>
              <w:spacing w:before="0" w:after="0" w:line="259" w:lineRule="auto"/>
              <w:jc w:val="left"/>
            </w:pPr>
            <w:r>
              <w:rPr>
                <w:rFonts w:ascii="Calibri" w:hAnsi="Calibri"/>
                <w:color w:val="222222"/>
                <w:sz w:val="17"/>
              </w:rPr>
              <w:t>Source: provides broad nature coverage with strong overlap logic.</w:t>
            </w:r>
          </w:p>
        </w:tc>
      </w:tr>
      <w:tr>
        <w:trPr>
          <w:cantSplit/>
        </w:trPr>
        <w:tc>
          <w:tcPr>
            <w:tcW w:type="dxa" w:w="1650"/>
          </w:tcPr>
          <w:p>
            <w:pPr>
              <w:spacing w:before="0" w:after="0" w:line="259" w:lineRule="auto"/>
              <w:jc w:val="left"/>
            </w:pPr>
            <w:r>
              <w:rPr>
                <w:rFonts w:ascii="Calibri" w:hAnsi="Calibri"/>
                <w:color w:val="222222"/>
                <w:sz w:val="17"/>
              </w:rPr>
              <w:t>Greenhouse ×1</w:t>
            </w:r>
          </w:p>
        </w:tc>
        <w:tc>
          <w:tcPr>
            <w:tcW w:type="dxa" w:w="1900"/>
          </w:tcPr>
          <w:p>
            <w:pPr>
              <w:spacing w:before="0" w:after="0" w:line="259" w:lineRule="auto"/>
              <w:jc w:val="center"/>
            </w:pPr>
            <w:r>
              <w:rPr>
                <w:rFonts w:ascii="Calibri" w:hAnsi="Calibri"/>
                <w:color w:val="222222"/>
                <w:sz w:val="17"/>
              </w:rPr>
              <w:t>0 0 0</w:t>
              <w:br/>
              <w:t>0 −1 0</w:t>
              <w:br/>
              <w:t>0 0 0</w:t>
            </w:r>
          </w:p>
        </w:tc>
        <w:tc>
          <w:tcPr>
            <w:tcW w:type="dxa" w:w="1900"/>
          </w:tcPr>
          <w:p>
            <w:pPr>
              <w:spacing w:before="0" w:after="0" w:line="259" w:lineRule="auto"/>
              <w:jc w:val="center"/>
            </w:pPr>
            <w:r>
              <w:rPr>
                <w:rFonts w:ascii="Calibri" w:hAnsi="Calibri"/>
                <w:color w:val="222222"/>
                <w:sz w:val="17"/>
              </w:rPr>
              <w:t>0 1 0</w:t>
              <w:br/>
              <w:t>1 1 1</w:t>
              <w:br/>
              <w:t>0 1 0</w:t>
            </w:r>
          </w:p>
        </w:tc>
        <w:tc>
          <w:tcPr>
            <w:tcW w:type="dxa" w:w="3910"/>
          </w:tcPr>
          <w:p>
            <w:pPr>
              <w:spacing w:before="0" w:after="0" w:line="259" w:lineRule="auto"/>
              <w:jc w:val="left"/>
            </w:pPr>
            <w:r>
              <w:rPr>
                <w:rFonts w:ascii="Calibri" w:hAnsi="Calibri"/>
                <w:color w:val="222222"/>
                <w:sz w:val="17"/>
              </w:rPr>
              <w:t>Converter: consumes power at its site and produces nearby nature.</w:t>
            </w:r>
          </w:p>
        </w:tc>
      </w:tr>
      <w:tr>
        <w:trPr>
          <w:cantSplit/>
        </w:trPr>
        <w:tc>
          <w:tcPr>
            <w:tcW w:type="dxa" w:w="1650"/>
          </w:tcPr>
          <w:p>
            <w:pPr>
              <w:spacing w:before="0" w:after="0" w:line="259" w:lineRule="auto"/>
              <w:jc w:val="left"/>
            </w:pPr>
            <w:r>
              <w:rPr>
                <w:rFonts w:ascii="Calibri" w:hAnsi="Calibri"/>
                <w:color w:val="222222"/>
                <w:sz w:val="17"/>
              </w:rPr>
              <w:t>Battery ×1</w:t>
            </w:r>
          </w:p>
        </w:tc>
        <w:tc>
          <w:tcPr>
            <w:tcW w:type="dxa" w:w="1900"/>
          </w:tcPr>
          <w:p>
            <w:pPr>
              <w:spacing w:before="0" w:after="0" w:line="259" w:lineRule="auto"/>
              <w:jc w:val="center"/>
            </w:pPr>
            <w:r>
              <w:rPr>
                <w:rFonts w:ascii="Calibri" w:hAnsi="Calibri"/>
                <w:color w:val="222222"/>
                <w:sz w:val="17"/>
              </w:rPr>
              <w:t>0 −1 0</w:t>
              <w:br/>
              <w:t>−1 −1 −1</w:t>
              <w:br/>
              <w:t>0 −1 0</w:t>
            </w:r>
          </w:p>
        </w:tc>
        <w:tc>
          <w:tcPr>
            <w:tcW w:type="dxa" w:w="1900"/>
          </w:tcPr>
          <w:p>
            <w:pPr>
              <w:spacing w:before="0" w:after="0" w:line="259" w:lineRule="auto"/>
              <w:jc w:val="center"/>
            </w:pPr>
            <w:r>
              <w:rPr>
                <w:rFonts w:ascii="Calibri" w:hAnsi="Calibri"/>
                <w:color w:val="222222"/>
                <w:sz w:val="17"/>
              </w:rPr>
              <w:t>—</w:t>
            </w:r>
          </w:p>
        </w:tc>
        <w:tc>
          <w:tcPr>
            <w:tcW w:type="dxa" w:w="3910"/>
          </w:tcPr>
          <w:p>
            <w:pPr>
              <w:spacing w:before="0" w:after="0" w:line="259" w:lineRule="auto"/>
              <w:jc w:val="left"/>
            </w:pPr>
            <w:r>
              <w:rPr>
                <w:rFonts w:ascii="Calibri" w:hAnsi="Calibri"/>
                <w:color w:val="222222"/>
                <w:sz w:val="17"/>
              </w:rPr>
              <w:t>Creates controlled cancellation and sink deductions.</w:t>
            </w:r>
          </w:p>
        </w:tc>
      </w:tr>
      <w:tr>
        <w:trPr>
          <w:cantSplit/>
        </w:trPr>
        <w:tc>
          <w:tcPr>
            <w:tcW w:type="dxa" w:w="1650"/>
          </w:tcPr>
          <w:p>
            <w:pPr>
              <w:spacing w:before="0" w:after="0" w:line="259" w:lineRule="auto"/>
              <w:jc w:val="left"/>
            </w:pPr>
            <w:r>
              <w:rPr>
                <w:rFonts w:ascii="Calibri" w:hAnsi="Calibri"/>
                <w:color w:val="222222"/>
                <w:sz w:val="17"/>
              </w:rPr>
              <w:t>Power relay ×1</w:t>
            </w:r>
          </w:p>
        </w:tc>
        <w:tc>
          <w:tcPr>
            <w:tcW w:type="dxa" w:w="1900"/>
          </w:tcPr>
          <w:p>
            <w:pPr>
              <w:spacing w:before="0" w:after="0" w:line="259" w:lineRule="auto"/>
              <w:jc w:val="center"/>
            </w:pPr>
            <w:r>
              <w:rPr>
                <w:rFonts w:ascii="Calibri" w:hAnsi="Calibri"/>
                <w:color w:val="222222"/>
                <w:sz w:val="17"/>
              </w:rPr>
              <w:t>0 0 0</w:t>
              <w:br/>
              <w:t>−1 0 1</w:t>
              <w:br/>
              <w:t>0 0 0</w:t>
            </w:r>
          </w:p>
        </w:tc>
        <w:tc>
          <w:tcPr>
            <w:tcW w:type="dxa" w:w="1900"/>
          </w:tcPr>
          <w:p>
            <w:pPr>
              <w:spacing w:before="0" w:after="0" w:line="259" w:lineRule="auto"/>
              <w:jc w:val="center"/>
            </w:pPr>
            <w:r>
              <w:rPr>
                <w:rFonts w:ascii="Calibri" w:hAnsi="Calibri"/>
                <w:color w:val="222222"/>
                <w:sz w:val="17"/>
              </w:rPr>
              <w:t>—</w:t>
            </w:r>
          </w:p>
        </w:tc>
        <w:tc>
          <w:tcPr>
            <w:tcW w:type="dxa" w:w="3910"/>
          </w:tcPr>
          <w:p>
            <w:pPr>
              <w:spacing w:before="0" w:after="0" w:line="259" w:lineRule="auto"/>
              <w:jc w:val="left"/>
            </w:pPr>
            <w:r>
              <w:rPr>
                <w:rFonts w:ascii="Calibri" w:hAnsi="Calibri"/>
                <w:color w:val="222222"/>
                <w:sz w:val="17"/>
              </w:rPr>
              <w:t>Transporter: moves one power west→east; the footprint rotates with it.</w:t>
            </w:r>
          </w:p>
        </w:tc>
      </w:tr>
    </w:tbl>
    <w:p>
      <w:pPr>
        <w:spacing w:after="40"/>
      </w:pPr>
    </w:p>
    <w:p>
      <w:pPr>
        <w:pStyle w:val="Heading2"/>
        <w:keepNext/>
        <w:keepLines/>
      </w:pPr>
      <w:r>
        <w:t>Interface principles</w:t>
      </w:r>
    </w:p>
    <w:p>
      <w:pPr>
        <w:numPr>
          <w:ilvl w:val="0"/>
          <w:numId w:val="10"/>
        </w:numPr>
      </w:pPr>
      <w:r>
        <w:rPr>
          <w:rFonts w:ascii="Calibri" w:hAnsi="Calibri"/>
          <w:b/>
        </w:rPr>
        <w:t>Show the footprint before placement.</w:t>
      </w:r>
      <w:r>
        <w:rPr>
          <w:rFonts w:ascii="Calibri" w:hAnsi="Calibri"/>
        </w:rPr>
        <w:t xml:space="preserve"> Hovering or dragging highlights every affected cell and quantity.</w:t>
      </w:r>
    </w:p>
    <w:p>
      <w:pPr>
        <w:numPr>
          <w:ilvl w:val="0"/>
          <w:numId w:val="10"/>
        </w:numPr>
      </w:pPr>
      <w:r>
        <w:rPr>
          <w:rFonts w:ascii="Calibri" w:hAnsi="Calibri"/>
          <w:b/>
        </w:rPr>
        <w:t>Show flow direction.</w:t>
      </w:r>
      <w:r>
        <w:rPr>
          <w:rFonts w:ascii="Calibri" w:hAnsi="Calibri"/>
        </w:rPr>
        <w:t xml:space="preserve"> Converter inputs/outputs and transporter intake/delivery cells use persistent arrows and paired colors.</w:t>
      </w:r>
    </w:p>
    <w:p>
      <w:pPr>
        <w:numPr>
          <w:ilvl w:val="0"/>
          <w:numId w:val="10"/>
        </w:numPr>
      </w:pPr>
      <w:r>
        <w:rPr>
          <w:rFonts w:ascii="Calibri" w:hAnsi="Calibri"/>
          <w:b/>
        </w:rPr>
        <w:t>Display residual demand.</w:t>
      </w:r>
      <w:r>
        <w:rPr>
          <w:rFonts w:ascii="Calibri" w:hAnsi="Calibri"/>
        </w:rPr>
        <w:t xml:space="preserve"> Targets count toward zero as buildings are placed; excess becomes a clear red negative.</w:t>
      </w:r>
    </w:p>
    <w:p>
      <w:pPr>
        <w:numPr>
          <w:ilvl w:val="0"/>
          <w:numId w:val="10"/>
        </w:numPr>
      </w:pPr>
      <w:r>
        <w:rPr>
          <w:rFonts w:ascii="Calibri" w:hAnsi="Calibri"/>
          <w:b/>
        </w:rPr>
        <w:t>Separate the channels visually.</w:t>
      </w:r>
      <w:r>
        <w:rPr>
          <w:rFonts w:ascii="Calibri" w:hAnsi="Calibri"/>
        </w:rPr>
        <w:t xml:space="preserve"> Use stable color/icon pairs rather than dense numeric labels.</w:t>
      </w:r>
    </w:p>
    <w:p>
      <w:pPr>
        <w:numPr>
          <w:ilvl w:val="0"/>
          <w:numId w:val="10"/>
        </w:numPr>
      </w:pPr>
      <w:r>
        <w:rPr>
          <w:rFonts w:ascii="Calibri" w:hAnsi="Calibri"/>
          <w:b/>
        </w:rPr>
        <w:t>Explain errors causally.</w:t>
      </w:r>
      <w:r>
        <w:rPr>
          <w:rFonts w:ascii="Calibri" w:hAnsi="Calibri"/>
        </w:rPr>
        <w:t xml:space="preserve"> State which building oversupplies or leaves a cell impossible, not merely that the board is wrong.</w:t>
      </w:r>
    </w:p>
    <w:p>
      <w:pPr>
        <w:numPr>
          <w:ilvl w:val="0"/>
          <w:numId w:val="10"/>
        </w:numPr>
      </w:pPr>
      <w:r>
        <w:rPr>
          <w:rFonts w:ascii="Calibri" w:hAnsi="Calibri"/>
          <w:b/>
        </w:rPr>
        <w:t>Reward completion spatially.</w:t>
      </w:r>
      <w:r>
        <w:rPr>
          <w:rFonts w:ascii="Calibri" w:hAnsi="Calibri"/>
        </w:rPr>
        <w:t xml:space="preserve"> Services activate, homes light up, and the final city becomes animated.</w:t>
      </w:r>
    </w:p>
    <w:p>
      <w:pPr>
        <w:pStyle w:val="Heading1"/>
        <w:keepNext/>
        <w:keepLines/>
      </w:pPr>
      <w:r>
        <w:t>5. Human deduction vocabulary</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2150"/>
        <w:gridCol w:w="7210"/>
      </w:tblGrid>
      <w:tr>
        <w:trPr>
          <w:tblHeader w:val="true"/>
          <w:cantSplit/>
        </w:trPr>
        <w:tc>
          <w:tcPr>
            <w:tcW w:type="dxa" w:w="215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Deduction</w:t>
            </w:r>
          </w:p>
        </w:tc>
        <w:tc>
          <w:tcPr>
            <w:tcW w:type="dxa" w:w="7210"/>
            <w:tcMar>
              <w:top w:w="80" w:type="dxa"/>
              <w:start w:w="120" w:type="dxa"/>
              <w:bottom w:w="80" w:type="dxa"/>
              <w:end w:w="120" w:type="dxa"/>
            </w:tcMar>
            <w:vAlign w:val="center"/>
            <w:shd w:fill="E8EEF5"/>
          </w:tcPr>
          <w:p>
            <w:pPr>
              <w:spacing w:before="0" w:after="0" w:line="252" w:lineRule="auto"/>
            </w:pPr>
            <w:r>
              <w:rPr>
                <w:rFonts w:ascii="Calibri" w:hAnsi="Calibri"/>
                <w:b/>
                <w:color w:val="0B2545"/>
                <w:sz w:val="18"/>
              </w:rPr>
              <w:t>Player reasoning</w:t>
            </w:r>
          </w:p>
        </w:tc>
      </w:tr>
      <w:tr>
        <w:trPr>
          <w:cantSplit/>
        </w:trPr>
        <w:tc>
          <w:tcPr>
            <w:tcW w:type="dxa" w:w="2150"/>
          </w:tcPr>
          <w:p>
            <w:pPr>
              <w:spacing w:before="0" w:after="0" w:line="259" w:lineRule="auto"/>
            </w:pPr>
            <w:r>
              <w:rPr>
                <w:rFonts w:ascii="Calibri" w:hAnsi="Calibri"/>
                <w:color w:val="222222"/>
                <w:sz w:val="18"/>
              </w:rPr>
              <w:t>Boundary deduction</w:t>
            </w:r>
          </w:p>
        </w:tc>
        <w:tc>
          <w:tcPr>
            <w:tcW w:type="dxa" w:w="7210"/>
          </w:tcPr>
          <w:p>
            <w:pPr>
              <w:spacing w:before="0" w:after="0" w:line="259" w:lineRule="auto"/>
            </w:pPr>
            <w:r>
              <w:rPr>
                <w:rFonts w:ascii="Calibri" w:hAnsi="Calibri"/>
                <w:color w:val="222222"/>
                <w:sz w:val="18"/>
              </w:rPr>
              <w:t>Corner and edge requirements have fewer possible contributors, creating natural openings.</w:t>
            </w:r>
          </w:p>
        </w:tc>
      </w:tr>
      <w:tr>
        <w:trPr>
          <w:cantSplit/>
        </w:trPr>
        <w:tc>
          <w:tcPr>
            <w:tcW w:type="dxa" w:w="2150"/>
          </w:tcPr>
          <w:p>
            <w:pPr>
              <w:spacing w:before="0" w:after="0" w:line="259" w:lineRule="auto"/>
            </w:pPr>
            <w:r>
              <w:rPr>
                <w:rFonts w:ascii="Calibri" w:hAnsi="Calibri"/>
                <w:color w:val="222222"/>
                <w:sz w:val="18"/>
              </w:rPr>
              <w:t>Oversupply elimination</w:t>
            </w:r>
          </w:p>
        </w:tc>
        <w:tc>
          <w:tcPr>
            <w:tcW w:type="dxa" w:w="7210"/>
          </w:tcPr>
          <w:p>
            <w:pPr>
              <w:spacing w:before="0" w:after="0" w:line="259" w:lineRule="auto"/>
            </w:pPr>
            <w:r>
              <w:rPr>
                <w:rFonts w:ascii="Calibri" w:hAnsi="Calibri"/>
                <w:color w:val="222222"/>
                <w:sz w:val="18"/>
              </w:rPr>
              <w:t>A candidate is impossible if any affected resource would exceed its residual target.</w:t>
            </w:r>
          </w:p>
        </w:tc>
      </w:tr>
      <w:tr>
        <w:trPr>
          <w:cantSplit/>
        </w:trPr>
        <w:tc>
          <w:tcPr>
            <w:tcW w:type="dxa" w:w="2150"/>
          </w:tcPr>
          <w:p>
            <w:pPr>
              <w:spacing w:before="0" w:after="0" w:line="259" w:lineRule="auto"/>
            </w:pPr>
            <w:r>
              <w:rPr>
                <w:rFonts w:ascii="Calibri" w:hAnsi="Calibri"/>
                <w:color w:val="222222"/>
                <w:sz w:val="18"/>
              </w:rPr>
              <w:t>Peak matching</w:t>
            </w:r>
          </w:p>
        </w:tc>
        <w:tc>
          <w:tcPr>
            <w:tcW w:type="dxa" w:w="7210"/>
          </w:tcPr>
          <w:p>
            <w:pPr>
              <w:spacing w:before="0" w:after="0" w:line="259" w:lineRule="auto"/>
            </w:pPr>
            <w:r>
              <w:rPr>
                <w:rFonts w:ascii="Calibri" w:hAnsi="Calibri"/>
                <w:color w:val="222222"/>
                <w:sz w:val="18"/>
              </w:rPr>
              <w:t>A high value can identify the centre or overlap of a source footprint.</w:t>
            </w:r>
          </w:p>
        </w:tc>
      </w:tr>
      <w:tr>
        <w:trPr>
          <w:cantSplit/>
        </w:trPr>
        <w:tc>
          <w:tcPr>
            <w:tcW w:type="dxa" w:w="2150"/>
          </w:tcPr>
          <w:p>
            <w:pPr>
              <w:spacing w:before="0" w:after="0" w:line="259" w:lineRule="auto"/>
            </w:pPr>
            <w:r>
              <w:rPr>
                <w:rFonts w:ascii="Calibri" w:hAnsi="Calibri"/>
                <w:color w:val="222222"/>
                <w:sz w:val="18"/>
              </w:rPr>
              <w:t>Resource signature</w:t>
            </w:r>
          </w:p>
        </w:tc>
        <w:tc>
          <w:tcPr>
            <w:tcW w:type="dxa" w:w="7210"/>
          </w:tcPr>
          <w:p>
            <w:pPr>
              <w:spacing w:before="0" w:after="0" w:line="259" w:lineRule="auto"/>
            </w:pPr>
            <w:r>
              <w:rPr>
                <w:rFonts w:ascii="Calibri" w:hAnsi="Calibri"/>
                <w:color w:val="222222"/>
                <w:sz w:val="18"/>
              </w:rPr>
              <w:t>A distinctive combination of channels identifies a building type or overlap.</w:t>
            </w:r>
          </w:p>
        </w:tc>
      </w:tr>
      <w:tr>
        <w:trPr>
          <w:cantSplit/>
        </w:trPr>
        <w:tc>
          <w:tcPr>
            <w:tcW w:type="dxa" w:w="2150"/>
          </w:tcPr>
          <w:p>
            <w:pPr>
              <w:spacing w:before="0" w:after="0" w:line="259" w:lineRule="auto"/>
            </w:pPr>
            <w:r>
              <w:rPr>
                <w:rFonts w:ascii="Calibri" w:hAnsi="Calibri"/>
                <w:color w:val="222222"/>
                <w:sz w:val="18"/>
              </w:rPr>
              <w:t>Inventory deduction</w:t>
            </w:r>
          </w:p>
        </w:tc>
        <w:tc>
          <w:tcPr>
            <w:tcW w:type="dxa" w:w="7210"/>
          </w:tcPr>
          <w:p>
            <w:pPr>
              <w:spacing w:before="0" w:after="0" w:line="259" w:lineRule="auto"/>
            </w:pPr>
            <w:r>
              <w:rPr>
                <w:rFonts w:ascii="Calibri" w:hAnsi="Calibri"/>
                <w:color w:val="222222"/>
                <w:sz w:val="18"/>
              </w:rPr>
              <w:t>Once enough pieces of a type are placed or eliminated, remaining candidates become forced.</w:t>
            </w:r>
          </w:p>
        </w:tc>
      </w:tr>
      <w:tr>
        <w:trPr>
          <w:cantSplit/>
        </w:trPr>
        <w:tc>
          <w:tcPr>
            <w:tcW w:type="dxa" w:w="2150"/>
          </w:tcPr>
          <w:p>
            <w:pPr>
              <w:spacing w:before="0" w:after="0" w:line="259" w:lineRule="auto"/>
            </w:pPr>
            <w:r>
              <w:rPr>
                <w:rFonts w:ascii="Calibri" w:hAnsi="Calibri"/>
                <w:color w:val="222222"/>
                <w:sz w:val="18"/>
              </w:rPr>
              <w:t>Subtraction</w:t>
            </w:r>
          </w:p>
        </w:tc>
        <w:tc>
          <w:tcPr>
            <w:tcW w:type="dxa" w:w="7210"/>
          </w:tcPr>
          <w:p>
            <w:pPr>
              <w:spacing w:before="0" w:after="0" w:line="259" w:lineRule="auto"/>
            </w:pPr>
            <w:r>
              <w:rPr>
                <w:rFonts w:ascii="Calibri" w:hAnsi="Calibri"/>
                <w:color w:val="222222"/>
                <w:sz w:val="18"/>
              </w:rPr>
              <w:t>Placing a known building reduces the field to a smaller reconstruction problem.</w:t>
            </w:r>
          </w:p>
        </w:tc>
      </w:tr>
      <w:tr>
        <w:trPr>
          <w:cantSplit/>
        </w:trPr>
        <w:tc>
          <w:tcPr>
            <w:tcW w:type="dxa" w:w="2150"/>
          </w:tcPr>
          <w:p>
            <w:pPr>
              <w:spacing w:before="0" w:after="0" w:line="259" w:lineRule="auto"/>
            </w:pPr>
            <w:r>
              <w:rPr>
                <w:rFonts w:ascii="Calibri" w:hAnsi="Calibri"/>
                <w:color w:val="222222"/>
                <w:sz w:val="18"/>
              </w:rPr>
              <w:t>Sink necessity</w:t>
            </w:r>
          </w:p>
        </w:tc>
        <w:tc>
          <w:tcPr>
            <w:tcW w:type="dxa" w:w="7210"/>
          </w:tcPr>
          <w:p>
            <w:pPr>
              <w:spacing w:before="0" w:after="0" w:line="259" w:lineRule="auto"/>
            </w:pPr>
            <w:r>
              <w:rPr>
                <w:rFonts w:ascii="Calibri" w:hAnsi="Calibri"/>
                <w:color w:val="222222"/>
                <w:sz w:val="18"/>
              </w:rPr>
              <w:t>If all source-only arrangements oversupply an area, a sink must affect it.</w:t>
            </w:r>
          </w:p>
        </w:tc>
      </w:tr>
      <w:tr>
        <w:trPr>
          <w:cantSplit/>
        </w:trPr>
        <w:tc>
          <w:tcPr>
            <w:tcW w:type="dxa" w:w="2150"/>
          </w:tcPr>
          <w:p>
            <w:pPr>
              <w:spacing w:before="0" w:after="0" w:line="259" w:lineRule="auto"/>
            </w:pPr>
            <w:r>
              <w:rPr>
                <w:rFonts w:ascii="Calibri" w:hAnsi="Calibri"/>
                <w:color w:val="222222"/>
                <w:sz w:val="18"/>
              </w:rPr>
              <w:t>Cancellation signature</w:t>
            </w:r>
          </w:p>
        </w:tc>
        <w:tc>
          <w:tcPr>
            <w:tcW w:type="dxa" w:w="7210"/>
          </w:tcPr>
          <w:p>
            <w:pPr>
              <w:spacing w:before="0" w:after="0" w:line="259" w:lineRule="auto"/>
            </w:pPr>
            <w:r>
              <w:rPr>
                <w:rFonts w:ascii="Calibri" w:hAnsi="Calibri"/>
                <w:color w:val="222222"/>
                <w:sz w:val="18"/>
              </w:rPr>
              <w:t>Moderate values surrounded by strong peaks suggest overlapping production and absorption.</w:t>
            </w:r>
          </w:p>
        </w:tc>
      </w:tr>
      <w:tr>
        <w:trPr>
          <w:cantSplit/>
        </w:trPr>
        <w:tc>
          <w:tcPr>
            <w:tcW w:type="dxa" w:w="2150"/>
          </w:tcPr>
          <w:p>
            <w:pPr>
              <w:spacing w:before="0" w:after="0" w:line="259" w:lineRule="auto"/>
            </w:pPr>
            <w:r>
              <w:rPr>
                <w:rFonts w:ascii="Calibri" w:hAnsi="Calibri"/>
                <w:color w:val="222222"/>
                <w:sz w:val="18"/>
              </w:rPr>
              <w:t>Conversion balance</w:t>
            </w:r>
          </w:p>
        </w:tc>
        <w:tc>
          <w:tcPr>
            <w:tcW w:type="dxa" w:w="7210"/>
          </w:tcPr>
          <w:p>
            <w:pPr>
              <w:spacing w:before="0" w:after="0" w:line="259" w:lineRule="auto"/>
            </w:pPr>
            <w:r>
              <w:rPr>
                <w:rFonts w:ascii="Calibri" w:hAnsi="Calibri"/>
                <w:color w:val="222222"/>
                <w:sz w:val="18"/>
              </w:rPr>
              <w:t>A deficit in one channel paired with a shaped surplus in another can force a converter.</w:t>
            </w:r>
          </w:p>
        </w:tc>
      </w:tr>
      <w:tr>
        <w:trPr>
          <w:cantSplit/>
        </w:trPr>
        <w:tc>
          <w:tcPr>
            <w:tcW w:type="dxa" w:w="2150"/>
          </w:tcPr>
          <w:p>
            <w:pPr>
              <w:spacing w:before="0" w:after="0" w:line="259" w:lineRule="auto"/>
            </w:pPr>
            <w:r>
              <w:rPr>
                <w:rFonts w:ascii="Calibri" w:hAnsi="Calibri"/>
                <w:color w:val="222222"/>
                <w:sz w:val="18"/>
              </w:rPr>
              <w:t>Transport pair</w:t>
            </w:r>
          </w:p>
        </w:tc>
        <w:tc>
          <w:tcPr>
            <w:tcW w:type="dxa" w:w="7210"/>
          </w:tcPr>
          <w:p>
            <w:pPr>
              <w:spacing w:before="0" w:after="0" w:line="259" w:lineRule="auto"/>
            </w:pPr>
            <w:r>
              <w:rPr>
                <w:rFonts w:ascii="Calibri" w:hAnsi="Calibri"/>
                <w:color w:val="222222"/>
                <w:sz w:val="18"/>
              </w:rPr>
              <w:t>A matched negative intake and positive delivery, at a legal distance and orientation, can force a transporter.</w:t>
            </w:r>
          </w:p>
        </w:tc>
      </w:tr>
    </w:tbl>
    <w:p>
      <w:pPr>
        <w:spacing w:after="40"/>
      </w:pPr>
    </w:p>
    <w:p>
      <w:pPr>
        <w:spacing w:before="120" w:after="200" w:line="276" w:lineRule="auto"/>
        <w:ind w:left="230" w:right="173"/>
        <w:shd w:fill="F4F6F9"/>
        <w:pBdr>
          <w:left w:val="single" w:sz="18" w:space="8" w:color="2E74B5"/>
        </w:pBdr>
      </w:pPr>
      <w:r>
        <w:rPr>
          <w:rFonts w:ascii="Calibri" w:hAnsi="Calibri"/>
          <w:b/>
          <w:color w:val="2E74B5"/>
          <w:sz w:val="19"/>
        </w:rPr>
        <w:t xml:space="preserve">DIFFICULTY RULE  </w:t>
      </w:r>
      <w:r>
        <w:rPr>
          <w:rFonts w:ascii="Calibri" w:hAnsi="Calibri"/>
          <w:color w:val="0B2545"/>
          <w:sz w:val="21"/>
        </w:rPr>
        <w:t>A complete solver may use search to prove uniqueness. The player-facing solver should use only named deductions the game can teach and explain.</w:t>
      </w:r>
    </w:p>
    <w:p>
      <w:pPr>
        <w:pStyle w:val="Heading2"/>
        <w:keepNext/>
        <w:keepLines/>
      </w:pPr>
      <w:r>
        <w:t>Difficulty metrics</w:t>
      </w:r>
    </w:p>
    <w:p>
      <w:pPr>
        <w:numPr>
          <w:ilvl w:val="0"/>
          <w:numId w:val="10"/>
        </w:numPr>
      </w:pPr>
      <w:r>
        <w:rPr>
          <w:rFonts w:ascii="Calibri" w:hAnsi="Calibri"/>
        </w:rPr>
        <w:t>Number of forced placements and eliminations</w:t>
      </w:r>
    </w:p>
    <w:p>
      <w:pPr>
        <w:numPr>
          <w:ilvl w:val="0"/>
          <w:numId w:val="10"/>
        </w:numPr>
      </w:pPr>
      <w:r>
        <w:rPr>
          <w:rFonts w:ascii="Calibri" w:hAnsi="Calibri"/>
        </w:rPr>
        <w:t>Hardest deduction rule required</w:t>
      </w:r>
    </w:p>
    <w:p>
      <w:pPr>
        <w:numPr>
          <w:ilvl w:val="0"/>
          <w:numId w:val="10"/>
        </w:numPr>
      </w:pPr>
      <w:r>
        <w:rPr>
          <w:rFonts w:ascii="Calibri" w:hAnsi="Calibri"/>
        </w:rPr>
        <w:t>Maximum dependency-chain length</w:t>
      </w:r>
    </w:p>
    <w:p>
      <w:pPr>
        <w:numPr>
          <w:ilvl w:val="0"/>
          <w:numId w:val="10"/>
        </w:numPr>
      </w:pPr>
      <w:r>
        <w:rPr>
          <w:rFonts w:ascii="Calibri" w:hAnsi="Calibri"/>
        </w:rPr>
        <w:t>Number of simultaneously available productive moves</w:t>
      </w:r>
    </w:p>
    <w:p>
      <w:pPr>
        <w:numPr>
          <w:ilvl w:val="0"/>
          <w:numId w:val="10"/>
        </w:numPr>
      </w:pPr>
      <w:r>
        <w:rPr>
          <w:rFonts w:ascii="Calibri" w:hAnsi="Calibri"/>
        </w:rPr>
        <w:t>Largest bottleneck before the next deduction</w:t>
      </w:r>
    </w:p>
    <w:p>
      <w:pPr>
        <w:numPr>
          <w:ilvl w:val="0"/>
          <w:numId w:val="10"/>
        </w:numPr>
      </w:pPr>
      <w:r>
        <w:rPr>
          <w:rFonts w:ascii="Calibri" w:hAnsi="Calibri"/>
        </w:rPr>
        <w:t>Frequency and timing of source–sink, conversion, and transport reasoning</w:t>
      </w:r>
    </w:p>
    <w:p>
      <w:pPr>
        <w:numPr>
          <w:ilvl w:val="0"/>
          <w:numId w:val="10"/>
        </w:numPr>
      </w:pPr>
      <w:r>
        <w:rPr>
          <w:rFonts w:ascii="Calibri" w:hAnsi="Calibri"/>
        </w:rPr>
        <w:t>Number of deductions that connect two resource channels or separated cells</w:t>
      </w:r>
    </w:p>
    <w:p>
      <w:pPr>
        <w:numPr>
          <w:ilvl w:val="0"/>
          <w:numId w:val="10"/>
        </w:numPr>
      </w:pPr>
      <w:r>
        <w:rPr>
          <w:rFonts w:ascii="Calibri" w:hAnsi="Calibri"/>
        </w:rPr>
        <w:t>Amount of repeated scanning relative to meaningful deductions</w:t>
      </w:r>
    </w:p>
    <w:p>
      <w:pPr>
        <w:numPr>
          <w:ilvl w:val="0"/>
          <w:numId w:val="10"/>
        </w:numPr>
      </w:pPr>
      <w:r>
        <w:rPr>
          <w:rFonts w:ascii="Calibri" w:hAnsi="Calibri"/>
        </w:rPr>
        <w:t>Distribution of progress across the board</w:t>
      </w:r>
    </w:p>
    <w:p>
      <w:pPr>
        <w:pStyle w:val="Heading1"/>
        <w:keepNext/>
        <w:keepLines/>
      </w:pPr>
      <w:r>
        <w:t>6. Generator and solver architecture</w:t>
      </w:r>
    </w:p>
    <w:p>
      <w:pPr>
        <w:pStyle w:val="Heading2"/>
        <w:keepNext/>
        <w:keepLines/>
      </w:pPr>
      <w:r>
        <w:t>Candidate generation</w:t>
      </w:r>
    </w:p>
    <w:p>
      <w:pPr>
        <w:numPr>
          <w:ilvl w:val="0"/>
          <w:numId w:val="13"/>
        </w:numPr>
      </w:pPr>
      <w:r>
        <w:rPr>
          <w:rFonts w:ascii="Calibri" w:hAnsi="Calibri"/>
          <w:b/>
        </w:rPr>
        <w:t>Sample</w:t>
      </w:r>
      <w:r>
        <w:rPr>
          <w:rFonts w:ascii="Calibri" w:hAnsi="Calibri"/>
        </w:rPr>
        <w:t xml:space="preserve"> terrain, legal building cells, inventory, hidden placements, and transporter orientations.</w:t>
      </w:r>
    </w:p>
    <w:p>
      <w:pPr>
        <w:numPr>
          <w:ilvl w:val="0"/>
          <w:numId w:val="13"/>
        </w:numPr>
      </w:pPr>
      <w:r>
        <w:rPr>
          <w:rFonts w:ascii="Calibri" w:hAnsi="Calibri"/>
          <w:b/>
        </w:rPr>
        <w:t>Evaluate</w:t>
      </w:r>
      <w:r>
        <w:rPr>
          <w:rFonts w:ascii="Calibri" w:hAnsi="Calibri"/>
        </w:rPr>
        <w:t xml:space="preserve"> all signed source, sink, converter, and transporter kernels simultaneously to obtain the target field.</w:t>
      </w:r>
    </w:p>
    <w:p>
      <w:pPr>
        <w:numPr>
          <w:ilvl w:val="0"/>
          <w:numId w:val="13"/>
        </w:numPr>
      </w:pPr>
      <w:r>
        <w:rPr>
          <w:rFonts w:ascii="Calibri" w:hAnsi="Calibri"/>
          <w:b/>
        </w:rPr>
        <w:t>Reject</w:t>
      </w:r>
      <w:r>
        <w:rPr>
          <w:rFonts w:ascii="Calibri" w:hAnsi="Calibri"/>
        </w:rPr>
        <w:t xml:space="preserve"> aesthetically poor fields: excessive values, flat regions, or unreadable channel density.</w:t>
      </w:r>
    </w:p>
    <w:p>
      <w:pPr>
        <w:numPr>
          <w:ilvl w:val="0"/>
          <w:numId w:val="13"/>
        </w:numPr>
      </w:pPr>
      <w:r>
        <w:rPr>
          <w:rFonts w:ascii="Calibri" w:hAnsi="Calibri"/>
          <w:b/>
        </w:rPr>
        <w:t>Run</w:t>
      </w:r>
      <w:r>
        <w:rPr>
          <w:rFonts w:ascii="Calibri" w:hAnsi="Calibri"/>
        </w:rPr>
        <w:t xml:space="preserve"> the complete solver and stop after two solutions.</w:t>
      </w:r>
    </w:p>
    <w:p>
      <w:pPr>
        <w:numPr>
          <w:ilvl w:val="0"/>
          <w:numId w:val="13"/>
        </w:numPr>
      </w:pPr>
      <w:r>
        <w:rPr>
          <w:rFonts w:ascii="Calibri" w:hAnsi="Calibri"/>
          <w:b/>
        </w:rPr>
        <w:t>Reject</w:t>
      </w:r>
      <w:r>
        <w:rPr>
          <w:rFonts w:ascii="Calibri" w:hAnsi="Calibri"/>
        </w:rPr>
        <w:t xml:space="preserve"> ambiguous candidates or add a controlled terrain restriction before retrying.</w:t>
      </w:r>
    </w:p>
    <w:p>
      <w:pPr>
        <w:numPr>
          <w:ilvl w:val="0"/>
          <w:numId w:val="13"/>
        </w:numPr>
      </w:pPr>
      <w:r>
        <w:rPr>
          <w:rFonts w:ascii="Calibri" w:hAnsi="Calibri"/>
          <w:b/>
        </w:rPr>
        <w:t>Run</w:t>
      </w:r>
      <w:r>
        <w:rPr>
          <w:rFonts w:ascii="Calibri" w:hAnsi="Calibri"/>
        </w:rPr>
        <w:t xml:space="preserve"> the human-style solver and retain the complete deduction trace.</w:t>
      </w:r>
    </w:p>
    <w:p>
      <w:pPr>
        <w:numPr>
          <w:ilvl w:val="0"/>
          <w:numId w:val="13"/>
        </w:numPr>
      </w:pPr>
      <w:r>
        <w:rPr>
          <w:rFonts w:ascii="Calibri" w:hAnsi="Calibri"/>
          <w:b/>
        </w:rPr>
        <w:t>Rate</w:t>
      </w:r>
      <w:r>
        <w:rPr>
          <w:rFonts w:ascii="Calibri" w:hAnsi="Calibri"/>
        </w:rPr>
        <w:t xml:space="preserve"> the trace and accept only the desired difficulty profile.</w:t>
      </w:r>
    </w:p>
    <w:p>
      <w:pPr>
        <w:pStyle w:val="Heading2"/>
        <w:keepNext/>
        <w:keepLines/>
      </w:pPr>
      <w:r>
        <w:t>Reference pseudocode</w:t>
      </w:r>
    </w:p>
    <w:p>
      <w:pPr>
        <w:spacing w:before="80" w:after="200" w:line="252" w:lineRule="auto"/>
        <w:ind w:left="317" w:right="259"/>
        <w:shd w:fill="F7F9FB"/>
      </w:pPr>
      <w:r>
        <w:rPr>
          <w:rFonts w:ascii="Consolas" w:hAnsi="Consolas"/>
          <w:color w:val="0B2545"/>
          <w:sz w:val="18"/>
        </w:rPr>
        <w:t>repeat:</w:t>
        <w:br/>
        <w:t xml:space="preserve">    city   = sample_hidden_city(inventory, terrain)</w:t>
        <w:br/>
        <w:t xml:space="preserve">    target = evaluate_resource_field(city)</w:t>
        <w:br/>
        <w:t xml:space="preserve">    sols   = complete_solver(target, limit=2)</w:t>
        <w:br/>
        <w:t xml:space="preserve">    if count(sols) != 1: continue</w:t>
        <w:br/>
        <w:t xml:space="preserve">    trace  = human_solver(target)</w:t>
        <w:br/>
        <w:t xml:space="preserve">    if trace.requires_guess: continue</w:t>
        <w:br/>
        <w:t xml:space="preserve">    if not quality_gate(trace, target): continue</w:t>
        <w:br/>
        <w:t xml:space="preserve">    return puzzle(target, inventory, terrain, trace)</w:t>
      </w:r>
    </w:p>
    <w:p>
      <w:pPr>
        <w:pStyle w:val="Heading2"/>
        <w:keepNext/>
        <w:keepLines/>
      </w:pPr>
      <w:r>
        <w:t>Solver responsibilities</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800"/>
        <w:gridCol w:w="3100"/>
        <w:gridCol w:w="1350"/>
        <w:gridCol w:w="3110"/>
      </w:tblGrid>
      <w:tr>
        <w:trPr>
          <w:tblHeader w:val="true"/>
          <w:cantSplit/>
        </w:trPr>
        <w:tc>
          <w:tcPr>
            <w:tcW w:type="dxa" w:w="18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Solver</w:t>
            </w:r>
          </w:p>
        </w:tc>
        <w:tc>
          <w:tcPr>
            <w:tcW w:type="dxa" w:w="310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Purpose</w:t>
            </w:r>
          </w:p>
        </w:tc>
        <w:tc>
          <w:tcPr>
            <w:tcW w:type="dxa" w:w="1350"/>
            <w:tcMar>
              <w:top w:w="80" w:type="dxa"/>
              <w:start w:w="120" w:type="dxa"/>
              <w:bottom w:w="80" w:type="dxa"/>
              <w:end w:w="120" w:type="dxa"/>
            </w:tcMar>
            <w:vAlign w:val="center"/>
            <w:shd w:fill="E8EEF5"/>
          </w:tcPr>
          <w:p>
            <w:pPr>
              <w:spacing w:before="0" w:after="0" w:line="252" w:lineRule="auto"/>
              <w:jc w:val="center"/>
            </w:pPr>
            <w:r>
              <w:rPr>
                <w:rFonts w:ascii="Calibri" w:hAnsi="Calibri"/>
                <w:b/>
                <w:color w:val="0B2545"/>
                <w:sz w:val="18"/>
              </w:rPr>
              <w:t>May use search?</w:t>
            </w:r>
          </w:p>
        </w:tc>
        <w:tc>
          <w:tcPr>
            <w:tcW w:type="dxa" w:w="3110"/>
            <w:tcMar>
              <w:top w:w="80" w:type="dxa"/>
              <w:start w:w="120" w:type="dxa"/>
              <w:bottom w:w="80" w:type="dxa"/>
              <w:end w:w="120" w:type="dxa"/>
            </w:tcMar>
            <w:vAlign w:val="center"/>
            <w:shd w:fill="E8EEF5"/>
          </w:tcPr>
          <w:p>
            <w:pPr>
              <w:spacing w:before="0" w:after="0" w:line="252" w:lineRule="auto"/>
              <w:jc w:val="left"/>
            </w:pPr>
            <w:r>
              <w:rPr>
                <w:rFonts w:ascii="Calibri" w:hAnsi="Calibri"/>
                <w:b/>
                <w:color w:val="0B2545"/>
                <w:sz w:val="18"/>
              </w:rPr>
              <w:t>Output</w:t>
            </w:r>
          </w:p>
        </w:tc>
      </w:tr>
      <w:tr>
        <w:trPr>
          <w:cantSplit/>
        </w:trPr>
        <w:tc>
          <w:tcPr>
            <w:tcW w:type="dxa" w:w="1800"/>
          </w:tcPr>
          <w:p>
            <w:pPr>
              <w:spacing w:before="0" w:after="0" w:line="259" w:lineRule="auto"/>
              <w:jc w:val="left"/>
            </w:pPr>
            <w:r>
              <w:rPr>
                <w:rFonts w:ascii="Calibri" w:hAnsi="Calibri"/>
                <w:color w:val="222222"/>
                <w:sz w:val="18"/>
              </w:rPr>
              <w:t>Complete solver</w:t>
            </w:r>
          </w:p>
        </w:tc>
        <w:tc>
          <w:tcPr>
            <w:tcW w:type="dxa" w:w="3100"/>
          </w:tcPr>
          <w:p>
            <w:pPr>
              <w:spacing w:before="0" w:after="0" w:line="259" w:lineRule="auto"/>
              <w:jc w:val="left"/>
            </w:pPr>
            <w:r>
              <w:rPr>
                <w:rFonts w:ascii="Calibri" w:hAnsi="Calibri"/>
                <w:color w:val="222222"/>
                <w:sz w:val="18"/>
              </w:rPr>
              <w:t>Prove existence and uniqueness</w:t>
            </w:r>
          </w:p>
        </w:tc>
        <w:tc>
          <w:tcPr>
            <w:tcW w:type="dxa" w:w="1350"/>
          </w:tcPr>
          <w:p>
            <w:pPr>
              <w:spacing w:before="0" w:after="0" w:line="259" w:lineRule="auto"/>
              <w:jc w:val="center"/>
            </w:pPr>
            <w:r>
              <w:rPr>
                <w:rFonts w:ascii="Calibri" w:hAnsi="Calibri"/>
                <w:color w:val="222222"/>
                <w:sz w:val="18"/>
              </w:rPr>
              <w:t>Yes</w:t>
            </w:r>
          </w:p>
        </w:tc>
        <w:tc>
          <w:tcPr>
            <w:tcW w:type="dxa" w:w="3110"/>
          </w:tcPr>
          <w:p>
            <w:pPr>
              <w:spacing w:before="0" w:after="0" w:line="259" w:lineRule="auto"/>
              <w:jc w:val="left"/>
            </w:pPr>
            <w:r>
              <w:rPr>
                <w:rFonts w:ascii="Calibri" w:hAnsi="Calibri"/>
                <w:color w:val="222222"/>
                <w:sz w:val="18"/>
              </w:rPr>
              <w:t>0, 1, or ≥2 legal arrangements</w:t>
            </w:r>
          </w:p>
        </w:tc>
      </w:tr>
      <w:tr>
        <w:trPr>
          <w:cantSplit/>
        </w:trPr>
        <w:tc>
          <w:tcPr>
            <w:tcW w:type="dxa" w:w="1800"/>
          </w:tcPr>
          <w:p>
            <w:pPr>
              <w:spacing w:before="0" w:after="0" w:line="259" w:lineRule="auto"/>
              <w:jc w:val="left"/>
            </w:pPr>
            <w:r>
              <w:rPr>
                <w:rFonts w:ascii="Calibri" w:hAnsi="Calibri"/>
                <w:color w:val="222222"/>
                <w:sz w:val="18"/>
              </w:rPr>
              <w:t>Human-style solver</w:t>
            </w:r>
          </w:p>
        </w:tc>
        <w:tc>
          <w:tcPr>
            <w:tcW w:type="dxa" w:w="3100"/>
          </w:tcPr>
          <w:p>
            <w:pPr>
              <w:spacing w:before="0" w:after="0" w:line="259" w:lineRule="auto"/>
              <w:jc w:val="left"/>
            </w:pPr>
            <w:r>
              <w:rPr>
                <w:rFonts w:ascii="Calibri" w:hAnsi="Calibri"/>
                <w:color w:val="222222"/>
                <w:sz w:val="18"/>
              </w:rPr>
              <w:t>Prove deduction-only play under taught rules</w:t>
            </w:r>
          </w:p>
        </w:tc>
        <w:tc>
          <w:tcPr>
            <w:tcW w:type="dxa" w:w="1350"/>
          </w:tcPr>
          <w:p>
            <w:pPr>
              <w:spacing w:before="0" w:after="0" w:line="259" w:lineRule="auto"/>
              <w:jc w:val="center"/>
            </w:pPr>
            <w:r>
              <w:rPr>
                <w:rFonts w:ascii="Calibri" w:hAnsi="Calibri"/>
                <w:color w:val="222222"/>
                <w:sz w:val="18"/>
              </w:rPr>
              <w:t>No</w:t>
            </w:r>
          </w:p>
        </w:tc>
        <w:tc>
          <w:tcPr>
            <w:tcW w:type="dxa" w:w="3110"/>
          </w:tcPr>
          <w:p>
            <w:pPr>
              <w:spacing w:before="0" w:after="0" w:line="259" w:lineRule="auto"/>
              <w:jc w:val="left"/>
            </w:pPr>
            <w:r>
              <w:rPr>
                <w:rFonts w:ascii="Calibri" w:hAnsi="Calibri"/>
                <w:color w:val="222222"/>
                <w:sz w:val="18"/>
              </w:rPr>
              <w:t>Ordered, explainable deduction trace</w:t>
            </w:r>
          </w:p>
        </w:tc>
      </w:tr>
      <w:tr>
        <w:trPr>
          <w:cantSplit/>
        </w:trPr>
        <w:tc>
          <w:tcPr>
            <w:tcW w:type="dxa" w:w="1800"/>
          </w:tcPr>
          <w:p>
            <w:pPr>
              <w:spacing w:before="0" w:after="0" w:line="259" w:lineRule="auto"/>
              <w:jc w:val="left"/>
            </w:pPr>
            <w:r>
              <w:rPr>
                <w:rFonts w:ascii="Calibri" w:hAnsi="Calibri"/>
                <w:color w:val="222222"/>
                <w:sz w:val="18"/>
              </w:rPr>
              <w:t>Difficulty rater</w:t>
            </w:r>
          </w:p>
        </w:tc>
        <w:tc>
          <w:tcPr>
            <w:tcW w:type="dxa" w:w="3100"/>
          </w:tcPr>
          <w:p>
            <w:pPr>
              <w:spacing w:before="0" w:after="0" w:line="259" w:lineRule="auto"/>
              <w:jc w:val="left"/>
            </w:pPr>
            <w:r>
              <w:rPr>
                <w:rFonts w:ascii="Calibri" w:hAnsi="Calibri"/>
                <w:color w:val="222222"/>
                <w:sz w:val="18"/>
              </w:rPr>
              <w:t>Estimate pacing and player effort</w:t>
            </w:r>
          </w:p>
        </w:tc>
        <w:tc>
          <w:tcPr>
            <w:tcW w:type="dxa" w:w="1350"/>
          </w:tcPr>
          <w:p>
            <w:pPr>
              <w:spacing w:before="0" w:after="0" w:line="259" w:lineRule="auto"/>
              <w:jc w:val="center"/>
            </w:pPr>
            <w:r>
              <w:rPr>
                <w:rFonts w:ascii="Calibri" w:hAnsi="Calibri"/>
                <w:color w:val="222222"/>
                <w:sz w:val="18"/>
              </w:rPr>
              <w:t>N/A</w:t>
            </w:r>
          </w:p>
        </w:tc>
        <w:tc>
          <w:tcPr>
            <w:tcW w:type="dxa" w:w="3110"/>
          </w:tcPr>
          <w:p>
            <w:pPr>
              <w:spacing w:before="0" w:after="0" w:line="259" w:lineRule="auto"/>
              <w:jc w:val="left"/>
            </w:pPr>
            <w:r>
              <w:rPr>
                <w:rFonts w:ascii="Calibri" w:hAnsi="Calibri"/>
                <w:color w:val="222222"/>
                <w:sz w:val="18"/>
              </w:rPr>
              <w:t>Metrics and target difficulty band</w:t>
            </w:r>
          </w:p>
        </w:tc>
      </w:tr>
      <w:tr>
        <w:trPr>
          <w:cantSplit/>
        </w:trPr>
        <w:tc>
          <w:tcPr>
            <w:tcW w:type="dxa" w:w="1800"/>
          </w:tcPr>
          <w:p>
            <w:pPr>
              <w:spacing w:before="0" w:after="0" w:line="259" w:lineRule="auto"/>
              <w:jc w:val="left"/>
            </w:pPr>
            <w:r>
              <w:rPr>
                <w:rFonts w:ascii="Calibri" w:hAnsi="Calibri"/>
                <w:color w:val="222222"/>
                <w:sz w:val="18"/>
              </w:rPr>
              <w:t>Hint system</w:t>
            </w:r>
          </w:p>
        </w:tc>
        <w:tc>
          <w:tcPr>
            <w:tcW w:type="dxa" w:w="3100"/>
          </w:tcPr>
          <w:p>
            <w:pPr>
              <w:spacing w:before="0" w:after="0" w:line="259" w:lineRule="auto"/>
              <w:jc w:val="left"/>
            </w:pPr>
            <w:r>
              <w:rPr>
                <w:rFonts w:ascii="Calibri" w:hAnsi="Calibri"/>
                <w:color w:val="222222"/>
                <w:sz w:val="18"/>
              </w:rPr>
              <w:t>Select the next useful constraint without spoiling the answer</w:t>
            </w:r>
          </w:p>
        </w:tc>
        <w:tc>
          <w:tcPr>
            <w:tcW w:type="dxa" w:w="1350"/>
          </w:tcPr>
          <w:p>
            <w:pPr>
              <w:spacing w:before="0" w:after="0" w:line="259" w:lineRule="auto"/>
              <w:jc w:val="center"/>
            </w:pPr>
            <w:r>
              <w:rPr>
                <w:rFonts w:ascii="Calibri" w:hAnsi="Calibri"/>
                <w:color w:val="222222"/>
                <w:sz w:val="18"/>
              </w:rPr>
              <w:t>No</w:t>
            </w:r>
          </w:p>
        </w:tc>
        <w:tc>
          <w:tcPr>
            <w:tcW w:type="dxa" w:w="3110"/>
          </w:tcPr>
          <w:p>
            <w:pPr>
              <w:spacing w:before="0" w:after="0" w:line="259" w:lineRule="auto"/>
              <w:jc w:val="left"/>
            </w:pPr>
            <w:r>
              <w:rPr>
                <w:rFonts w:ascii="Calibri" w:hAnsi="Calibri"/>
                <w:color w:val="222222"/>
                <w:sz w:val="18"/>
              </w:rPr>
              <w:t>Focus area and explanation</w:t>
            </w:r>
          </w:p>
        </w:tc>
      </w:tr>
    </w:tbl>
    <w:p>
      <w:pPr>
        <w:spacing w:after="40"/>
      </w:pPr>
    </w:p>
    <w:p>
      <w:pPr>
        <w:pStyle w:val="Heading1"/>
        <w:keepNext/>
        <w:keepLines/>
      </w:pPr>
      <w:r>
        <w:t>7. Principal design risks</w:t>
      </w:r>
    </w:p>
    <w:tbl>
      <w:tblPr>
        <w:tblStyle w:val="TableGrid"/>
        <w:tblW w:type="dxa" w:w="9360"/>
        <w:jc w:val="left"/>
        <w:tblLayout w:type="fixed"/>
        <w:tblLook w:firstColumn="1" w:firstRow="1" w:lastColumn="0" w:lastRow="0" w:noHBand="0" w:noVBand="1" w:val="04A0"/>
        <w:tblInd w:w="120" w:type="dxa"/>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Pr>
      <w:tblGrid>
        <w:gridCol w:w="1780"/>
        <w:gridCol w:w="3600"/>
        <w:gridCol w:w="3980"/>
      </w:tblGrid>
      <w:tr>
        <w:trPr>
          <w:tblHeader w:val="true"/>
          <w:cantSplit/>
        </w:trPr>
        <w:tc>
          <w:tcPr>
            <w:tcW w:type="dxa" w:w="178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Risk</w:t>
            </w:r>
          </w:p>
        </w:tc>
        <w:tc>
          <w:tcPr>
            <w:tcW w:type="dxa" w:w="360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Why it matters</w:t>
            </w:r>
          </w:p>
        </w:tc>
        <w:tc>
          <w:tcPr>
            <w:tcW w:type="dxa" w:w="3980"/>
            <w:tcMar>
              <w:top w:w="80" w:type="dxa"/>
              <w:start w:w="120" w:type="dxa"/>
              <w:bottom w:w="80" w:type="dxa"/>
              <w:end w:w="120" w:type="dxa"/>
            </w:tcMar>
            <w:vAlign w:val="center"/>
            <w:shd w:fill="E8EEF5"/>
          </w:tcPr>
          <w:p>
            <w:pPr>
              <w:spacing w:before="0" w:after="0" w:line="252" w:lineRule="auto"/>
            </w:pPr>
            <w:r>
              <w:rPr>
                <w:rFonts w:ascii="Calibri" w:hAnsi="Calibri"/>
                <w:b/>
                <w:color w:val="0B2545"/>
                <w:sz w:val="17"/>
              </w:rPr>
              <w:t>Early mitigation</w:t>
            </w:r>
          </w:p>
        </w:tc>
      </w:tr>
      <w:tr>
        <w:trPr>
          <w:cantSplit/>
        </w:trPr>
        <w:tc>
          <w:tcPr>
            <w:tcW w:type="dxa" w:w="1780"/>
          </w:tcPr>
          <w:p>
            <w:pPr>
              <w:spacing w:before="0" w:after="0" w:line="259" w:lineRule="auto"/>
            </w:pPr>
            <w:r>
              <w:rPr>
                <w:rFonts w:ascii="Calibri" w:hAnsi="Calibri"/>
                <w:color w:val="222222"/>
                <w:sz w:val="17"/>
              </w:rPr>
              <w:t>Spreadsheet feeling</w:t>
            </w:r>
          </w:p>
        </w:tc>
        <w:tc>
          <w:tcPr>
            <w:tcW w:type="dxa" w:w="3600"/>
          </w:tcPr>
          <w:p>
            <w:pPr>
              <w:spacing w:before="0" w:after="0" w:line="259" w:lineRule="auto"/>
            </w:pPr>
            <w:r>
              <w:rPr>
                <w:rFonts w:ascii="Calibri" w:hAnsi="Calibri"/>
                <w:color w:val="222222"/>
                <w:sz w:val="17"/>
              </w:rPr>
              <w:t>Too many small numbers turn spatial reasoning into arithmetic bookkeeping.</w:t>
            </w:r>
          </w:p>
        </w:tc>
        <w:tc>
          <w:tcPr>
            <w:tcW w:type="dxa" w:w="3980"/>
          </w:tcPr>
          <w:p>
            <w:pPr>
              <w:spacing w:before="0" w:after="0" w:line="259" w:lineRule="auto"/>
            </w:pPr>
            <w:r>
              <w:rPr>
                <w:rFonts w:ascii="Calibri" w:hAnsi="Calibri"/>
                <w:color w:val="222222"/>
                <w:sz w:val="17"/>
              </w:rPr>
              <w:t>Two channels, values 0–3, strong icons, and residual-demand animation.</w:t>
            </w:r>
          </w:p>
        </w:tc>
      </w:tr>
      <w:tr>
        <w:trPr>
          <w:cantSplit/>
        </w:trPr>
        <w:tc>
          <w:tcPr>
            <w:tcW w:type="dxa" w:w="1780"/>
          </w:tcPr>
          <w:p>
            <w:pPr>
              <w:spacing w:before="0" w:after="0" w:line="259" w:lineRule="auto"/>
            </w:pPr>
            <w:r>
              <w:rPr>
                <w:rFonts w:ascii="Calibri" w:hAnsi="Calibri"/>
                <w:color w:val="222222"/>
                <w:sz w:val="17"/>
              </w:rPr>
              <w:t>Colored Mosaic</w:t>
            </w:r>
          </w:p>
        </w:tc>
        <w:tc>
          <w:tcPr>
            <w:tcW w:type="dxa" w:w="3600"/>
          </w:tcPr>
          <w:p>
            <w:pPr>
              <w:spacing w:before="0" w:after="0" w:line="259" w:lineRule="auto"/>
            </w:pPr>
            <w:r>
              <w:rPr>
                <w:rFonts w:ascii="Calibri" w:hAnsi="Calibri"/>
                <w:color w:val="222222"/>
                <w:sz w:val="17"/>
              </w:rPr>
              <w:t>Uniform footprints and channels make the concept feel like a reskin.</w:t>
            </w:r>
          </w:p>
        </w:tc>
        <w:tc>
          <w:tcPr>
            <w:tcW w:type="dxa" w:w="3980"/>
          </w:tcPr>
          <w:p>
            <w:pPr>
              <w:spacing w:before="0" w:after="0" w:line="259" w:lineRule="auto"/>
            </w:pPr>
            <w:r>
              <w:rPr>
                <w:rFonts w:ascii="Calibri" w:hAnsi="Calibri"/>
                <w:color w:val="222222"/>
                <w:sz w:val="17"/>
              </w:rPr>
              <w:t>Use visibly different kernels and at least one two-channel building.</w:t>
            </w:r>
          </w:p>
        </w:tc>
      </w:tr>
      <w:tr>
        <w:trPr>
          <w:cantSplit/>
        </w:trPr>
        <w:tc>
          <w:tcPr>
            <w:tcW w:type="dxa" w:w="1780"/>
          </w:tcPr>
          <w:p>
            <w:pPr>
              <w:spacing w:before="0" w:after="0" w:line="259" w:lineRule="auto"/>
            </w:pPr>
            <w:r>
              <w:rPr>
                <w:rFonts w:ascii="Calibri" w:hAnsi="Calibri"/>
                <w:color w:val="222222"/>
                <w:sz w:val="17"/>
              </w:rPr>
              <w:t>Ambiguous fields</w:t>
            </w:r>
          </w:p>
        </w:tc>
        <w:tc>
          <w:tcPr>
            <w:tcW w:type="dxa" w:w="3600"/>
          </w:tcPr>
          <w:p>
            <w:pPr>
              <w:spacing w:before="0" w:after="0" w:line="259" w:lineRule="auto"/>
            </w:pPr>
            <w:r>
              <w:rPr>
                <w:rFonts w:ascii="Calibri" w:hAnsi="Calibri"/>
                <w:color w:val="222222"/>
                <w:sz w:val="17"/>
              </w:rPr>
              <w:t>Different cities may create identical measurements.</w:t>
            </w:r>
          </w:p>
        </w:tc>
        <w:tc>
          <w:tcPr>
            <w:tcW w:type="dxa" w:w="3980"/>
          </w:tcPr>
          <w:p>
            <w:pPr>
              <w:spacing w:before="0" w:after="0" w:line="259" w:lineRule="auto"/>
            </w:pPr>
            <w:r>
              <w:rPr>
                <w:rFonts w:ascii="Calibri" w:hAnsi="Calibri"/>
                <w:color w:val="222222"/>
                <w:sz w:val="17"/>
              </w:rPr>
              <w:t>Second-solution checks, asymmetric terrain, fixed inventory, and differentiated kernels.</w:t>
            </w:r>
          </w:p>
        </w:tc>
      </w:tr>
      <w:tr>
        <w:trPr>
          <w:cantSplit/>
        </w:trPr>
        <w:tc>
          <w:tcPr>
            <w:tcW w:type="dxa" w:w="1780"/>
          </w:tcPr>
          <w:p>
            <w:pPr>
              <w:spacing w:before="0" w:after="0" w:line="259" w:lineRule="auto"/>
            </w:pPr>
            <w:r>
              <w:rPr>
                <w:rFonts w:ascii="Calibri" w:hAnsi="Calibri"/>
                <w:color w:val="222222"/>
                <w:sz w:val="17"/>
              </w:rPr>
              <w:t>Operator overload</w:t>
            </w:r>
          </w:p>
        </w:tc>
        <w:tc>
          <w:tcPr>
            <w:tcW w:type="dxa" w:w="3600"/>
          </w:tcPr>
          <w:p>
            <w:pPr>
              <w:spacing w:before="0" w:after="0" w:line="259" w:lineRule="auto"/>
            </w:pPr>
            <w:r>
              <w:rPr>
                <w:rFonts w:ascii="Calibri" w:hAnsi="Calibri"/>
                <w:color w:val="222222"/>
                <w:sz w:val="17"/>
              </w:rPr>
              <w:t>Four operator families can overwhelm players before they learn the common signed-footprint language.</w:t>
            </w:r>
          </w:p>
        </w:tc>
        <w:tc>
          <w:tcPr>
            <w:tcW w:type="dxa" w:w="3980"/>
          </w:tcPr>
          <w:p>
            <w:pPr>
              <w:spacing w:before="0" w:after="0" w:line="259" w:lineRule="auto"/>
            </w:pPr>
            <w:r>
              <w:rPr>
                <w:rFonts w:ascii="Calibri" w:hAnsi="Calibri"/>
                <w:color w:val="222222"/>
                <w:sz w:val="17"/>
              </w:rPr>
              <w:t>Teach one family per short tutorial, then use all four in standard puzzles.</w:t>
            </w:r>
          </w:p>
        </w:tc>
      </w:tr>
      <w:tr>
        <w:trPr>
          <w:cantSplit/>
        </w:trPr>
        <w:tc>
          <w:tcPr>
            <w:tcW w:type="dxa" w:w="1780"/>
          </w:tcPr>
          <w:p>
            <w:pPr>
              <w:spacing w:before="0" w:after="0" w:line="259" w:lineRule="auto"/>
            </w:pPr>
            <w:r>
              <w:rPr>
                <w:rFonts w:ascii="Calibri" w:hAnsi="Calibri"/>
                <w:color w:val="222222"/>
                <w:sz w:val="17"/>
              </w:rPr>
              <w:t>Cancellation opacity</w:t>
            </w:r>
          </w:p>
        </w:tc>
        <w:tc>
          <w:tcPr>
            <w:tcW w:type="dxa" w:w="3600"/>
          </w:tcPr>
          <w:p>
            <w:pPr>
              <w:spacing w:before="0" w:after="0" w:line="259" w:lineRule="auto"/>
            </w:pPr>
            <w:r>
              <w:rPr>
                <w:rFonts w:ascii="Calibri" w:hAnsi="Calibri"/>
                <w:color w:val="222222"/>
                <w:sz w:val="17"/>
              </w:rPr>
              <w:t>Conversion and transport can hide causes rather than reveal them.</w:t>
            </w:r>
          </w:p>
        </w:tc>
        <w:tc>
          <w:tcPr>
            <w:tcW w:type="dxa" w:w="3980"/>
          </w:tcPr>
          <w:p>
            <w:pPr>
              <w:spacing w:before="0" w:after="0" w:line="259" w:lineRule="auto"/>
            </w:pPr>
            <w:r>
              <w:rPr>
                <w:rFonts w:ascii="Calibri" w:hAnsi="Calibri"/>
                <w:color w:val="222222"/>
                <w:sz w:val="17"/>
              </w:rPr>
              <w:t>Use compact signatures, persistent arrows, and paired input/output highlighting.</w:t>
            </w:r>
          </w:p>
        </w:tc>
      </w:tr>
      <w:tr>
        <w:trPr>
          <w:cantSplit/>
        </w:trPr>
        <w:tc>
          <w:tcPr>
            <w:tcW w:type="dxa" w:w="1780"/>
          </w:tcPr>
          <w:p>
            <w:pPr>
              <w:spacing w:before="0" w:after="0" w:line="259" w:lineRule="auto"/>
            </w:pPr>
            <w:r>
              <w:rPr>
                <w:rFonts w:ascii="Calibri" w:hAnsi="Calibri"/>
                <w:color w:val="222222"/>
                <w:sz w:val="17"/>
              </w:rPr>
              <w:t>Unique but tedious</w:t>
            </w:r>
          </w:p>
        </w:tc>
        <w:tc>
          <w:tcPr>
            <w:tcW w:type="dxa" w:w="3600"/>
          </w:tcPr>
          <w:p>
            <w:pPr>
              <w:spacing w:before="0" w:after="0" w:line="259" w:lineRule="auto"/>
            </w:pPr>
            <w:r>
              <w:rPr>
                <w:rFonts w:ascii="Calibri" w:hAnsi="Calibri"/>
                <w:color w:val="222222"/>
                <w:sz w:val="17"/>
              </w:rPr>
              <w:t>A solver certificate does not guarantee satisfying human reasoning.</w:t>
            </w:r>
          </w:p>
        </w:tc>
        <w:tc>
          <w:tcPr>
            <w:tcW w:type="dxa" w:w="3980"/>
          </w:tcPr>
          <w:p>
            <w:pPr>
              <w:spacing w:before="0" w:after="0" w:line="259" w:lineRule="auto"/>
            </w:pPr>
            <w:r>
              <w:rPr>
                <w:rFonts w:ascii="Calibri" w:hAnsi="Calibri"/>
                <w:color w:val="222222"/>
                <w:sz w:val="17"/>
              </w:rPr>
              <w:t>Require a named-rule trace and reject excessive scan burden.</w:t>
            </w:r>
          </w:p>
        </w:tc>
      </w:tr>
      <w:tr>
        <w:trPr>
          <w:cantSplit/>
        </w:trPr>
        <w:tc>
          <w:tcPr>
            <w:tcW w:type="dxa" w:w="1780"/>
          </w:tcPr>
          <w:p>
            <w:pPr>
              <w:spacing w:before="0" w:after="0" w:line="259" w:lineRule="auto"/>
            </w:pPr>
            <w:r>
              <w:rPr>
                <w:rFonts w:ascii="Calibri" w:hAnsi="Calibri"/>
                <w:color w:val="222222"/>
                <w:sz w:val="17"/>
              </w:rPr>
              <w:t>Theme-rule mismatch</w:t>
            </w:r>
          </w:p>
        </w:tc>
        <w:tc>
          <w:tcPr>
            <w:tcW w:type="dxa" w:w="3600"/>
          </w:tcPr>
          <w:p>
            <w:pPr>
              <w:spacing w:before="0" w:after="0" w:line="259" w:lineRule="auto"/>
            </w:pPr>
            <w:r>
              <w:rPr>
                <w:rFonts w:ascii="Calibri" w:hAnsi="Calibri"/>
                <w:color w:val="222222"/>
                <w:sz w:val="17"/>
              </w:rPr>
              <w:t>Exact amounts of universally beneficial services can feel artificial.</w:t>
            </w:r>
          </w:p>
        </w:tc>
        <w:tc>
          <w:tcPr>
            <w:tcW w:type="dxa" w:w="3980"/>
          </w:tcPr>
          <w:p>
            <w:pPr>
              <w:spacing w:before="0" w:after="0" w:line="259" w:lineRule="auto"/>
            </w:pPr>
            <w:r>
              <w:rPr>
                <w:rFonts w:ascii="Calibri" w:hAnsi="Calibri"/>
                <w:color w:val="222222"/>
                <w:sz w:val="17"/>
              </w:rPr>
              <w:t>Frame values as planned capacity, or later separate needs from pressures.</w:t>
            </w:r>
          </w:p>
        </w:tc>
      </w:tr>
      <w:tr>
        <w:trPr>
          <w:cantSplit/>
        </w:trPr>
        <w:tc>
          <w:tcPr>
            <w:tcW w:type="dxa" w:w="1780"/>
          </w:tcPr>
          <w:p>
            <w:pPr>
              <w:spacing w:before="0" w:after="0" w:line="259" w:lineRule="auto"/>
            </w:pPr>
            <w:r>
              <w:rPr>
                <w:rFonts w:ascii="Calibri" w:hAnsi="Calibri"/>
                <w:color w:val="222222"/>
                <w:sz w:val="17"/>
              </w:rPr>
              <w:t>Routing ambiguity</w:t>
            </w:r>
          </w:p>
        </w:tc>
        <w:tc>
          <w:tcPr>
            <w:tcW w:type="dxa" w:w="3600"/>
          </w:tcPr>
          <w:p>
            <w:pPr>
              <w:spacing w:before="0" w:after="0" w:line="259" w:lineRule="auto"/>
            </w:pPr>
            <w:r>
              <w:rPr>
                <w:rFonts w:ascii="Calibri" w:hAnsi="Calibri"/>
                <w:color w:val="222222"/>
                <w:sz w:val="17"/>
              </w:rPr>
              <w:t>Automatic path choice can make a placement produce several possible fields.</w:t>
            </w:r>
          </w:p>
        </w:tc>
        <w:tc>
          <w:tcPr>
            <w:tcW w:type="dxa" w:w="3980"/>
          </w:tcPr>
          <w:p>
            <w:pPr>
              <w:spacing w:before="0" w:after="0" w:line="259" w:lineRule="auto"/>
            </w:pPr>
            <w:r>
              <w:rPr>
                <w:rFonts w:ascii="Calibri" w:hAnsi="Calibri"/>
                <w:color w:val="222222"/>
                <w:sz w:val="17"/>
              </w:rPr>
              <w:t>Keep core transport directional and deterministic; treat each orientation as an explicit placement state.</w:t>
            </w:r>
          </w:p>
        </w:tc>
      </w:tr>
      <w:tr>
        <w:trPr>
          <w:cantSplit/>
        </w:trPr>
        <w:tc>
          <w:tcPr>
            <w:tcW w:type="dxa" w:w="1780"/>
          </w:tcPr>
          <w:p>
            <w:pPr>
              <w:spacing w:before="0" w:after="0" w:line="259" w:lineRule="auto"/>
            </w:pPr>
            <w:r>
              <w:rPr>
                <w:rFonts w:ascii="Calibri" w:hAnsi="Calibri"/>
                <w:color w:val="222222"/>
                <w:sz w:val="17"/>
              </w:rPr>
              <w:t>Premature simulation</w:t>
            </w:r>
          </w:p>
        </w:tc>
        <w:tc>
          <w:tcPr>
            <w:tcW w:type="dxa" w:w="3600"/>
          </w:tcPr>
          <w:p>
            <w:pPr>
              <w:spacing w:before="0" w:after="0" w:line="259" w:lineRule="auto"/>
            </w:pPr>
            <w:r>
              <w:rPr>
                <w:rFonts w:ascii="Calibri" w:hAnsi="Calibri"/>
                <w:color w:val="222222"/>
                <w:sz w:val="17"/>
              </w:rPr>
              <w:t>Economies, roads, growth, and production chains can obscure the core puzzle.</w:t>
            </w:r>
          </w:p>
        </w:tc>
        <w:tc>
          <w:tcPr>
            <w:tcW w:type="dxa" w:w="3980"/>
          </w:tcPr>
          <w:p>
            <w:pPr>
              <w:spacing w:before="0" w:after="0" w:line="259" w:lineRule="auto"/>
            </w:pPr>
            <w:r>
              <w:rPr>
                <w:rFonts w:ascii="Calibri" w:hAnsi="Calibri"/>
                <w:color w:val="222222"/>
                <w:sz w:val="17"/>
              </w:rPr>
              <w:t>Prove the four-operator reconstruction loop before adding simulation.</w:t>
            </w:r>
          </w:p>
        </w:tc>
      </w:tr>
      <w:tr>
        <w:trPr>
          <w:cantSplit/>
        </w:trPr>
        <w:tc>
          <w:tcPr>
            <w:tcW w:type="dxa" w:w="1780"/>
          </w:tcPr>
          <w:p>
            <w:pPr>
              <w:spacing w:before="0" w:after="0" w:line="259" w:lineRule="auto"/>
            </w:pPr>
            <w:r>
              <w:rPr>
                <w:rFonts w:ascii="Calibri" w:hAnsi="Calibri"/>
                <w:color w:val="222222"/>
                <w:sz w:val="17"/>
              </w:rPr>
              <w:t>Generator exploitation</w:t>
            </w:r>
          </w:p>
        </w:tc>
        <w:tc>
          <w:tcPr>
            <w:tcW w:type="dxa" w:w="3600"/>
          </w:tcPr>
          <w:p>
            <w:pPr>
              <w:spacing w:before="0" w:after="0" w:line="259" w:lineRule="auto"/>
            </w:pPr>
            <w:r>
              <w:rPr>
                <w:rFonts w:ascii="Calibri" w:hAnsi="Calibri"/>
                <w:color w:val="222222"/>
                <w:sz w:val="17"/>
              </w:rPr>
              <w:t>Players may infer quirks of the generation algorithm rather than puzzle logic.</w:t>
            </w:r>
          </w:p>
        </w:tc>
        <w:tc>
          <w:tcPr>
            <w:tcW w:type="dxa" w:w="3980"/>
          </w:tcPr>
          <w:p>
            <w:pPr>
              <w:spacing w:before="0" w:after="0" w:line="259" w:lineRule="auto"/>
            </w:pPr>
            <w:r>
              <w:rPr>
                <w:rFonts w:ascii="Calibri" w:hAnsi="Calibri"/>
                <w:color w:val="222222"/>
                <w:sz w:val="17"/>
              </w:rPr>
              <w:t>Vary generation strategies and verify deductions independently of hidden construction order.</w:t>
            </w:r>
          </w:p>
        </w:tc>
      </w:tr>
    </w:tbl>
    <w:p>
      <w:pPr>
        <w:spacing w:after="40"/>
      </w:pPr>
    </w:p>
    <w:p>
      <w:pPr>
        <w:pStyle w:val="Heading1"/>
        <w:keepNext/>
        <w:keepLines/>
      </w:pPr>
      <w:r>
        <w:t>8. Prototype success criteria</w:t>
      </w:r>
    </w:p>
    <w:p>
      <w:pPr>
        <w:numPr>
          <w:ilvl w:val="0"/>
          <w:numId w:val="10"/>
        </w:numPr>
      </w:pPr>
      <w:r>
        <w:rPr>
          <w:rFonts w:ascii="Calibri" w:hAnsi="Calibri"/>
        </w:rPr>
        <w:t>A new player can explain the shared signed-footprint rule after the first tutorial and all four operators after four short lessons.</w:t>
      </w:r>
    </w:p>
    <w:p>
      <w:pPr>
        <w:numPr>
          <w:ilvl w:val="0"/>
          <w:numId w:val="10"/>
        </w:numPr>
      </w:pPr>
      <w:r>
        <w:rPr>
          <w:rFonts w:ascii="Calibri" w:hAnsi="Calibri"/>
        </w:rPr>
        <w:t>Every accepted puzzle has exactly one arrangement by building type, position, and orientation.</w:t>
      </w:r>
    </w:p>
    <w:p>
      <w:pPr>
        <w:numPr>
          <w:ilvl w:val="0"/>
          <w:numId w:val="10"/>
        </w:numPr>
      </w:pPr>
      <w:r>
        <w:rPr>
          <w:rFonts w:ascii="Calibri" w:hAnsi="Calibri"/>
        </w:rPr>
        <w:t>Every placement can be justified by a named deduction; no blind trial is required.</w:t>
      </w:r>
    </w:p>
    <w:p>
      <w:pPr>
        <w:numPr>
          <w:ilvl w:val="0"/>
          <w:numId w:val="10"/>
        </w:numPr>
      </w:pPr>
      <w:r>
        <w:rPr>
          <w:rFonts w:ascii="Calibri" w:hAnsi="Calibri"/>
        </w:rPr>
        <w:t>At least three deduction types appear in a standard puzzle.</w:t>
      </w:r>
    </w:p>
    <w:p>
      <w:pPr>
        <w:numPr>
          <w:ilvl w:val="0"/>
          <w:numId w:val="10"/>
        </w:numPr>
      </w:pPr>
      <w:r>
        <w:rPr>
          <w:rFonts w:ascii="Calibri" w:hAnsi="Calibri"/>
        </w:rPr>
        <w:t>Players understand source–sink cancellation, cross-resource conversion, and directional transfer without consulting a rulebook.</w:t>
      </w:r>
    </w:p>
    <w:p>
      <w:pPr>
        <w:numPr>
          <w:ilvl w:val="0"/>
          <w:numId w:val="10"/>
        </w:numPr>
      </w:pPr>
      <w:r>
        <w:rPr>
          <w:rFonts w:ascii="Calibri" w:hAnsi="Calibri"/>
        </w:rPr>
        <w:t>A standard puzzle uses at least one source, sink, converter, and transporter without requiring blind trial.</w:t>
      </w:r>
    </w:p>
    <w:p>
      <w:pPr>
        <w:numPr>
          <w:ilvl w:val="0"/>
          <w:numId w:val="10"/>
        </w:numPr>
      </w:pPr>
      <w:r>
        <w:rPr>
          <w:rFonts w:ascii="Calibri" w:hAnsi="Calibri"/>
        </w:rPr>
        <w:t>The resource display remains readable on a phone-sized board.</w:t>
      </w:r>
    </w:p>
    <w:p>
      <w:pPr>
        <w:numPr>
          <w:ilvl w:val="0"/>
          <w:numId w:val="10"/>
        </w:numPr>
      </w:pPr>
      <w:r>
        <w:rPr>
          <w:rFonts w:ascii="Calibri" w:hAnsi="Calibri"/>
        </w:rPr>
        <w:t>Completion feels like constructing a city, not merely zeroing a matrix.</w:t>
      </w:r>
    </w:p>
    <w:p>
      <w:pPr>
        <w:numPr>
          <w:ilvl w:val="0"/>
          <w:numId w:val="10"/>
        </w:numPr>
      </w:pPr>
      <w:r>
        <w:rPr>
          <w:rFonts w:ascii="Calibri" w:hAnsi="Calibri"/>
        </w:rPr>
        <w:t>Players voluntarily request another puzzle after the first session.</w:t>
      </w:r>
    </w:p>
    <w:p>
      <w:pPr>
        <w:pStyle w:val="Heading2"/>
        <w:keepNext/>
        <w:keepLines/>
      </w:pPr>
      <w:r>
        <w:t>Recommended development sequence</w:t>
      </w:r>
    </w:p>
    <w:p>
      <w:pPr>
        <w:numPr>
          <w:ilvl w:val="0"/>
          <w:numId w:val="14"/>
        </w:numPr>
      </w:pPr>
      <w:r>
        <w:rPr>
          <w:rFonts w:ascii="Calibri" w:hAnsi="Calibri"/>
          <w:b/>
        </w:rPr>
        <w:t>Paper model.</w:t>
      </w:r>
      <w:r>
        <w:rPr>
          <w:rFonts w:ascii="Calibri" w:hAnsi="Calibri"/>
        </w:rPr>
        <w:t xml:space="preserve"> Hand-author ten 5×5 fields containing all four operator roles and observe how people describe their deductions.</w:t>
      </w:r>
    </w:p>
    <w:p>
      <w:pPr>
        <w:numPr>
          <w:ilvl w:val="0"/>
          <w:numId w:val="14"/>
        </w:numPr>
      </w:pPr>
      <w:r>
        <w:rPr>
          <w:rFonts w:ascii="Calibri" w:hAnsi="Calibri"/>
          <w:b/>
        </w:rPr>
        <w:t>Complete solver.</w:t>
      </w:r>
      <w:r>
        <w:rPr>
          <w:rFonts w:ascii="Calibri" w:hAnsi="Calibri"/>
        </w:rPr>
        <w:t xml:space="preserve"> Encode inventory, occupancy, orientation, and signed resource equations; add second-solution detection.</w:t>
      </w:r>
    </w:p>
    <w:p>
      <w:pPr>
        <w:numPr>
          <w:ilvl w:val="0"/>
          <w:numId w:val="14"/>
        </w:numPr>
      </w:pPr>
      <w:r>
        <w:rPr>
          <w:rFonts w:ascii="Calibri" w:hAnsi="Calibri"/>
          <w:b/>
        </w:rPr>
        <w:t>Human solver.</w:t>
      </w:r>
      <w:r>
        <w:rPr>
          <w:rFonts w:ascii="Calibri" w:hAnsi="Calibri"/>
        </w:rPr>
        <w:t xml:space="preserve"> Implement oversupply, boundary, peak, inventory, conversion-balance, and transport-pair rules.</w:t>
      </w:r>
    </w:p>
    <w:p>
      <w:pPr>
        <w:numPr>
          <w:ilvl w:val="0"/>
          <w:numId w:val="14"/>
        </w:numPr>
      </w:pPr>
      <w:r>
        <w:rPr>
          <w:rFonts w:ascii="Calibri" w:hAnsi="Calibri"/>
          <w:b/>
        </w:rPr>
        <w:t>Generator.</w:t>
      </w:r>
      <w:r>
        <w:rPr>
          <w:rFonts w:ascii="Calibri" w:hAnsi="Calibri"/>
        </w:rPr>
        <w:t xml:space="preserve"> Sample hidden cities, calculate fields, and filter by both solvers.</w:t>
      </w:r>
    </w:p>
    <w:p>
      <w:pPr>
        <w:numPr>
          <w:ilvl w:val="0"/>
          <w:numId w:val="14"/>
        </w:numPr>
      </w:pPr>
      <w:r>
        <w:rPr>
          <w:rFonts w:ascii="Calibri" w:hAnsi="Calibri"/>
          <w:b/>
        </w:rPr>
        <w:t>Interaction prototype.</w:t>
      </w:r>
      <w:r>
        <w:rPr>
          <w:rFonts w:ascii="Calibri" w:hAnsi="Calibri"/>
        </w:rPr>
        <w:t xml:space="preserve"> Add footprint preview, residual values, undo, and explainable hints.</w:t>
      </w:r>
    </w:p>
    <w:p>
      <w:pPr>
        <w:numPr>
          <w:ilvl w:val="0"/>
          <w:numId w:val="14"/>
        </w:numPr>
      </w:pPr>
      <w:r>
        <w:rPr>
          <w:rFonts w:ascii="Calibri" w:hAnsi="Calibri"/>
          <w:b/>
        </w:rPr>
        <w:t>Playtest calibration.</w:t>
      </w:r>
      <w:r>
        <w:rPr>
          <w:rFonts w:ascii="Calibri" w:hAnsi="Calibri"/>
        </w:rPr>
        <w:t xml:space="preserve"> Compare solver metrics with human solving time, errors, and enjoyment.</w:t>
      </w:r>
    </w:p>
    <w:p>
      <w:pPr>
        <w:numPr>
          <w:ilvl w:val="0"/>
          <w:numId w:val="14"/>
        </w:numPr>
      </w:pPr>
      <w:r>
        <w:rPr>
          <w:rFonts w:ascii="Calibri" w:hAnsi="Calibri"/>
          <w:b/>
        </w:rPr>
        <w:t>Expansion decision.</w:t>
      </w:r>
      <w:r>
        <w:rPr>
          <w:rFonts w:ascii="Calibri" w:hAnsi="Calibri"/>
        </w:rPr>
        <w:t xml:space="preserve"> Only then test adaptive networks, multi-hop capacity, roads, pressure limits, daily puzzles, or a planner mode.</w:t>
      </w:r>
    </w:p>
    <w:p>
      <w:pPr>
        <w:spacing w:before="120" w:after="200" w:line="276" w:lineRule="auto"/>
        <w:ind w:left="230" w:right="173"/>
        <w:shd w:fill="EAF4EF"/>
        <w:pBdr>
          <w:left w:val="single" w:sz="18" w:space="8" w:color="2F6F57"/>
        </w:pBdr>
      </w:pPr>
      <w:r>
        <w:rPr>
          <w:rFonts w:ascii="Calibri" w:hAnsi="Calibri"/>
          <w:b/>
          <w:color w:val="2F6F57"/>
          <w:sz w:val="19"/>
        </w:rPr>
        <w:t xml:space="preserve">FIRST MILESTONE  </w:t>
      </w:r>
      <w:r>
        <w:rPr>
          <w:rFonts w:ascii="Calibri" w:hAnsi="Calibri"/>
          <w:color w:val="0B2545"/>
          <w:sz w:val="21"/>
        </w:rPr>
        <w:t>A generator that can produce twenty distinct 5×5 puzzles, each uniquely reconstructable and solvable by the initial named deductions, with at least one source, sink, converter, and directional transporter per puzzle.</w:t>
      </w:r>
    </w:p>
    <w:p>
      <w:pPr>
        <w:pStyle w:val="Heading1"/>
        <w:keepNext/>
        <w:keepLines/>
      </w:pPr>
      <w:r>
        <w:t>9. Research sources</w:t>
      </w:r>
    </w:p>
    <w:p>
      <w:pPr>
        <w:pStyle w:val="SourceList"/>
      </w:pPr>
      <w:r>
        <w:rPr>
          <w:rFonts w:ascii="Calibri" w:hAnsi="Calibri"/>
          <w:b/>
          <w:color w:val="0B2545"/>
          <w:sz w:val="19"/>
        </w:rPr>
        <w:t xml:space="preserve">1. </w:t>
      </w:r>
      <w:hyperlink r:id="rId11">
        <w:r>
          <w:rPr>
            <w:rFonts w:ascii="Calibri" w:hAnsi="Calibri"/>
            <w:color w:val="2E74B5"/>
            <w:u w:val="single"/>
          </w:rPr>
          <w:t>Mosaic / Fill-a-Pix overview — Puzzler</w:t>
        </w:r>
      </w:hyperlink>
      <w:r>
        <w:rPr>
          <w:rFonts w:ascii="Calibri" w:hAnsi="Calibri"/>
          <w:color w:val="333333"/>
          <w:sz w:val="19"/>
        </w:rPr>
        <w:t xml:space="preserve"> — Closest formal ancestor: reconstructing a binary grid from overlapping 3×3 counts.</w:t>
      </w:r>
    </w:p>
    <w:p>
      <w:pPr>
        <w:pStyle w:val="SourceList"/>
      </w:pPr>
      <w:r>
        <w:rPr>
          <w:rFonts w:ascii="Calibri" w:hAnsi="Calibri"/>
          <w:b/>
          <w:color w:val="0B2545"/>
          <w:sz w:val="19"/>
        </w:rPr>
        <w:t xml:space="preserve">2. </w:t>
      </w:r>
      <w:hyperlink r:id="rId12">
        <w:r>
          <w:rPr>
            <w:rFonts w:ascii="Calibri" w:hAnsi="Calibri"/>
            <w:color w:val="2E74B5"/>
            <w:u w:val="single"/>
          </w:rPr>
          <w:t>Tametsi rules — Minesweeper.org</w:t>
        </w:r>
      </w:hyperlink>
      <w:r>
        <w:rPr>
          <w:rFonts w:ascii="Calibri" w:hAnsi="Calibri"/>
          <w:color w:val="333333"/>
          <w:sz w:val="19"/>
        </w:rPr>
        <w:t xml:space="preserve"> — Regional mine-count clues and claimed deduction-only generation.</w:t>
      </w:r>
    </w:p>
    <w:p>
      <w:pPr>
        <w:pStyle w:val="SourceList"/>
      </w:pPr>
      <w:r>
        <w:rPr>
          <w:rFonts w:ascii="Calibri" w:hAnsi="Calibri"/>
          <w:b/>
          <w:color w:val="0B2545"/>
          <w:sz w:val="19"/>
        </w:rPr>
        <w:t xml:space="preserve">3. </w:t>
      </w:r>
      <w:hyperlink r:id="rId13">
        <w:r>
          <w:rPr>
            <w:rFonts w:ascii="Calibri" w:hAnsi="Calibri"/>
            <w:color w:val="2E74B5"/>
            <w:u w:val="single"/>
          </w:rPr>
          <w:t>14 Minesweeper Variants — Steam</w:t>
        </w:r>
      </w:hyperlink>
      <w:r>
        <w:rPr>
          <w:rFonts w:ascii="Calibri" w:hAnsi="Calibri"/>
          <w:color w:val="333333"/>
          <w:sz w:val="19"/>
        </w:rPr>
        <w:t xml:space="preserve"> — Procedural, no-guess puzzles built from changing and combined clue rules.</w:t>
      </w:r>
    </w:p>
    <w:p>
      <w:pPr>
        <w:pStyle w:val="SourceList"/>
      </w:pPr>
      <w:r>
        <w:rPr>
          <w:rFonts w:ascii="Calibri" w:hAnsi="Calibri"/>
          <w:b/>
          <w:color w:val="0B2545"/>
          <w:sz w:val="19"/>
        </w:rPr>
        <w:t xml:space="preserve">4. </w:t>
      </w:r>
      <w:hyperlink r:id="rId14">
        <w:r>
          <w:rPr>
            <w:rFonts w:ascii="Calibri" w:hAnsi="Calibri"/>
            <w:color w:val="2E74B5"/>
            <w:u w:val="single"/>
          </w:rPr>
          <w:t>Akari rules</w:t>
        </w:r>
      </w:hyperlink>
      <w:r>
        <w:rPr>
          <w:rFonts w:ascii="Calibri" w:hAnsi="Calibri"/>
          <w:color w:val="333333"/>
          <w:sz w:val="19"/>
        </w:rPr>
        <w:t xml:space="preserve"> — Coverage by placed sources, blockers, and exact adjacent counts.</w:t>
      </w:r>
    </w:p>
    <w:p>
      <w:pPr>
        <w:pStyle w:val="SourceList"/>
      </w:pPr>
      <w:r>
        <w:rPr>
          <w:rFonts w:ascii="Calibri" w:hAnsi="Calibri"/>
          <w:b/>
          <w:color w:val="0B2545"/>
          <w:sz w:val="19"/>
        </w:rPr>
        <w:t xml:space="preserve">5. </w:t>
      </w:r>
      <w:hyperlink r:id="rId15">
        <w:r>
          <w:rPr>
            <w:rFonts w:ascii="Calibri" w:hAnsi="Calibri"/>
            <w:color w:val="2E74B5"/>
            <w:u w:val="single"/>
          </w:rPr>
          <w:t>Beacon</w:t>
        </w:r>
      </w:hyperlink>
      <w:r>
        <w:rPr>
          <w:rFonts w:ascii="Calibri" w:hAnsi="Calibri"/>
          <w:color w:val="333333"/>
          <w:sz w:val="19"/>
        </w:rPr>
        <w:t xml:space="preserve"> — A direct solution-first placement-and-measurement generation cousin.</w:t>
      </w:r>
    </w:p>
    <w:p>
      <w:pPr>
        <w:pStyle w:val="SourceList"/>
      </w:pPr>
      <w:r>
        <w:rPr>
          <w:rFonts w:ascii="Calibri" w:hAnsi="Calibri"/>
          <w:b/>
          <w:color w:val="0B2545"/>
          <w:sz w:val="19"/>
        </w:rPr>
        <w:t xml:space="preserve">6. </w:t>
      </w:r>
      <w:hyperlink r:id="rId16">
        <w:r>
          <w:rPr>
            <w:rFonts w:ascii="Calibri" w:hAnsi="Calibri"/>
            <w:color w:val="2E74B5"/>
            <w:u w:val="single"/>
          </w:rPr>
          <w:t>Lattice</w:t>
        </w:r>
      </w:hyperlink>
      <w:r>
        <w:rPr>
          <w:rFonts w:ascii="Calibri" w:hAnsi="Calibri"/>
          <w:color w:val="333333"/>
          <w:sz w:val="19"/>
        </w:rPr>
        <w:t xml:space="preserve"> — Reconstruction from spatial measurements rather than direct clues.</w:t>
      </w:r>
    </w:p>
    <w:p>
      <w:pPr>
        <w:pStyle w:val="SourceList"/>
      </w:pPr>
      <w:r>
        <w:rPr>
          <w:rFonts w:ascii="Calibri" w:hAnsi="Calibri"/>
          <w:b/>
          <w:color w:val="0B2545"/>
          <w:sz w:val="19"/>
        </w:rPr>
        <w:t xml:space="preserve">7. </w:t>
      </w:r>
      <w:hyperlink r:id="rId17">
        <w:r>
          <w:rPr>
            <w:rFonts w:ascii="Calibri" w:hAnsi="Calibri"/>
            <w:color w:val="2E74B5"/>
            <w:u w:val="single"/>
          </w:rPr>
          <w:t>Concrete Jungle — ColePowered Games</w:t>
        </w:r>
      </w:hyperlink>
      <w:r>
        <w:rPr>
          <w:rFonts w:ascii="Calibri" w:hAnsi="Calibri"/>
          <w:color w:val="333333"/>
          <w:sz w:val="19"/>
        </w:rPr>
        <w:t xml:space="preserve"> — Puzzle-like city planning with positive and negative neighborhood influence.</w:t>
      </w:r>
    </w:p>
    <w:p>
      <w:pPr>
        <w:pStyle w:val="SourceList"/>
      </w:pPr>
      <w:r>
        <w:rPr>
          <w:rFonts w:ascii="Calibri" w:hAnsi="Calibri"/>
          <w:b/>
          <w:color w:val="0B2545"/>
          <w:sz w:val="19"/>
        </w:rPr>
        <w:t xml:space="preserve">8. </w:t>
      </w:r>
      <w:hyperlink r:id="rId18">
        <w:r>
          <w:rPr>
            <w:rFonts w:ascii="Calibri" w:hAnsi="Calibri"/>
            <w:color w:val="2E74B5"/>
            <w:u w:val="single"/>
          </w:rPr>
          <w:t>ISLANDERS — App Store</w:t>
        </w:r>
      </w:hyperlink>
      <w:r>
        <w:rPr>
          <w:rFonts w:ascii="Calibri" w:hAnsi="Calibri"/>
          <w:color w:val="333333"/>
          <w:sz w:val="19"/>
        </w:rPr>
        <w:t xml:space="preserve"> — Readable positive/negative scoring from nearby structures.</w:t>
      </w:r>
    </w:p>
    <w:p>
      <w:pPr>
        <w:pStyle w:val="SourceList"/>
      </w:pPr>
      <w:r>
        <w:rPr>
          <w:rFonts w:ascii="Calibri" w:hAnsi="Calibri"/>
          <w:b/>
          <w:color w:val="0B2545"/>
          <w:sz w:val="19"/>
        </w:rPr>
        <w:t xml:space="preserve">9. </w:t>
      </w:r>
      <w:hyperlink r:id="rId19">
        <w:r>
          <w:rPr>
            <w:rFonts w:ascii="Calibri" w:hAnsi="Calibri"/>
            <w:color w:val="2E74B5"/>
            <w:u w:val="single"/>
          </w:rPr>
          <w:t>Uniqueness and reconstruction of finite lattice sets from their line sums</w:t>
        </w:r>
      </w:hyperlink>
      <w:r>
        <w:rPr>
          <w:rFonts w:ascii="Calibri" w:hAnsi="Calibri"/>
          <w:color w:val="333333"/>
          <w:sz w:val="19"/>
        </w:rPr>
        <w:t xml:space="preserve"> — Discrete-tomography treatment of reconstruction and uniqueness.</w:t>
      </w:r>
    </w:p>
    <w:p>
      <w:pPr>
        <w:pStyle w:val="SourceList"/>
      </w:pPr>
      <w:r>
        <w:rPr>
          <w:rFonts w:ascii="Calibri" w:hAnsi="Calibri"/>
          <w:b/>
          <w:color w:val="0B2545"/>
          <w:sz w:val="19"/>
        </w:rPr>
        <w:t xml:space="preserve">10. </w:t>
      </w:r>
      <w:hyperlink r:id="rId20">
        <w:r>
          <w:rPr>
            <w:rFonts w:ascii="Calibri" w:hAnsi="Calibri"/>
            <w:color w:val="2E74B5"/>
            <w:u w:val="single"/>
          </w:rPr>
          <w:t>Reconstructing binary matrices under window constraints</w:t>
        </w:r>
      </w:hyperlink>
      <w:r>
        <w:rPr>
          <w:rFonts w:ascii="Calibri" w:hAnsi="Calibri"/>
          <w:color w:val="333333"/>
          <w:sz w:val="19"/>
        </w:rPr>
        <w:t xml:space="preserve"> — Local-window constraints and complexity in discrete reconstruction.</w:t>
      </w:r>
    </w:p>
    <w:p>
      <w:pPr>
        <w:pStyle w:val="Heading1"/>
        <w:keepNext/>
        <w:keepLines/>
      </w:pPr>
      <w:r>
        <w:t>Working conclusion</w:t>
      </w:r>
    </w:p>
    <w:p>
      <w:r>
        <w:rPr>
          <w:rFonts w:ascii="Calibri" w:hAnsi="Calibri"/>
          <w:b/>
          <w:color w:val="0B2545"/>
        </w:rPr>
        <w:t xml:space="preserve">Urban Field is not a new mathematical species from nothing—and that is an advantage. </w:t>
      </w:r>
      <w:r>
        <w:rPr>
          <w:rFonts w:ascii="Calibri" w:hAnsi="Calibri"/>
        </w:rPr>
        <w:t>It combines a proven inverse-reconstruction foundation with a spatial city vocabulary that naturally supports sources, sinks, conversion, directional transport, and visual payoff. The design opportunity is to preserve the legibility of Mosaic while introducing enough heterogeneous, multichannel interaction to become its own game.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D6B78"/>
        <w:sz w:val="18"/>
      </w:rPr>
      <w:t xml:space="preserve">Concept &amp; research brief   •   </w:t>
    </w:r>
    <w:r>
      <w:rPr>
        <w:rFonts w:ascii="Calibri" w:hAnsi="Calibri"/>
        <w:color w:val="5D6B7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B78"/>
        <w:sz w:val="17"/>
      </w:rPr>
      <w:t>URBAN FIELD  /  PUZZLE GAME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st">
    <w:name w:val="Source List"/>
    <w:pPr>
      <w:spacing w:after="100" w:line="269" w:lineRule="auto"/>
    </w:pPr>
    <w:rPr>
      <w:rFonts w:ascii="Calibri" w:hAnsi="Calibr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puzzler.com/puzzles-a-z/mosaic" TargetMode="External"/><Relationship Id="rId12" Type="http://schemas.openxmlformats.org/officeDocument/2006/relationships/hyperlink" Target="https://minesweeper.org/tametsi" TargetMode="External"/><Relationship Id="rId13" Type="http://schemas.openxmlformats.org/officeDocument/2006/relationships/hyperlink" Target="https://store.steampowered.com/app/1865060/14/" TargetMode="External"/><Relationship Id="rId14" Type="http://schemas.openxmlformats.org/officeDocument/2006/relationships/hyperlink" Target="https://pzl.org.uk/akari.html" TargetMode="External"/><Relationship Id="rId15" Type="http://schemas.openxmlformats.org/officeDocument/2006/relationships/hyperlink" Target="https://orchidlines.com/tools/games/beacon.html" TargetMode="External"/><Relationship Id="rId16" Type="http://schemas.openxmlformats.org/officeDocument/2006/relationships/hyperlink" Target="https://orchidlines.com/tools/games/lattice.html" TargetMode="External"/><Relationship Id="rId17" Type="http://schemas.openxmlformats.org/officeDocument/2006/relationships/hyperlink" Target="https://colepowered.com/games/concrete-jungle/" TargetMode="External"/><Relationship Id="rId18" Type="http://schemas.openxmlformats.org/officeDocument/2006/relationships/hyperlink" Target="https://apps.apple.com/us/app/islanders-mobile/id6745312000?platform=ipad" TargetMode="External"/><Relationship Id="rId19" Type="http://schemas.openxmlformats.org/officeDocument/2006/relationships/hyperlink" Target="https://www.sciencedirect.com/science/article/pii/S0166218X24002427" TargetMode="External"/><Relationship Id="rId20" Type="http://schemas.openxmlformats.org/officeDocument/2006/relationships/hyperlink" Target="https://arxiv.org/abs/1702.06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Field — Puzzle Game Concept &amp; Research Brief</dc:title>
  <dc:subject>Provably solvable city-reconstruction puzzle design</dc:subject>
  <dc:creator>OpenAI Codex</dc:creator>
  <cp:keywords>puzzle design, procedural generation, constraint satisfaction, city builder, inverse problem</cp:keywords>
  <dc:description>generated by python-docx</dc:description>
  <cp:lastModifiedBy/>
  <cp:revision>1</cp:revision>
  <dcterms:created xsi:type="dcterms:W3CDTF">2013-12-23T23:15:00Z</dcterms:created>
  <dcterms:modified xsi:type="dcterms:W3CDTF">2013-12-23T23:15:00Z</dcterms:modified>
  <cp:category/>
</cp:coreProperties>
</file>