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1.png" ContentType="image/png"/>
  <Override PartName="/word/media/rId28.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Modular Energy-Minimising Economic MPC for a Single-Stage SAG Grinding Mill: Decoupling Mill Control from Plant-Wide Economics</w:t>
      </w:r>
    </w:p>
    <w:p>
      <w:pPr>
        <w:pStyle w:val="Author"/>
      </w:pPr>
    </w:p>
    <w:p>
      <w:pPr>
        <w:pStyle w:val="Author"/>
      </w:pPr>
    </w:p>
    <w:p>
      <w:pPr>
        <w:pStyle w:val="Author"/>
      </w:pPr>
    </w:p>
    <w:p>
      <w:pPr>
        <w:pStyle w:val="Author"/>
      </w:pPr>
    </w:p>
    <w:p>
      <w:pPr>
        <w:pStyle w:val="AbstractTitle"/>
      </w:pPr>
      <w:r>
        <w:t xml:space="preserve">Abstract</w:t>
      </w:r>
    </w:p>
    <w:p>
      <w:pPr>
        <w:pStyle w:val="Abstract"/>
      </w:pPr>
      <w:r>
        <w:t xml:space="preserve">Grinding is the largest energy consumer in a mineral concentrator, so the</w:t>
      </w:r>
      <w:r>
        <w:t xml:space="preserve"> </w:t>
      </w:r>
      <w:r>
        <w:t xml:space="preserve">choice of economic objective for a semi-autogenous grinding (SAG) mill</w:t>
      </w:r>
      <w:r>
        <w:t xml:space="preserve"> </w:t>
      </w:r>
      <w:r>
        <w:t xml:space="preserve">controller matters both economically and structurally. This paper compares</w:t>
      </w:r>
      <w:r>
        <w:t xml:space="preserve"> </w:t>
      </w:r>
      <w:r>
        <w:t xml:space="preserve">the two candidate objectives, profit maximisation and energy</w:t>
      </w:r>
      <w:r>
        <w:t xml:space="preserve"> </w:t>
      </w:r>
      <w:r>
        <w:t xml:space="preserve">minimisation, across three supervisory architectures on a single-stage</w:t>
      </w:r>
      <w:r>
        <w:t xml:space="preserve"> </w:t>
      </w:r>
      <w:r>
        <w:t xml:space="preserve">SAG circuit. The architectures are a classical steady-state</w:t>
      </w:r>
      <w:r>
        <w:t xml:space="preserve"> </w:t>
      </w:r>
      <w:r>
        <w:t xml:space="preserve">RTO over three PI loops (SSRTO+3PI, the industrial reference), a two-layer</w:t>
      </w:r>
      <w:r>
        <w:t xml:space="preserve"> </w:t>
      </w:r>
      <w:r>
        <w:t xml:space="preserve">economic MPC, and a single-layer economic MPC. All six combinations run on</w:t>
      </w:r>
      <w:r>
        <w:t xml:space="preserve"> </w:t>
      </w:r>
      <w:r>
        <w:t xml:space="preserve">identical synthetic ore-hardness realisations, an identical product-size</w:t>
      </w:r>
      <w:r>
        <w:t xml:space="preserve"> </w:t>
      </w:r>
      <w:r>
        <w:t xml:space="preserve">floor, and a common augmented extended Kalman filter, over a 218 h</w:t>
      </w:r>
      <w:r>
        <w:t xml:space="preserve"> </w:t>
      </w:r>
      <w:r>
        <w:t xml:space="preserve">transient protocol. Such a like-for-like comparison is rarely attempted.</w:t>
      </w:r>
      <w:r>
        <w:t xml:space="preserve"> </w:t>
      </w:r>
      <w:r>
        <w:t xml:space="preserve">Published architectures each come with their own model, estimator,</w:t>
      </w:r>
      <w:r>
        <w:t xml:space="preserve"> </w:t>
      </w:r>
      <w:r>
        <w:t xml:space="preserve">constraint set and tuning, so reported differences confound the control</w:t>
      </w:r>
      <w:r>
        <w:t xml:space="preserve"> </w:t>
      </w:r>
      <w:r>
        <w:t xml:space="preserve">structure with its configuration. Two results stand out. First, at a matched product-size</w:t>
      </w:r>
      <w:r>
        <w:t xml:space="preserve"> </w:t>
      </w:r>
      <w:r>
        <w:t xml:space="preserve">floor, the specific energy of all architectures and both objectives</w:t>
      </w:r>
      <w:r>
        <w:t xml:space="preserve"> </w:t>
      </w:r>
      <w:r>
        <w:t xml:space="preserve">clusters within about two percent and follows the ore-hardness</w:t>
      </w:r>
      <w:r>
        <w:t xml:space="preserve"> </w:t>
      </w:r>
      <w:r>
        <w:t xml:space="preserve">disturbance. A well-chosen optimisation reaches the achievable SEC, and</w:t>
      </w:r>
      <w:r>
        <w:t xml:space="preserve"> </w:t>
      </w:r>
      <w:r>
        <w:t xml:space="preserve">the SEC is set by the ore hardness and the quality floor,</w:t>
      </w:r>
      <w:r>
        <w:t xml:space="preserve"> </w:t>
      </w:r>
      <w:r>
        <w:t xml:space="preserve">not by the architecture or the objective. Second, both objectives reach</w:t>
      </w:r>
      <w:r>
        <w:t xml:space="preserve"> </w:t>
      </w:r>
      <w:r>
        <w:t xml:space="preserve">the same specific energy. Profit optimisation suits the plant-wide</w:t>
      </w:r>
      <w:r>
        <w:t xml:space="preserve"> </w:t>
      </w:r>
      <w:r>
        <w:t xml:space="preserve">level, and energy minimisation suits the SAG mill level. Energy</w:t>
      </w:r>
      <w:r>
        <w:t xml:space="preserve"> </w:t>
      </w:r>
      <w:r>
        <w:t xml:space="preserve">minimisation avoids saturated feed and speed, keeps the mill near its</w:t>
      </w:r>
      <w:r>
        <w:t xml:space="preserve"> </w:t>
      </w:r>
      <w:r>
        <w:t xml:space="preserve">safer lower limits, and supports operator derating. Through the</w:t>
      </w:r>
      <w:r>
        <w:t xml:space="preserve"> </w:t>
      </w:r>
      <w:r>
        <w:t xml:space="preserve">feed-demand and product-size interface it gives the mill full</w:t>
      </w:r>
      <w:r>
        <w:t xml:space="preserve"> </w:t>
      </w:r>
      <w:r>
        <w:t xml:space="preserve">modularity, so the SAG controller does not implement the economic</w:t>
      </w:r>
      <w:r>
        <w:t xml:space="preserve"> </w:t>
      </w:r>
      <w:r>
        <w:t xml:space="preserve">optimisation of the other circuits. Among the architectures, the two-layer EMPC combines</w:t>
      </w:r>
      <w:r>
        <w:t xml:space="preserve"> </w:t>
      </w:r>
      <w:r>
        <w:t xml:space="preserve">smooth actuation with about a third less computation than the</w:t>
      </w:r>
      <w:r>
        <w:t xml:space="preserve"> </w:t>
      </w:r>
      <w:r>
        <w:t xml:space="preserve">single-layer EMPC, making it our main candidate. These are early-stage</w:t>
      </w:r>
      <w:r>
        <w:t xml:space="preserve"> </w:t>
      </w:r>
      <w:r>
        <w:t xml:space="preserve">results on a synthetic plant, obtained within a deliberately contained</w:t>
      </w:r>
      <w:r>
        <w:t xml:space="preserve"> </w:t>
      </w:r>
      <w:r>
        <w:t xml:space="preserve">simulation scope. Calibration against operating plant data is ongoing.</w:t>
      </w:r>
    </w:p>
    <w:p>
      <w:pPr>
        <w:pStyle w:val="FirstParagraph"/>
      </w:pPr>
      <w:r>
        <w:t xml:space="preserve">economic MPC, real-time optimisation, SAG mill, comminution, specific</w:t>
      </w:r>
      <w:r>
        <w:t xml:space="preserve"> </w:t>
      </w:r>
      <w:r>
        <w:t xml:space="preserve">energy, plant-wide control</w:t>
      </w:r>
    </w:p>
    <w:bookmarkStart w:id="9" w:name="introduction"/>
    <w:p>
      <w:pPr>
        <w:pStyle w:val="Heading1"/>
      </w:pPr>
      <w:r>
        <w:t xml:space="preserve">Introduction</w:t>
      </w:r>
    </w:p>
    <w:p>
      <w:pPr>
        <w:pStyle w:val="FirstParagraph"/>
      </w:pPr>
      <w:r>
        <w:t xml:space="preserve">Comminution, the crushing and grinding of ore, is the most energy-intensive</w:t>
      </w:r>
      <w:r>
        <w:t xml:space="preserve"> </w:t>
      </w:r>
      <w:r>
        <w:t xml:space="preserve">stage of mineral processing. Grinding alone can account for roughly half of</w:t>
      </w:r>
      <w:r>
        <w:t xml:space="preserve"> </w:t>
      </w:r>
      <w:r>
        <w:t xml:space="preserve">a concentrator’s operating cost, and comminution consumes on the order of a</w:t>
      </w:r>
      <w:r>
        <w:t xml:space="preserve"> </w:t>
      </w:r>
      <w:r>
        <w:t xml:space="preserve">few percent of global electricity. Any systematic reduction in specific</w:t>
      </w:r>
      <w:r>
        <w:t xml:space="preserve"> </w:t>
      </w:r>
      <w:r>
        <w:t xml:space="preserve">energy consumption (SEC, in kWh per tonne) therefore has both an</w:t>
      </w:r>
      <w:r>
        <w:t xml:space="preserve"> </w:t>
      </w:r>
      <w:r>
        <w:t xml:space="preserve">economic and an emissions payoff.</w:t>
      </w:r>
    </w:p>
    <w:p>
      <w:pPr>
        <w:pStyle w:val="BodyText"/>
      </w:pPr>
      <w:r>
        <w:t xml:space="preserve">A semi-autogenous grinding (SAG) mill is difficult to operate near its</w:t>
      </w:r>
      <w:r>
        <w:t xml:space="preserve"> </w:t>
      </w:r>
      <w:r>
        <w:t xml:space="preserve">economic optimum because it rarely settles. Ore hardness drifts on an</w:t>
      </w:r>
      <w:r>
        <w:t xml:space="preserve"> </w:t>
      </w:r>
      <w:r>
        <w:t xml:space="preserve">hour-to-shift timescale, feed-size distribution varies, and liner wear</w:t>
      </w:r>
      <w:r>
        <w:t xml:space="preserve"> </w:t>
      </w:r>
      <w:r>
        <w:t xml:space="preserve">changes the mill geometry over weeks. This operating reality motivates</w:t>
      </w:r>
      <w:r>
        <w:t xml:space="preserve"> </w:t>
      </w:r>
      <w:r>
        <w:t xml:space="preserve">economic model predictive control (EMPC). EMPC embeds the process</w:t>
      </w:r>
      <w:r>
        <w:t xml:space="preserve"> </w:t>
      </w:r>
      <w:r>
        <w:t xml:space="preserve">economics directly in a receding-horizon optimisation. It can therefore</w:t>
      </w:r>
      <w:r>
        <w:t xml:space="preserve"> </w:t>
      </w:r>
      <w:r>
        <w:t xml:space="preserve">track a moving optimum during transients, rather than waiting for the</w:t>
      </w:r>
      <w:r>
        <w:t xml:space="preserve"> </w:t>
      </w:r>
      <w:r>
        <w:t xml:space="preserve">plant to settle as a classical real-time optimiser (RTO) must.</w:t>
      </w:r>
    </w:p>
    <w:p>
      <w:pPr>
        <w:pStyle w:val="BodyText"/>
      </w:pPr>
      <w:r>
        <w:t xml:space="preserve">The way a supervisory layer decides the economically best operating point</w:t>
      </w:r>
      <w:r>
        <w:t xml:space="preserve"> </w:t>
      </w:r>
      <w:r>
        <w:t xml:space="preserve">spans a well-known continuum from steady-state RTO (SSRTO) to EMPC, in</w:t>
      </w:r>
      <w:r>
        <w:t xml:space="preserve"> </w:t>
      </w:r>
      <w:r>
        <w:t xml:space="preserve">which the economic objective is folded into the regulatory controller</w:t>
      </w:r>
      <w:r>
        <w:t xml:space="preserve"> </w:t>
      </w:r>
      <w:r>
        <w:t xml:space="preserve">itself</w:t>
      </w:r>
      <w:r>
        <w:t xml:space="preserve"> </w:t>
      </w:r>
      <w:r>
        <w:t xml:space="preserve">. Published EMPC studies of</w:t>
      </w:r>
      <w:r>
        <w:t xml:space="preserve"> </w:t>
      </w:r>
      <w:r>
        <w:t xml:space="preserve">grinding circuits, however, mostly share one design choice, although</w:t>
      </w:r>
      <w:r>
        <w:t xml:space="preserve"> </w:t>
      </w:r>
      <w:r>
        <w:t xml:space="preserve">modified profit cost functions have also been tried</w:t>
      </w:r>
      <w:r>
        <w:t xml:space="preserve"> </w:t>
      </w:r>
      <w:r>
        <w:t xml:space="preserve">.</w:t>
      </w:r>
      <w:r>
        <w:t xml:space="preserve"> </w:t>
      </w:r>
      <w:r>
        <w:t xml:space="preserve">This paper revisits that choice and benchmarks a pure energy cost</w:t>
      </w:r>
      <w:r>
        <w:t xml:space="preserve"> </w:t>
      </w:r>
      <w:r>
        <w:t xml:space="preserve">function against it. Their economic objective is a plant-wide net</w:t>
      </w:r>
      <w:r>
        <w:t xml:space="preserve"> </w:t>
      </w:r>
      <w:r>
        <w:t xml:space="preserve">smelter return. It</w:t>
      </w:r>
      <w:r>
        <w:t xml:space="preserve"> </w:t>
      </w:r>
      <w:r>
        <w:t xml:space="preserve">is a revenue term built from the downstream flotation concentrate mass</w:t>
      </w:r>
      <w:r>
        <w:t xml:space="preserve"> </w:t>
      </w:r>
      <w:r>
        <w:t xml:space="preserve">flow, its grade and the metal price, minus operating cost</w:t>
      </w:r>
      <w:r>
        <w:t xml:space="preserve"> </w:t>
      </w:r>
      <w:r>
        <w:t xml:space="preserve">. Embedding downstream economics in the</w:t>
      </w:r>
      <w:r>
        <w:t xml:space="preserve"> </w:t>
      </w:r>
      <w:r>
        <w:t xml:space="preserve">mill controller couples it to a calibrated flotation model, a specific ore</w:t>
      </w:r>
      <w:r>
        <w:t xml:space="preserve"> </w:t>
      </w:r>
      <w:r>
        <w:t xml:space="preserve">body and a specific market state, so it must be re-identified whenever any</w:t>
      </w:r>
      <w:r>
        <w:t xml:space="preserve"> </w:t>
      </w:r>
      <w:r>
        <w:t xml:space="preserve">of these change. In the most directly comparable study</w:t>
      </w:r>
      <w:r>
        <w:t xml:space="preserve"> </w:t>
      </w:r>
      <w:r>
        <w:t xml:space="preserve">, the coupled objective was compared only at steady</w:t>
      </w:r>
      <w:r>
        <w:t xml:space="preserve"> </w:t>
      </w:r>
      <w:r>
        <w:t xml:space="preserve">state.</w:t>
      </w:r>
    </w:p>
    <w:p>
      <w:pPr>
        <w:pStyle w:val="BodyText"/>
      </w:pPr>
      <w:r>
        <w:t xml:space="preserve">This paper adopts the opposite separation and makes two contributions.</w:t>
      </w:r>
      <w:r>
        <w:t xml:space="preserve"> </w:t>
      </w:r>
      <w:r>
        <w:t xml:space="preserve">First, we argue and demonstrate that on a single-stage SAG mill the</w:t>
      </w:r>
      <w:r>
        <w:t xml:space="preserve"> </w:t>
      </w:r>
      <w:r>
        <w:t xml:space="preserve">revenue term dominates. Electricity cost is a small fraction of revenue,</w:t>
      </w:r>
      <w:r>
        <w:t xml:space="preserve"> </w:t>
      </w:r>
      <w:r>
        <w:t xml:space="preserve">so a profit-maximising objective has no interior optimum. It drives the</w:t>
      </w:r>
      <w:r>
        <w:t xml:space="preserve"> </w:t>
      </w:r>
      <w:r>
        <w:t xml:space="preserve">feed rate and mill speed to their upper limits and holds them there. We</w:t>
      </w:r>
      <w:r>
        <w:t xml:space="preserve"> </w:t>
      </w:r>
      <w:r>
        <w:t xml:space="preserve">therefore propose a modular, mill-specific objective. It minimises</w:t>
      </w:r>
      <w:r>
        <w:t xml:space="preserve"> </w:t>
      </w:r>
      <w:r>
        <w:t xml:space="preserve">specific energy alone, subject to a product-size floor and a throughput</w:t>
      </w:r>
      <w:r>
        <w:t xml:space="preserve"> </w:t>
      </w:r>
      <w:r>
        <w:t xml:space="preserve">demand supplied by a higher-level plant-wide economic optimisation</w:t>
      </w:r>
      <w:r>
        <w:t xml:space="preserve"> </w:t>
      </w:r>
      <w:r>
        <w:t xml:space="preserve">. This interface decouples the mill controller from</w:t>
      </w:r>
      <w:r>
        <w:t xml:space="preserve"> </w:t>
      </w:r>
      <w:r>
        <w:t xml:space="preserve">downstream economics and makes it portable across ore bodies and plants.</w:t>
      </w:r>
      <w:r>
        <w:t xml:space="preserve"> </w:t>
      </w:r>
      <w:r>
        <w:t xml:space="preserve">Second, we report a like-for-like simulation benchmark of the supervisory</w:t>
      </w:r>
      <w:r>
        <w:t xml:space="preserve"> </w:t>
      </w:r>
      <w:r>
        <w:t xml:space="preserve">continuum. All architectures run on a common reduced-order plant, under a</w:t>
      </w:r>
      <w:r>
        <w:t xml:space="preserve"> </w:t>
      </w:r>
      <w:r>
        <w:t xml:space="preserve">common transient scenario, with common tuning. They can therefore be</w:t>
      </w:r>
      <w:r>
        <w:t xml:space="preserve"> </w:t>
      </w:r>
      <w:r>
        <w:t xml:space="preserve">compared fairly on the metric that matters, specific energy. The results</w:t>
      </w:r>
      <w:r>
        <w:t xml:space="preserve"> </w:t>
      </w:r>
      <w:r>
        <w:t xml:space="preserve">are preliminary and obtained on a synthetic plant. The value here is the</w:t>
      </w:r>
      <w:r>
        <w:t xml:space="preserve"> </w:t>
      </w:r>
      <w:r>
        <w:t xml:space="preserve">fair comparison and the modular formulation, not a plant-certified</w:t>
      </w:r>
      <w:r>
        <w:t xml:space="preserve"> </w:t>
      </w:r>
      <w:r>
        <w:t xml:space="preserve">saving.</w:t>
      </w:r>
    </w:p>
    <w:bookmarkEnd w:id="9"/>
    <w:bookmarkStart w:id="14" w:name="circuit-and-reduced-order-model"/>
    <w:p>
      <w:pPr>
        <w:pStyle w:val="Heading1"/>
      </w:pPr>
      <w:r>
        <w:t xml:space="preserve">Circuit and Reduced-Order Model</w:t>
      </w:r>
    </w:p>
    <w:p>
      <w:pPr>
        <w:pStyle w:val="FirstParagraph"/>
      </w:pPr>
      <w:r>
        <w:t xml:space="preserve">All controllers act on the same simulated plant. It is a single-stage</w:t>
      </w:r>
      <w:r>
        <w:t xml:space="preserve"> </w:t>
      </w:r>
      <w:r>
        <w:t xml:space="preserve">closed grinding circuit consisting of a SAG mill, a sump, and a</w:t>
      </w:r>
      <w:r>
        <w:t xml:space="preserve"> </w:t>
      </w:r>
      <w:r>
        <w:t xml:space="preserve">hydrocyclone (Fig. </w:t>
      </w:r>
      <w:hyperlink w:anchor="fig:circuit">
        <w:r>
          <w:rPr>
            <w:rStyle w:val="Hyperlink"/>
          </w:rPr>
          <w:t xml:space="preserve">1</w:t>
        </w:r>
      </w:hyperlink>
      <w:r>
        <w:t xml:space="preserve">). The plant dynamics follow the reduced-order,</w:t>
      </w:r>
      <w:r>
        <w:t xml:space="preserve"> </w:t>
      </w:r>
      <w:r>
        <w:t xml:space="preserve">control-oriented Hulbert model, in the single-stage SAG configuration</w:t>
      </w:r>
      <w:r>
        <w:t xml:space="preserve"> </w:t>
      </w:r>
      <w:r>
        <w:t xml:space="preserve">analysed and validated by le Roux and co-authors</w:t>
      </w:r>
      <w:r>
        <w:t xml:space="preserve"> </w:t>
      </w:r>
      <w:r>
        <w:t xml:space="preserve">. The</w:t>
      </w:r>
      <w:r>
        <w:t xml:space="preserve"> </w:t>
      </w:r>
      <w:r>
        <w:t xml:space="preserve">model lumps the size structure of the charge into rocks, solids and fines</w:t>
      </w:r>
      <w:r>
        <w:t xml:space="preserve"> </w:t>
      </w:r>
      <w:r>
        <w:t xml:space="preserve">and adds water and ball hold-ups. This gives eight nonlinear states. Five</w:t>
      </w:r>
      <w:r>
        <w:t xml:space="preserve"> </w:t>
      </w:r>
      <w:r>
        <w:t xml:space="preserve">sit in the mill (water, solids, fines, rocks and balls) and three in the</w:t>
      </w:r>
      <w:r>
        <w:t xml:space="preserve"> </w:t>
      </w:r>
      <w:r>
        <w:t xml:space="preserve">sump (water, solids and fines).</w:t>
      </w:r>
    </w:p>
    <w:p>
      <w:pPr>
        <w:pStyle w:val="BodyText"/>
      </w:pPr>
      <w:r>
        <w:t xml:space="preserve">The manipulated variables (MVs) are the mill feed solids MFS (t/h), the</w:t>
      </w:r>
      <w:r>
        <w:t xml:space="preserve"> </w:t>
      </w:r>
      <w:r>
        <w:t xml:space="preserve">cyclone feed flow CFF, the sump feed water SFW, and the fractional mill</w:t>
      </w:r>
      <w:r>
        <w:t xml:space="preserve"> </w:t>
      </w:r>
      <w:r>
        <w:t xml:space="preserve">speed. Mill speed is a manipulated variable rather than a fixed parameter,</w:t>
      </w:r>
      <w:r>
        <w:t xml:space="preserve"> </w:t>
      </w:r>
      <w:r>
        <w:t xml:space="preserve">giving the optimiser a fourth degree of freedom. The controlled variables (CVs) are the mill charge</w:t>
      </w:r>
      <w:r>
        <w:t xml:space="preserve"> </w:t>
      </w:r>
      <w:r>
        <w:t xml:space="preserve">filling JT, the sump slurry volume SVOL, and the product particle-size</w:t>
      </w:r>
      <w:r>
        <w:t xml:space="preserve"> </w:t>
      </w:r>
      <w:r>
        <w:t xml:space="preserve">estimate PSE, the fraction of cyclone-overflow product finer than 75</w:t>
      </w:r>
      <w:r>
        <w:t xml:space="preserve"> </w:t>
      </w:r>
      <w:r>
        <w:t xml:space="preserve">microns. Mill power draw is a monitored output with a parabolic dependence</w:t>
      </w:r>
      <w:r>
        <w:t xml:space="preserve"> </w:t>
      </w:r>
      <w:r>
        <w:t xml:space="preserve">on charge and rheology. Grinding is power-driven in this model. Fines</w:t>
      </w:r>
      <w:r>
        <w:t xml:space="preserve"> </w:t>
      </w:r>
      <w:r>
        <w:t xml:space="preserve">production is proportional to mill power through a specific-energy</w:t>
      </w:r>
      <w:r>
        <w:t xml:space="preserve"> </w:t>
      </w:r>
      <w:r>
        <w:t xml:space="preserve">parameter. That parameter is exactly the physical lever an</w:t>
      </w:r>
      <w:r>
        <w:t xml:space="preserve"> </w:t>
      </w:r>
      <w:r>
        <w:t xml:space="preserve">energy-minimising objective trades against product fineness.</w:t>
      </w:r>
    </w:p>
    <w:p>
      <w:pPr>
        <w:pStyle w:val="BodyText"/>
      </w:pPr>
      <w:r>
        <w:t xml:space="preserve">The model is credible as a control testbed. It was fitted and validated</w:t>
      </w:r>
      <w:r>
        <w:t xml:space="preserve"> </w:t>
      </w:r>
      <w:r>
        <w:t xml:space="preserve">on a real single-stage plant</w:t>
      </w:r>
      <w:r>
        <w:t xml:space="preserve"> </w:t>
      </w:r>
      <w:r>
        <w:t xml:space="preserve">, has been dynamically</w:t>
      </w:r>
      <w:r>
        <w:t xml:space="preserve"> </w:t>
      </w:r>
      <w:r>
        <w:t xml:space="preserve">validated against industrial step-test data</w:t>
      </w:r>
      <w:r>
        <w:t xml:space="preserve"> </w:t>
      </w:r>
      <w:r>
        <w:t xml:space="preserve">, and is a</w:t>
      </w:r>
      <w:r>
        <w:t xml:space="preserve"> </w:t>
      </w:r>
      <w:r>
        <w:t xml:space="preserve">de facto standard testbed in the milling control literature.</w:t>
      </w:r>
    </w:p>
    <w:p>
      <w:pPr>
        <w:pStyle w:val="BodyText"/>
      </w:pPr>
      <w:r>
        <w:t xml:space="preserve">Every controller in this study estimates the plant state with the same</w:t>
      </w:r>
      <w:r>
        <w:t xml:space="preserve"> </w:t>
      </w:r>
      <w:r>
        <w:t xml:space="preserve">augmented extended Kalman filter (EKF). It estimates the eight hold-up</w:t>
      </w:r>
      <w:r>
        <w:t xml:space="preserve"> </w:t>
      </w:r>
      <w:r>
        <w:t xml:space="preserve">states plus a slowly varying ore-hardness parameter as a ninth state,</w:t>
      </w:r>
      <w:r>
        <w:t xml:space="preserve"> </w:t>
      </w:r>
      <w:r>
        <w:t xml:space="preserve">following the augmented-EKF observer developed for this model</w:t>
      </w:r>
      <w:r>
        <w:t xml:space="preserve"> </w:t>
      </w:r>
      <w:r>
        <w:t xml:space="preserve">. Using one estimator across all controllers</w:t>
      </w:r>
      <w:r>
        <w:t xml:space="preserve"> </w:t>
      </w:r>
      <w:r>
        <w:t xml:space="preserve">keeps the comparison apples-to-apples, so that only the control law</w:t>
      </w:r>
      <w:r>
        <w:t xml:space="preserve"> </w:t>
      </w:r>
      <w:r>
        <w:t xml:space="preserve">differs.</w:t>
      </w:r>
    </w:p>
    <w:bookmarkStart w:id="13" w:name="fig:circuit"/>
    <w:p>
      <w:pPr>
        <w:pStyle w:val="CaptionedFigure"/>
      </w:pPr>
      <w:r>
        <w:drawing>
          <wp:inline>
            <wp:extent cx="3497739" cy="3203597"/>
            <wp:effectExtent b="0" l="0" r="0" t="0"/>
            <wp:docPr descr="" title="" id="11" name="Picture"/>
            <a:graphic>
              <a:graphicData uri="http://schemas.openxmlformats.org/drawingml/2006/picture">
                <pic:pic>
                  <pic:nvPicPr>
                    <pic:cNvPr descr="SAGmill.png" id="12" name="Picture"/>
                    <pic:cNvPicPr>
                      <a:picLocks noChangeArrowheads="1" noChangeAspect="1"/>
                    </pic:cNvPicPr>
                  </pic:nvPicPr>
                  <pic:blipFill>
                    <a:blip r:embed="rId10"/>
                    <a:stretch>
                      <a:fillRect/>
                    </a:stretch>
                  </pic:blipFill>
                  <pic:spPr bwMode="auto">
                    <a:xfrm>
                      <a:off x="0" y="0"/>
                      <a:ext cx="3497739" cy="3203597"/>
                    </a:xfrm>
                    <a:prstGeom prst="rect">
                      <a:avLst/>
                    </a:prstGeom>
                    <a:noFill/>
                    <a:ln w="9525">
                      <a:noFill/>
                      <a:headEnd/>
                      <a:tailEnd/>
                    </a:ln>
                  </pic:spPr>
                </pic:pic>
              </a:graphicData>
            </a:graphic>
          </wp:inline>
        </w:drawing>
      </w:r>
    </w:p>
    <w:p>
      <w:pPr>
        <w:pStyle w:val="ImageCaption"/>
      </w:pPr>
      <w:r>
        <w:t xml:space="preserve">Single-stage SAG grinding circuit: mill, sump and hydrocyclone,</w:t>
      </w:r>
      <w:r>
        <w:t xml:space="preserve"> </w:t>
      </w:r>
      <w:r>
        <w:t xml:space="preserve">with the manipulated variables (feed solids, mill inlet and sump water,</w:t>
      </w:r>
      <w:r>
        <w:t xml:space="preserve"> </w:t>
      </w:r>
      <w:r>
        <w:t xml:space="preserve">cyclone feed flow, mill speed) and the controlled variables (mill filling,</w:t>
      </w:r>
      <w:r>
        <w:t xml:space="preserve"> </w:t>
      </w:r>
      <w:r>
        <w:t xml:space="preserve">sump volume, product size).</w:t>
      </w:r>
    </w:p>
    <w:bookmarkEnd w:id="13"/>
    <w:bookmarkEnd w:id="14"/>
    <w:bookmarkStart w:id="18" w:name="Xbd9d94179c4e82c0bcc3ebaa9406a7ea671be3f"/>
    <w:p>
      <w:pPr>
        <w:pStyle w:val="Heading1"/>
      </w:pPr>
      <w:r>
        <w:t xml:space="preserve">A Modular Energy-Minimising Cost Function</w:t>
      </w:r>
    </w:p>
    <w:bookmarkStart w:id="15" w:name="the-plant-wide-economic-objective"/>
    <w:p>
      <w:pPr>
        <w:pStyle w:val="Heading2"/>
      </w:pPr>
      <w:r>
        <w:t xml:space="preserve">The plant-wide economic objective</w:t>
      </w:r>
    </w:p>
    <w:p>
      <w:pPr>
        <w:pStyle w:val="FirstParagraph"/>
      </w:pPr>
      <w:r>
        <w:t xml:space="preserve">The economic objective of a grinding mill extends beyond the mill</w:t>
      </w:r>
      <w:r>
        <w:t xml:space="preserve"> </w:t>
      </w:r>
      <w:r>
        <w:t xml:space="preserve">itself. Following the plant-wide framework of le Roux and Craig</w:t>
      </w:r>
      <w:r>
        <w:t xml:space="preserve"> </w:t>
      </w:r>
      <w:r>
        <w:t xml:space="preserve">, the comminution circuit’s scalar economic objective is</w:t>
      </w:r>
      <w:r>
        <w:t xml:space="preserve"> </w:t>
      </w:r>
      <w:r>
        <w:t xml:space="preserve">inherited from the larger plant:</w:t>
      </w:r>
    </w:p>
    <w:p>
      <w:pPr>
        <w:pStyle w:val="BodyText"/>
      </w:pPr>
      <m:oMathPara>
        <m:oMathParaPr>
          <m:jc m:val="center"/>
        </m:oMathParaPr>
        <m:oMath>
          <m:sSub>
            <m:e>
              <m:r>
                <m:t>J</m:t>
              </m:r>
            </m:e>
            <m:sub>
              <m:r>
                <m:rPr>
                  <m:sty m:val="p"/>
                </m:rPr>
                <m:t>c</m:t>
              </m:r>
              <m:r>
                <m:rPr>
                  <m:sty m:val="p"/>
                </m:rPr>
                <m:t>o</m:t>
              </m:r>
              <m:r>
                <m:rPr>
                  <m:sty m:val="p"/>
                </m:rPr>
                <m:t>m</m:t>
              </m:r>
              <m:r>
                <m:rPr>
                  <m:sty m:val="p"/>
                </m:rPr>
                <m:t>m</m:t>
              </m:r>
            </m:sub>
          </m:sSub>
          <m:r>
            <m:rPr>
              <m:sty m:val="p"/>
            </m:rPr>
            <m:t>=</m:t>
          </m:r>
          <m:r>
            <m:t>A</m:t>
          </m:r>
          <m:r>
            <m:rPr>
              <m:sty m:val="p"/>
            </m:rPr>
            <m:t>(</m:t>
          </m:r>
          <m:r>
            <m:rPr>
              <m:sty m:val="p"/>
            </m:rPr>
            <m:t>P</m:t>
          </m:r>
          <m:r>
            <m:rPr>
              <m:sty m:val="p"/>
            </m:rPr>
            <m:t>S</m:t>
          </m:r>
          <m:r>
            <m:rPr>
              <m:sty m:val="p"/>
            </m:rPr>
            <m:t>E</m:t>
          </m:r>
          <m:r>
            <m:rPr>
              <m:sty m:val="p"/>
            </m:rPr>
            <m:t>)</m:t>
          </m:r>
          <m:r>
            <m:t> </m:t>
          </m:r>
          <m:r>
            <m:rPr>
              <m:sty m:val="p"/>
            </m:rPr>
            <m:t>T</m:t>
          </m:r>
          <m:r>
            <m:rPr>
              <m:sty m:val="p"/>
            </m:rPr>
            <m:t>P</m:t>
          </m:r>
          <m:r>
            <m:rPr>
              <m:sty m:val="p"/>
            </m:rPr>
            <m:t>−</m:t>
          </m:r>
          <m:r>
            <m:t>B</m:t>
          </m:r>
          <m:r>
            <m:t> </m:t>
          </m:r>
          <m:sSub>
            <m:e>
              <m:r>
                <m:t>P</m:t>
              </m:r>
            </m:e>
            <m:sub>
              <m:r>
                <m:rPr>
                  <m:sty m:val="p"/>
                </m:rPr>
                <m:t>m</m:t>
              </m:r>
              <m:r>
                <m:rPr>
                  <m:sty m:val="p"/>
                </m:rPr>
                <m:t>i</m:t>
              </m:r>
              <m:r>
                <m:rPr>
                  <m:sty m:val="p"/>
                </m:rPr>
                <m:t>l</m:t>
              </m:r>
              <m:r>
                <m:rPr>
                  <m:sty m:val="p"/>
                </m:rPr>
                <m:t>l</m:t>
              </m:r>
            </m:sub>
          </m:sSub>
          <m:r>
            <m:rPr>
              <m:sty m:val="p"/>
            </m:rPr>
            <m:t>,</m:t>
          </m:r>
        </m:oMath>
      </m:oMathPara>
    </w:p>
    <w:p>
      <w:pPr>
        <w:pStyle w:val="FirstParagraph"/>
      </w:pPr>
      <w:r>
        <w:t xml:space="preserve">where TP is throughput,</w:t>
      </w:r>
      <w:r>
        <w:t xml:space="preserve"> </w:t>
      </w:r>
      <m:oMath>
        <m:sSub>
          <m:e>
            <m:r>
              <m:t>P</m:t>
            </m:r>
          </m:e>
          <m:sub>
            <m:r>
              <m:rPr>
                <m:sty m:val="p"/>
              </m:rPr>
              <m:t>m</m:t>
            </m:r>
            <m:r>
              <m:rPr>
                <m:sty m:val="p"/>
              </m:rPr>
              <m:t>i</m:t>
            </m:r>
            <m:r>
              <m:rPr>
                <m:sty m:val="p"/>
              </m:rPr>
              <m:t>l</m:t>
            </m:r>
            <m:r>
              <m:rPr>
                <m:sty m:val="p"/>
              </m:rPr>
              <m:t>l</m:t>
            </m:r>
          </m:sub>
        </m:sSub>
      </m:oMath>
      <w:r>
        <w:t xml:space="preserve"> </w:t>
      </w:r>
      <w:r>
        <w:t xml:space="preserve">is mill power,</w:t>
      </w:r>
      <w:r>
        <w:t xml:space="preserve"> </w:t>
      </w:r>
      <m:oMath>
        <m:r>
          <m:t>B</m:t>
        </m:r>
      </m:oMath>
      <w:r>
        <w:t xml:space="preserve"> </w:t>
      </w:r>
      <w:r>
        <w:t xml:space="preserve">is the</w:t>
      </w:r>
      <w:r>
        <w:t xml:space="preserve"> </w:t>
      </w:r>
      <w:r>
        <w:t xml:space="preserve">effective energy-plus-media price in dollars per kWh, and</w:t>
      </w:r>
      <w:r>
        <w:t xml:space="preserve"> </w:t>
      </w:r>
      <m:oMath>
        <m:r>
          <m:t>A</m:t>
        </m:r>
        <m:r>
          <m:rPr>
            <m:sty m:val="p"/>
          </m:rPr>
          <m:t>(</m:t>
        </m:r>
        <m:r>
          <m:rPr>
            <m:sty m:val="p"/>
          </m:rPr>
          <m:t>P</m:t>
        </m:r>
        <m:r>
          <m:rPr>
            <m:sty m:val="p"/>
          </m:rPr>
          <m:t>S</m:t>
        </m:r>
        <m:r>
          <m:rPr>
            <m:sty m:val="p"/>
          </m:rPr>
          <m:t>E</m:t>
        </m:r>
        <m:r>
          <m:rPr>
            <m:sty m:val="p"/>
          </m:rPr>
          <m:t>)</m:t>
        </m:r>
      </m:oMath>
      <w:r>
        <w:t xml:space="preserve"> </w:t>
      </w:r>
      <w:r>
        <w:t xml:space="preserve">is a net return per tonne that folds in the flotation recovery and</w:t>
      </w:r>
      <w:r>
        <w:t xml:space="preserve"> </w:t>
      </w:r>
      <w:r>
        <w:t xml:space="preserve">concentrate grade, both empirical functions of PSE. This objective has a real</w:t>
      </w:r>
      <w:r>
        <w:t xml:space="preserve"> </w:t>
      </w:r>
      <w:r>
        <w:t xml:space="preserve">optimum inside the operating range, not on a limit. Feeding more tonnes</w:t>
      </w:r>
      <w:r>
        <w:t xml:space="preserve"> </w:t>
      </w:r>
      <w:r>
        <w:t xml:space="preserve">makes the grind coarser, and a coarser product returns less per tonne</w:t>
      </w:r>
      <w:r>
        <w:t xml:space="preserve"> </w:t>
      </w:r>
      <w:r>
        <w:t xml:space="preserve">through recovery and grade. Beyond some point, the extra tonnes are worth</w:t>
      </w:r>
      <w:r>
        <w:t xml:space="preserve"> </w:t>
      </w:r>
      <w:r>
        <w:t xml:space="preserve">less than the value lost on every tonne. The plant-wide layer maximises</w:t>
      </w:r>
      <w:r>
        <w:t xml:space="preserve"> </w:t>
      </w:r>
      <w:r>
        <w:t xml:space="preserve">this objective on a slow, event-triggered cadence and hands the</w:t>
      </w:r>
      <w:r>
        <w:t xml:space="preserve"> </w:t>
      </w:r>
      <w:r>
        <w:t xml:space="preserve">comminution circuit a desired product size and a desired throughput</w:t>
      </w:r>
      <w:r>
        <w:t xml:space="preserve"> </w:t>
      </w:r>
      <w:r>
        <w:t xml:space="preserve">. In this study we take</w:t>
      </w:r>
      <w:r>
        <w:t xml:space="preserve"> </w:t>
      </w:r>
      <m:oMath>
        <m:r>
          <m:t>A</m:t>
        </m:r>
      </m:oMath>
      <w:r>
        <w:t xml:space="preserve"> </w:t>
      </w:r>
      <w:r>
        <w:t xml:space="preserve">as a constant to simplify</w:t>
      </w:r>
      <w:r>
        <w:t xml:space="preserve"> </w:t>
      </w:r>
      <w:r>
        <w:t xml:space="preserve">the calculation. The PSE-dependent part of</w:t>
      </w:r>
      <w:r>
        <w:t xml:space="preserve"> </w:t>
      </w:r>
      <m:oMath>
        <m:r>
          <m:t>A</m:t>
        </m:r>
      </m:oMath>
      <w:r>
        <w:t xml:space="preserve"> </w:t>
      </w:r>
      <w:r>
        <w:t xml:space="preserve">is a second-order effect</w:t>
      </w:r>
      <w:r>
        <w:t xml:space="preserve"> </w:t>
      </w:r>
      <w:r>
        <w:t xml:space="preserve">over the narrow PSE band the quality floor allows.</w:t>
      </w:r>
    </w:p>
    <w:p>
      <w:pPr>
        <w:pStyle w:val="BodyText"/>
      </w:pPr>
      <w:r>
        <w:t xml:space="preserve">The key observation is that this interface, a product-size floor and a</w:t>
      </w:r>
      <w:r>
        <w:t xml:space="preserve"> </w:t>
      </w:r>
      <w:r>
        <w:t xml:space="preserve">throughput demand, is exactly what a mill-level controller needs as its</w:t>
      </w:r>
      <w:r>
        <w:t xml:space="preserve"> </w:t>
      </w:r>
      <w:r>
        <w:t xml:space="preserve">constraints. The plant-wide layer deals with the downstream economics,</w:t>
      </w:r>
      <w:r>
        <w:t xml:space="preserve"> </w:t>
      </w:r>
      <w:r>
        <w:t xml:space="preserve">which change with prices and markets. The mill controller does not have</w:t>
      </w:r>
      <w:r>
        <w:t xml:space="preserve"> </w:t>
      </w:r>
      <w:r>
        <w:t xml:space="preserve">to.</w:t>
      </w:r>
    </w:p>
    <w:bookmarkEnd w:id="15"/>
    <w:bookmarkStart w:id="16" w:name="X1ed9c690d870ecf5824ffc2f550c7e74fe1ff5b"/>
    <w:p>
      <w:pPr>
        <w:pStyle w:val="Heading2"/>
      </w:pPr>
      <w:r>
        <w:t xml:space="preserve">Mill-level profit maximisation and its side effects</w:t>
      </w:r>
    </w:p>
    <w:p>
      <w:pPr>
        <w:pStyle w:val="FirstParagraph"/>
      </w:pPr>
      <w:r>
        <w:t xml:space="preserve">If the revenue term is instead placed directly in a mill controller, as</w:t>
      </w:r>
      <w:r>
        <w:t xml:space="preserve"> </w:t>
      </w:r>
      <m:oMath>
        <m:r>
          <m:rPr>
            <m:sty m:val="p"/>
          </m:rPr>
          <m:t>−</m:t>
        </m:r>
        <m:r>
          <m:t>A</m:t>
        </m:r>
        <m:r>
          <m:rPr>
            <m:sty m:val="p"/>
          </m:rPr>
          <m:t>⋅</m:t>
        </m:r>
        <m:r>
          <m:rPr>
            <m:sty m:val="p"/>
          </m:rPr>
          <m:t>T</m:t>
        </m:r>
        <m:r>
          <m:rPr>
            <m:sty m:val="p"/>
          </m:rPr>
          <m:t>P</m:t>
        </m:r>
        <m:r>
          <m:rPr>
            <m:sty m:val="p"/>
          </m:rPr>
          <m:t>+</m:t>
        </m:r>
        <m:r>
          <m:t>B</m:t>
        </m:r>
        <m:r>
          <m:t> </m:t>
        </m:r>
        <m:sSub>
          <m:e>
            <m:r>
              <m:t>P</m:t>
            </m:r>
          </m:e>
          <m:sub>
            <m:r>
              <m:rPr>
                <m:sty m:val="p"/>
              </m:rPr>
              <m:t>m</m:t>
            </m:r>
            <m:r>
              <m:rPr>
                <m:sty m:val="p"/>
              </m:rPr>
              <m:t>i</m:t>
            </m:r>
            <m:r>
              <m:rPr>
                <m:sty m:val="p"/>
              </m:rPr>
              <m:t>l</m:t>
            </m:r>
            <m:r>
              <m:rPr>
                <m:sty m:val="p"/>
              </m:rPr>
              <m:t>l</m:t>
            </m:r>
          </m:sub>
        </m:sSub>
      </m:oMath>
      <w:r>
        <w:t xml:space="preserve">, the objective pursues two</w:t>
      </w:r>
      <w:r>
        <w:t xml:space="preserve"> </w:t>
      </w:r>
      <w:r>
        <w:t xml:space="preserve">goals at once. It maximises revenue and minimises mill power. The energy</w:t>
      </w:r>
      <w:r>
        <w:t xml:space="preserve"> </w:t>
      </w:r>
      <w:r>
        <w:t xml:space="preserve">half still disciplines every tonne. Section VI shows the profit runs match</w:t>
      </w:r>
      <w:r>
        <w:t xml:space="preserve"> </w:t>
      </w:r>
      <w:r>
        <w:t xml:space="preserve">the energy runs in specific energy. The two goals are not balanced,</w:t>
      </w:r>
      <w:r>
        <w:t xml:space="preserve"> </w:t>
      </w:r>
      <w:r>
        <w:t xml:space="preserve">though. Revenue exceeds energy cost by more than an order of magnitude. The</w:t>
      </w:r>
      <w:r>
        <w:t xml:space="preserve"> </w:t>
      </w:r>
      <w:r>
        <w:t xml:space="preserve">stage cost is therefore near-affine in throughput, and its optimum sits on</w:t>
      </w:r>
      <w:r>
        <w:t xml:space="preserve"> </w:t>
      </w:r>
      <w:r>
        <w:t xml:space="preserve">a constraint boundary. The optimiser raises feed and mill speed until a</w:t>
      </w:r>
      <w:r>
        <w:t xml:space="preserve"> </w:t>
      </w:r>
      <w:r>
        <w:t xml:space="preserve">limit stops them, and holds them there. Running the mill at maximum speed</w:t>
      </w:r>
      <w:r>
        <w:t xml:space="preserve"> </w:t>
      </w:r>
      <w:r>
        <w:t xml:space="preserve">continuously, regardless of throughput, is neither good nor common</w:t>
      </w:r>
      <w:r>
        <w:t xml:space="preserve"> </w:t>
      </w:r>
      <w:r>
        <w:t xml:space="preserve">practice. Liner and media wear grow steeply with speed, and the model</w:t>
      </w:r>
      <w:r>
        <w:t xml:space="preserve"> </w:t>
      </w:r>
      <w:r>
        <w:t xml:space="preserve">carries no wear cost to push back. Profit optimisation at the mill can</w:t>
      </w:r>
      <w:r>
        <w:t xml:space="preserve"> </w:t>
      </w:r>
      <w:r>
        <w:t xml:space="preserve">still be a good choice, for example when the mill is the plant bottleneck</w:t>
      </w:r>
      <w:r>
        <w:t xml:space="preserve"> </w:t>
      </w:r>
      <w:r>
        <w:t xml:space="preserve">and every extra tonne has value.</w:t>
      </w:r>
    </w:p>
    <w:p>
      <w:pPr>
        <w:pStyle w:val="BodyText"/>
      </w:pPr>
      <w:r>
        <w:t xml:space="preserve">Our simulations confirm this directly (Section VI). The profit runs park</w:t>
      </w:r>
      <w:r>
        <w:t xml:space="preserve"> </w:t>
      </w:r>
      <w:r>
        <w:t xml:space="preserve">the feed near its upper bound, the energy runs settle at the demanded</w:t>
      </w:r>
      <w:r>
        <w:t xml:space="preserve"> </w:t>
      </w:r>
      <w:r>
        <w:t xml:space="preserve">floor, and their specific energies are essentially identical.</w:t>
      </w:r>
    </w:p>
    <w:bookmarkEnd w:id="16"/>
    <w:bookmarkStart w:id="17" w:name="the-modular-energy-minimising-objective"/>
    <w:p>
      <w:pPr>
        <w:pStyle w:val="Heading2"/>
      </w:pPr>
      <w:r>
        <w:t xml:space="preserve">The modular energy-minimising objective</w:t>
      </w:r>
    </w:p>
    <w:p>
      <w:pPr>
        <w:pStyle w:val="FirstParagraph"/>
      </w:pPr>
      <w:r>
        <w:t xml:space="preserve">We therefore lift the revenue term out of the mill controller entirely.</w:t>
      </w:r>
      <w:r>
        <w:t xml:space="preserve"> </w:t>
      </w:r>
      <w:r>
        <w:t xml:space="preserve">The plant-wide layer sets the product-size floor and the throughput</w:t>
      </w:r>
      <w:r>
        <w:t xml:space="preserve"> </w:t>
      </w:r>
      <w:r>
        <w:t xml:space="preserve">demand. The mill controller minimises mill energy for those targets:</w:t>
      </w:r>
    </w:p>
    <w:p>
      <w:pPr>
        <w:pStyle w:val="BodyText"/>
      </w:pPr>
      <m:oMathPara>
        <m:oMathParaPr>
          <m:jc m:val="center"/>
        </m:oMathParaPr>
        <m:oMath>
          <m:r>
            <m:rPr>
              <m:sty m:val="p"/>
            </m:rPr>
            <m:t>min</m:t>
          </m:r>
          <m:r>
            <m:t> </m:t>
          </m:r>
          <m:r>
            <m:t>B</m:t>
          </m:r>
          <m:r>
            <m:t> </m:t>
          </m:r>
          <m:sSub>
            <m:e>
              <m:r>
                <m:t>P</m:t>
              </m:r>
            </m:e>
            <m:sub>
              <m:r>
                <m:rPr>
                  <m:sty m:val="p"/>
                </m:rPr>
                <m:t>m</m:t>
              </m:r>
              <m:r>
                <m:rPr>
                  <m:sty m:val="p"/>
                </m:rPr>
                <m:t>i</m:t>
              </m:r>
              <m:r>
                <m:rPr>
                  <m:sty m:val="p"/>
                </m:rPr>
                <m:t>l</m:t>
              </m:r>
              <m:r>
                <m:rPr>
                  <m:sty m:val="p"/>
                </m:rPr>
                <m:t>l</m:t>
              </m:r>
            </m:sub>
          </m:sSub>
          <m:r>
            <m:t> </m:t>
          </m:r>
          <m:r>
            <m:rPr>
              <m:nor/>
              <m:sty m:val="p"/>
            </m:rPr>
            <m:t>s.t.</m:t>
          </m:r>
          <m:r>
            <m:t> </m:t>
          </m:r>
          <m:r>
            <m:t> </m:t>
          </m:r>
          <m:r>
            <m:rPr>
              <m:sty m:val="p"/>
            </m:rPr>
            <m:t>P</m:t>
          </m:r>
          <m:r>
            <m:rPr>
              <m:sty m:val="p"/>
            </m:rPr>
            <m:t>S</m:t>
          </m:r>
          <m:r>
            <m:rPr>
              <m:sty m:val="p"/>
            </m:rPr>
            <m:t>E</m:t>
          </m:r>
          <m:r>
            <m:rPr>
              <m:sty m:val="p"/>
            </m:rPr>
            <m:t>≥</m:t>
          </m:r>
          <m:sSub>
            <m:e>
              <m:r>
                <m:rPr>
                  <m:sty m:val="p"/>
                </m:rPr>
                <m:t>P</m:t>
              </m:r>
              <m:r>
                <m:rPr>
                  <m:sty m:val="p"/>
                </m:rPr>
                <m:t>S</m:t>
              </m:r>
              <m:r>
                <m:rPr>
                  <m:sty m:val="p"/>
                </m:rPr>
                <m:t>E</m:t>
              </m:r>
            </m:e>
            <m:sub>
              <m:r>
                <m:rPr>
                  <m:sty m:val="p"/>
                </m:rPr>
                <m:t>min</m:t>
              </m:r>
            </m:sub>
          </m:sSub>
          <m:r>
            <m:rPr>
              <m:sty m:val="p"/>
            </m:rPr>
            <m:t>,</m:t>
          </m:r>
          <m:r>
            <m:t> </m:t>
          </m:r>
          <m:r>
            <m:rPr>
              <m:sty m:val="p"/>
            </m:rPr>
            <m:t>M</m:t>
          </m:r>
          <m:r>
            <m:rPr>
              <m:sty m:val="p"/>
            </m:rPr>
            <m:t>F</m:t>
          </m:r>
          <m:r>
            <m:rPr>
              <m:sty m:val="p"/>
            </m:rPr>
            <m:t>S</m:t>
          </m:r>
          <m:r>
            <m:rPr>
              <m:sty m:val="p"/>
            </m:rPr>
            <m:t>≥</m:t>
          </m:r>
          <m:sSub>
            <m:e>
              <m:r>
                <m:rPr>
                  <m:sty m:val="p"/>
                </m:rPr>
                <m:t>T</m:t>
              </m:r>
              <m:r>
                <m:rPr>
                  <m:sty m:val="p"/>
                </m:rPr>
                <m:t>P</m:t>
              </m:r>
            </m:e>
            <m:sub>
              <m:r>
                <m:rPr>
                  <m:sty m:val="p"/>
                </m:rPr>
                <m:t>d</m:t>
              </m:r>
              <m:r>
                <m:rPr>
                  <m:sty m:val="p"/>
                </m:rPr>
                <m:t>e</m:t>
              </m:r>
              <m:r>
                <m:rPr>
                  <m:sty m:val="p"/>
                </m:rPr>
                <m:t>m</m:t>
              </m:r>
            </m:sub>
          </m:sSub>
          <m:r>
            <m:rPr>
              <m:sty m:val="p"/>
            </m:rPr>
            <m:t>,</m:t>
          </m:r>
        </m:oMath>
      </m:oMathPara>
    </w:p>
    <w:p>
      <w:pPr>
        <w:pStyle w:val="FirstParagraph"/>
      </w:pPr>
      <w:r>
        <w:t xml:space="preserve">together with the safety envelope on charge, sump volume and power. The</w:t>
      </w:r>
      <w:r>
        <w:t xml:space="preserve"> </w:t>
      </w:r>
      <w:r>
        <w:t xml:space="preserve">feed settles at the demand floor, so minimising</w:t>
      </w:r>
      <w:r>
        <w:t xml:space="preserve"> </w:t>
      </w:r>
      <m:oMath>
        <m:sSub>
          <m:e>
            <m:r>
              <m:t>P</m:t>
            </m:r>
          </m:e>
          <m:sub>
            <m:r>
              <m:rPr>
                <m:sty m:val="p"/>
              </m:rPr>
              <m:t>m</m:t>
            </m:r>
            <m:r>
              <m:rPr>
                <m:sty m:val="p"/>
              </m:rPr>
              <m:t>i</m:t>
            </m:r>
            <m:r>
              <m:rPr>
                <m:sty m:val="p"/>
              </m:rPr>
              <m:t>l</m:t>
            </m:r>
            <m:r>
              <m:rPr>
                <m:sty m:val="p"/>
              </m:rPr>
              <m:t>l</m:t>
            </m:r>
          </m:sub>
        </m:sSub>
      </m:oMath>
      <w:r>
        <w:t xml:space="preserve"> </w:t>
      </w:r>
      <w:r>
        <w:t xml:space="preserve">is equivalent to minimising</w:t>
      </w:r>
      <w:r>
        <w:t xml:space="preserve"> </w:t>
      </w:r>
      <m:oMath>
        <m:r>
          <m:rPr>
            <m:sty m:val="p"/>
          </m:rPr>
          <m:t>S</m:t>
        </m:r>
        <m:r>
          <m:rPr>
            <m:sty m:val="p"/>
          </m:rPr>
          <m:t>E</m:t>
        </m:r>
        <m:r>
          <m:rPr>
            <m:sty m:val="p"/>
          </m:rPr>
          <m:t>C</m:t>
        </m:r>
        <m:r>
          <m:rPr>
            <m:sty m:val="p"/>
          </m:rPr>
          <m:t>=</m:t>
        </m:r>
        <m:sSub>
          <m:e>
            <m:r>
              <m:t>P</m:t>
            </m:r>
          </m:e>
          <m:sub>
            <m:r>
              <m:rPr>
                <m:sty m:val="p"/>
              </m:rPr>
              <m:t>m</m:t>
            </m:r>
            <m:r>
              <m:rPr>
                <m:sty m:val="p"/>
              </m:rPr>
              <m:t>i</m:t>
            </m:r>
            <m:r>
              <m:rPr>
                <m:sty m:val="p"/>
              </m:rPr>
              <m:t>l</m:t>
            </m:r>
            <m:r>
              <m:rPr>
                <m:sty m:val="p"/>
              </m:rPr>
              <m:t>l</m:t>
            </m:r>
          </m:sub>
        </m:sSub>
        <m:r>
          <m:rPr>
            <m:sty m:val="p"/>
          </m:rPr>
          <m:t>/</m:t>
        </m:r>
        <m:r>
          <m:rPr>
            <m:sty m:val="p"/>
          </m:rPr>
          <m:t>M</m:t>
        </m:r>
        <m:r>
          <m:rPr>
            <m:sty m:val="p"/>
          </m:rPr>
          <m:t>F</m:t>
        </m:r>
        <m:r>
          <m:rPr>
            <m:sty m:val="p"/>
          </m:rPr>
          <m:t>S</m:t>
        </m:r>
      </m:oMath>
      <w:r>
        <w:t xml:space="preserve">. SEC itself is the</w:t>
      </w:r>
      <w:r>
        <w:t xml:space="preserve"> </w:t>
      </w:r>
      <w:r>
        <w:t xml:space="preserve">reported metric, computed as total energy over total tonnes and suitable</w:t>
      </w:r>
      <w:r>
        <w:t xml:space="preserve"> </w:t>
      </w:r>
      <w:r>
        <w:t xml:space="preserve">for comparison.</w:t>
      </w:r>
    </w:p>
    <w:p>
      <w:pPr>
        <w:pStyle w:val="BodyText"/>
      </w:pPr>
      <w:r>
        <w:t xml:space="preserve">One caveat carries over from the affine structure. When the quality floor</w:t>
      </w:r>
      <w:r>
        <w:t xml:space="preserve"> </w:t>
      </w:r>
      <w:r>
        <w:t xml:space="preserve">is already satisfied, energy cost is nearly flat in feed. With no clear</w:t>
      </w:r>
      <w:r>
        <w:t xml:space="preserve"> </w:t>
      </w:r>
      <w:r>
        <w:t xml:space="preserve">optimum, the controller swings between its actuator bounds. Move</w:t>
      </w:r>
      <w:r>
        <w:t xml:space="preserve"> </w:t>
      </w:r>
      <w:r>
        <w:t xml:space="preserve">suppression alone only damps it. The cure is a longer prediction horizon</w:t>
      </w:r>
      <w:r>
        <w:t xml:space="preserve"> </w:t>
      </w:r>
      <w:r>
        <w:t xml:space="preserve">and keeping the quality constraint binding. The two-layer architecture of</w:t>
      </w:r>
      <w:r>
        <w:t xml:space="preserve"> </w:t>
      </w:r>
      <w:r>
        <w:t xml:space="preserve">the next section is built to do exactly that.</w:t>
      </w:r>
    </w:p>
    <w:bookmarkEnd w:id="17"/>
    <w:bookmarkEnd w:id="18"/>
    <w:bookmarkStart w:id="26" w:name="benchmark-architectures"/>
    <w:p>
      <w:pPr>
        <w:pStyle w:val="Heading1"/>
      </w:pPr>
      <w:r>
        <w:t xml:space="preserve">Benchmark Architectures</w:t>
      </w:r>
    </w:p>
    <w:p>
      <w:pPr>
        <w:pStyle w:val="FirstParagraph"/>
      </w:pPr>
      <w:r>
        <w:t xml:space="preserve">We retain three architectures that span the practical range from industrial</w:t>
      </w:r>
      <w:r>
        <w:t xml:space="preserve"> </w:t>
      </w:r>
      <w:r>
        <w:t xml:space="preserve">practice to fully economic control. All three consume the same augmented</w:t>
      </w:r>
      <w:r>
        <w:t xml:space="preserve"> </w:t>
      </w:r>
      <w:r>
        <w:t xml:space="preserve">EKF state estimate and face the same constraint set. Each is run twice,</w:t>
      </w:r>
      <w:r>
        <w:t xml:space="preserve"> </w:t>
      </w:r>
      <w:r>
        <w:t xml:space="preserve">once per economic objective (energy minimisation and profit maximisation).</w:t>
      </w:r>
      <w:r>
        <w:t xml:space="preserve"> </w:t>
      </w:r>
      <w:r>
        <w:t xml:space="preserve">This gives six 218 h closed-loop runs.</w:t>
      </w:r>
    </w:p>
    <w:bookmarkStart w:id="19" w:name="X4e8898265a2e3100c3240a33562879411c1eb76"/>
    <w:p>
      <w:pPr>
        <w:pStyle w:val="Heading3"/>
      </w:pPr>
      <w:r>
        <w:t xml:space="preserve">SSRTO over three PI loops (classical reference)</w:t>
      </w:r>
    </w:p>
    <w:p>
      <w:pPr>
        <w:pStyle w:val="FirstParagraph"/>
      </w:pPr>
      <w:r>
        <w:t xml:space="preserve">This is the popular industrial archetype. A steady-state RTO solves a</w:t>
      </w:r>
      <w:r>
        <w:t xml:space="preserve"> </w:t>
      </w:r>
      <w:r>
        <w:t xml:space="preserve">parameter-estimation and economic optimisation problem whenever a</w:t>
      </w:r>
      <w:r>
        <w:t xml:space="preserve"> </w:t>
      </w:r>
      <w:r>
        <w:t xml:space="preserve">steady-state detector declares the plant settled. It hands set-points to</w:t>
      </w:r>
      <w:r>
        <w:t xml:space="preserve"> </w:t>
      </w:r>
      <w:r>
        <w:t xml:space="preserve">three decentralised PI loops (feed to filling, cyclone feed to sump</w:t>
      </w:r>
      <w:r>
        <w:t xml:space="preserve"> </w:t>
      </w:r>
      <w:r>
        <w:t xml:space="preserve">volume, sump water to product size). Mill speed is applied directly from</w:t>
      </w:r>
      <w:r>
        <w:t xml:space="preserve"> </w:t>
      </w:r>
      <w:r>
        <w:t xml:space="preserve">the optimiser. Between steady-state detections the set-points are held.</w:t>
      </w:r>
    </w:p>
    <w:bookmarkEnd w:id="19"/>
    <w:bookmarkStart w:id="20" w:name="two-layer-empc-main-candidate"/>
    <w:p>
      <w:pPr>
        <w:pStyle w:val="Heading3"/>
      </w:pPr>
      <w:r>
        <w:t xml:space="preserve">Two-layer EMPC (main candidate)</w:t>
      </w:r>
    </w:p>
    <w:p>
      <w:pPr>
        <w:pStyle w:val="FirstParagraph"/>
      </w:pPr>
      <w:r>
        <w:t xml:space="preserve">A slow upper EMPC computes the economic operating point over a long</w:t>
      </w:r>
      <w:r>
        <w:t xml:space="preserve"> </w:t>
      </w:r>
      <w:r>
        <w:t xml:space="preserve">horizon and publishes a validated set-point-and-input plan. A fast lower</w:t>
      </w:r>
      <w:r>
        <w:t xml:space="preserve"> </w:t>
      </w:r>
      <w:r>
        <w:t xml:space="preserve">tracking MPC with move suppression executes it (Fig. </w:t>
      </w:r>
      <w:hyperlink w:anchor="fig:twolayer">
        <w:r>
          <w:rPr>
            <w:rStyle w:val="Hyperlink"/>
          </w:rPr>
          <w:t xml:space="preserve">2</w:t>
        </w:r>
      </w:hyperlink>
      <w:r>
        <w:t xml:space="preserve">).</w:t>
      </w:r>
      <w:r>
        <w:t xml:space="preserve"> </w:t>
      </w:r>
      <w:r>
        <w:t xml:space="preserve">The economic decision is decoupled from the moment-to-moment actuation,</w:t>
      </w:r>
      <w:r>
        <w:t xml:space="preserve"> </w:t>
      </w:r>
      <w:r>
        <w:t xml:space="preserve">which removes the single-layer bang-bang failure mode. The expensive</w:t>
      </w:r>
      <w:r>
        <w:t xml:space="preserve"> </w:t>
      </w:r>
      <w:r>
        <w:t xml:space="preserve">economic problem is also solved far less often. In our 218 h replays the</w:t>
      </w:r>
      <w:r>
        <w:t xml:space="preserve"> </w:t>
      </w:r>
      <w:r>
        <w:t xml:space="preserve">two-layer used about a third less CPU time than the single-layer EMPC</w:t>
      </w:r>
      <w:r>
        <w:t xml:space="preserve"> </w:t>
      </w:r>
      <w:r>
        <w:t xml:space="preserve">(13 336 s versus 19 682 s), and the SSRTO used two orders of magnitude</w:t>
      </w:r>
      <w:r>
        <w:t xml:space="preserve"> </w:t>
      </w:r>
      <w:r>
        <w:t xml:space="preserve">less than either (317 s).</w:t>
      </w:r>
    </w:p>
    <w:bookmarkEnd w:id="20"/>
    <w:bookmarkStart w:id="25" w:name="single-layer-empc"/>
    <w:p>
      <w:pPr>
        <w:pStyle w:val="Heading3"/>
      </w:pPr>
      <w:r>
        <w:t xml:space="preserve">Single-layer EMPC</w:t>
      </w:r>
    </w:p>
    <w:p>
      <w:pPr>
        <w:pStyle w:val="FirstParagraph"/>
      </w:pPr>
      <w:r>
        <w:t xml:space="preserve">The economic objective sits directly in the receding-horizon regulator, so</w:t>
      </w:r>
      <w:r>
        <w:t xml:space="preserve"> </w:t>
      </w:r>
      <w:r>
        <w:t xml:space="preserve">the economics are re-optimised every 30 s. This is the most</w:t>
      </w:r>
      <w:r>
        <w:t xml:space="preserve"> </w:t>
      </w:r>
      <w:r>
        <w:t xml:space="preserve">responsive formulation, but the near-affine economic surface makes it</w:t>
      </w:r>
      <w:r>
        <w:t xml:space="preserve"> </w:t>
      </w:r>
      <w:r>
        <w:t xml:space="preserve">prone to occasional bang-bang actuation when the quality floor is already</w:t>
      </w:r>
      <w:r>
        <w:t xml:space="preserve"> </w:t>
      </w:r>
      <w:r>
        <w:t xml:space="preserve">satisfied (Section VI).</w:t>
      </w:r>
    </w:p>
    <w:p>
      <w:pPr>
        <w:pStyle w:val="BodyText"/>
      </w:pPr>
      <w:r>
        <w:t xml:space="preserve">Because the three architectures land within about two percent of one</w:t>
      </w:r>
      <w:r>
        <w:t xml:space="preserve"> </w:t>
      </w:r>
      <w:r>
        <w:t xml:space="preserve">another on every economic metric we measure (Section VI), secondary</w:t>
      </w:r>
      <w:r>
        <w:t xml:space="preserve"> </w:t>
      </w:r>
      <w:r>
        <w:t xml:space="preserve">properties decide the ranking. On that basis the two-layer EMPC is our</w:t>
      </w:r>
      <w:r>
        <w:t xml:space="preserve"> </w:t>
      </w:r>
      <w:r>
        <w:t xml:space="preserve">main candidate (Section VII).</w:t>
      </w:r>
    </w:p>
    <w:p>
      <w:pPr>
        <w:pStyle w:val="BodyText"/>
      </w:pPr>
      <w:r>
        <w:t xml:space="preserve">We also studied basic regulatory control, a tracking single-layer MPC</w:t>
      </w:r>
      <w:r>
        <w:t xml:space="preserve"> </w:t>
      </w:r>
      <w:r>
        <w:t xml:space="preserve">and a decentralised 3PI system holding fixed set-points with no economic</w:t>
      </w:r>
      <w:r>
        <w:t xml:space="preserve"> </w:t>
      </w:r>
      <w:r>
        <w:t xml:space="preserve">optimisation layer. We excluded them from the benchmark.</w:t>
      </w:r>
      <w:r>
        <w:t xml:space="preserve"> </w:t>
      </w:r>
      <w:r>
        <w:t xml:space="preserve">They contain no economic optimisation, so mixing them into the results</w:t>
      </w:r>
      <w:r>
        <w:t xml:space="preserve"> </w:t>
      </w:r>
      <w:r>
        <w:t xml:space="preserve">would confuse the apples-to-apples comparison between the optimising</w:t>
      </w:r>
      <w:r>
        <w:t xml:space="preserve"> </w:t>
      </w:r>
      <w:r>
        <w:t xml:space="preserve">architectures.</w:t>
      </w:r>
    </w:p>
    <w:bookmarkStart w:id="24" w:name="fig:twolayer"/>
    <w:p>
      <w:pPr>
        <w:pStyle w:val="CaptionedFigure"/>
      </w:pPr>
      <w:r>
        <w:drawing>
          <wp:inline>
            <wp:extent cx="3840480" cy="4877211"/>
            <wp:effectExtent b="0" l="0" r="0" t="0"/>
            <wp:docPr descr="" title="" id="22" name="Picture"/>
            <a:graphic>
              <a:graphicData uri="http://schemas.openxmlformats.org/drawingml/2006/picture">
                <pic:pic>
                  <pic:nvPicPr>
                    <pic:cNvPr descr="empc_2layer_v2_milling_circuit.png" id="23" name="Picture"/>
                    <pic:cNvPicPr>
                      <a:picLocks noChangeArrowheads="1" noChangeAspect="1"/>
                    </pic:cNvPicPr>
                  </pic:nvPicPr>
                  <pic:blipFill>
                    <a:blip r:embed="rId21"/>
                    <a:stretch>
                      <a:fillRect/>
                    </a:stretch>
                  </pic:blipFill>
                  <pic:spPr bwMode="auto">
                    <a:xfrm>
                      <a:off x="0" y="0"/>
                      <a:ext cx="3840480" cy="4877211"/>
                    </a:xfrm>
                    <a:prstGeom prst="rect">
                      <a:avLst/>
                    </a:prstGeom>
                    <a:noFill/>
                    <a:ln w="9525">
                      <a:noFill/>
                      <a:headEnd/>
                      <a:tailEnd/>
                    </a:ln>
                  </pic:spPr>
                </pic:pic>
              </a:graphicData>
            </a:graphic>
          </wp:inline>
        </w:drawing>
      </w:r>
    </w:p>
    <w:p>
      <w:pPr>
        <w:pStyle w:val="ImageCaption"/>
      </w:pPr>
      <w:r>
        <w:t xml:space="preserve">Two-layer economic MPC architecture. The upper layer minimises</w:t>
      </w:r>
      <w:r>
        <w:t xml:space="preserve"> </w:t>
      </w:r>
      <w:r>
        <w:t xml:space="preserve">mill energy for the product-size floor and throughput demand inherited from</w:t>
      </w:r>
      <w:r>
        <w:t xml:space="preserve"> </w:t>
      </w:r>
      <w:r>
        <w:t xml:space="preserve">the plant-wide layer, and publishes a validated set-point-and-input packet;</w:t>
      </w:r>
      <w:r>
        <w:t xml:space="preserve"> </w:t>
      </w:r>
      <w:r>
        <w:t xml:space="preserve">a guard admits or rejects each packet before the lower tracking MPC and the</w:t>
      </w:r>
      <w:r>
        <w:t xml:space="preserve"> </w:t>
      </w:r>
      <w:r>
        <w:t xml:space="preserve">augmented EKF close the loop on the plant.</w:t>
      </w:r>
    </w:p>
    <w:bookmarkEnd w:id="24"/>
    <w:bookmarkEnd w:id="25"/>
    <w:bookmarkEnd w:id="26"/>
    <w:bookmarkStart w:id="27" w:name="benchmark-design"/>
    <w:p>
      <w:pPr>
        <w:pStyle w:val="Heading1"/>
      </w:pPr>
      <w:r>
        <w:t xml:space="preserve">Benchmark Design</w:t>
      </w:r>
    </w:p>
    <w:p>
      <w:pPr>
        <w:pStyle w:val="FirstParagraph"/>
      </w:pPr>
      <w:r>
        <w:rPr>
          <w:b/>
          <w:bCs/>
        </w:rPr>
        <w:t xml:space="preserve">Common plant and scenario.</w:t>
      </w:r>
      <w:r>
        <w:t xml:space="preserve"> </w:t>
      </w:r>
      <w:r>
        <w:t xml:space="preserve">The plant is integrated with a stiff</w:t>
      </w:r>
      <w:r>
        <w:t xml:space="preserve"> </w:t>
      </w:r>
      <w:r>
        <w:t xml:space="preserve">solver on a 30 s control interval. Every run sees the same 218 h</w:t>
      </w:r>
      <w:r>
        <w:t xml:space="preserve"> </w:t>
      </w:r>
      <w:r>
        <w:t xml:space="preserve">three-phase scenario. The first 50 h are a quiescent warm-up. Sensor</w:t>
      </w:r>
      <w:r>
        <w:t xml:space="preserve"> </w:t>
      </w:r>
      <w:r>
        <w:t xml:space="preserve">noise and bounded ore-hardness disturbances then switch on together. The</w:t>
      </w:r>
      <w:r>
        <w:t xml:space="preserve"> </w:t>
      </w:r>
      <w:r>
        <w:t xml:space="preserve">noise is a per-channel ladder calibrated to plant instrument noise, from</w:t>
      </w:r>
      <w:r>
        <w:t xml:space="preserve"> </w:t>
      </w:r>
      <w:r>
        <w:t xml:space="preserve">0.1 to 2 percent of each signal. The ore-hardness parameters move inside</w:t>
      </w:r>
      <w:r>
        <w:t xml:space="preserve"> </w:t>
      </w:r>
      <w:r>
        <w:t xml:space="preserve">bands of 15 percent (</w:t>
      </w:r>
      <m:oMath>
        <m:sSub>
          <m:e>
            <m:r>
              <m:t>α</m:t>
            </m:r>
          </m:e>
          <m:sub>
            <m:r>
              <m:t>r</m:t>
            </m:r>
          </m:sub>
        </m:sSub>
      </m:oMath>
      <w:r>
        <w:t xml:space="preserve">) and 10 percent (</w:t>
      </w:r>
      <m:oMath>
        <m:sSub>
          <m:e>
            <m:r>
              <m:t>ϕ</m:t>
            </m:r>
          </m:e>
          <m:sub>
            <m:r>
              <m:t>f</m:t>
            </m:r>
          </m:sub>
        </m:sSub>
      </m:oMath>
      <w:r>
        <w:t xml:space="preserve">) around</w:t>
      </w:r>
      <w:r>
        <w:t xml:space="preserve"> </w:t>
      </w:r>
      <w:r>
        <w:t xml:space="preserve">nominal. At 75 h the product-size floor steps up by ten percent (0.65 to</w:t>
      </w:r>
      <w:r>
        <w:t xml:space="preserve"> </w:t>
      </w:r>
      <w:r>
        <w:t xml:space="preserve">0.715). The ore-hardness realisation, shown in the upper panels of</w:t>
      </w:r>
      <w:r>
        <w:t xml:space="preserve"> </w:t>
      </w:r>
      <w:r>
        <w:t xml:space="preserve">Fig. </w:t>
      </w:r>
      <w:hyperlink w:anchor="fig:oresec">
        <w:r>
          <w:rPr>
            <w:rStyle w:val="Hyperlink"/>
          </w:rPr>
          <w:t xml:space="preserve">3</w:t>
        </w:r>
      </w:hyperlink>
      <w:r>
        <w:t xml:space="preserve">, drives the rock-fraction parameter</w:t>
      </w:r>
      <w:r>
        <w:t xml:space="preserve"> </w:t>
      </w:r>
      <m:oMath>
        <m:sSub>
          <m:e>
            <m:r>
              <m:t>α</m:t>
            </m:r>
          </m:e>
          <m:sub>
            <m:r>
              <m:t>r</m:t>
            </m:r>
          </m:sub>
        </m:sSub>
      </m:oMath>
      <w:r>
        <w:t xml:space="preserve"> </w:t>
      </w:r>
      <w:r>
        <w:t xml:space="preserve">and</w:t>
      </w:r>
      <w:r>
        <w:t xml:space="preserve"> </w:t>
      </w:r>
      <w:r>
        <w:t xml:space="preserve">the feed-size parameter</w:t>
      </w:r>
      <w:r>
        <w:t xml:space="preserve"> </w:t>
      </w:r>
      <m:oMath>
        <m:sSub>
          <m:e>
            <m:r>
              <m:t>ϕ</m:t>
            </m:r>
          </m:e>
          <m:sub>
            <m:r>
              <m:t>f</m:t>
            </m:r>
          </m:sub>
        </m:sSub>
      </m:oMath>
      <w:r>
        <w:t xml:space="preserve"> </w:t>
      </w:r>
      <w:r>
        <w:t xml:space="preserve">through triangle-wave trends with two</w:t>
      </w:r>
      <w:r>
        <w:t xml:space="preserve"> </w:t>
      </w:r>
      <w:r>
        <w:t xml:space="preserve">extended joint holds. The identical realisation is replayed to every</w:t>
      </w:r>
      <w:r>
        <w:t xml:space="preserve"> </w:t>
      </w:r>
      <w:r>
        <w:t xml:space="preserve">controller, so differences downstream are attributable to the</w:t>
      </w:r>
      <w:r>
        <w:t xml:space="preserve"> </w:t>
      </w:r>
      <w:r>
        <w:t xml:space="preserve">architecture and objective alone.</w:t>
      </w:r>
    </w:p>
    <w:p>
      <w:pPr>
        <w:pStyle w:val="BodyText"/>
      </w:pPr>
      <w:r>
        <w:rPr>
          <w:b/>
          <w:bCs/>
        </w:rPr>
        <w:t xml:space="preserve">Matched constraint set.</w:t>
      </w:r>
      <w:r>
        <w:t xml:space="preserve"> </w:t>
      </w:r>
      <w:r>
        <w:t xml:space="preserve">All six runs share one operating</w:t>
      </w:r>
      <w:r>
        <w:t xml:space="preserve"> </w:t>
      </w:r>
      <w:r>
        <w:t xml:space="preserve">envelope. It includes the feed-demand floor, the mill-filling and</w:t>
      </w:r>
      <w:r>
        <w:t xml:space="preserve"> </w:t>
      </w:r>
      <w:r>
        <w:t xml:space="preserve">sump-volume bands, a power ceiling, and, critically, the same</w:t>
      </w:r>
      <w:r>
        <w:t xml:space="preserve"> </w:t>
      </w:r>
      <w:r>
        <w:t xml:space="preserve">product-size floor of 0.65 stepping to 0.715. Every run logs its complete effective</w:t>
      </w:r>
      <w:r>
        <w:t xml:space="preserve"> </w:t>
      </w:r>
      <w:r>
        <w:t xml:space="preserve">configuration at start-up, and the floors and limits are verified</w:t>
      </w:r>
      <w:r>
        <w:t xml:space="preserve"> </w:t>
      </w:r>
      <w:r>
        <w:t xml:space="preserve">identical across all packages before any comparison is drawn.</w:t>
      </w:r>
    </w:p>
    <w:p>
      <w:pPr>
        <w:pStyle w:val="BodyText"/>
      </w:pPr>
      <w:r>
        <w:rPr>
          <w:b/>
          <w:bCs/>
        </w:rPr>
        <w:t xml:space="preserve">Objectives and economics.</w:t>
      </w:r>
      <w:r>
        <w:t xml:space="preserve"> </w:t>
      </w:r>
      <w:r>
        <w:t xml:space="preserve">The energy objective minimises</w:t>
      </w:r>
      <w:r>
        <w:t xml:space="preserve"> </w:t>
      </w:r>
      <m:oMath>
        <m:r>
          <m:t>B</m:t>
        </m:r>
        <m:r>
          <m:t> </m:t>
        </m:r>
        <m:sSub>
          <m:e>
            <m:r>
              <m:t>P</m:t>
            </m:r>
          </m:e>
          <m:sub>
            <m:r>
              <m:rPr>
                <m:sty m:val="p"/>
              </m:rPr>
              <m:t>m</m:t>
            </m:r>
            <m:r>
              <m:rPr>
                <m:sty m:val="p"/>
              </m:rPr>
              <m:t>i</m:t>
            </m:r>
            <m:r>
              <m:rPr>
                <m:sty m:val="p"/>
              </m:rPr>
              <m:t>l</m:t>
            </m:r>
            <m:r>
              <m:rPr>
                <m:sty m:val="p"/>
              </m:rPr>
              <m:t>l</m:t>
            </m:r>
          </m:sub>
        </m:sSub>
      </m:oMath>
      <w:r>
        <w:t xml:space="preserve"> </w:t>
      </w:r>
      <w:r>
        <w:t xml:space="preserve">at the demanded throughput. The profit objective</w:t>
      </w:r>
      <w:r>
        <w:t xml:space="preserve"> </w:t>
      </w:r>
      <w:r>
        <w:t xml:space="preserve">minimises</w:t>
      </w:r>
      <w:r>
        <w:t xml:space="preserve"> </w:t>
      </w:r>
      <m:oMath>
        <m:r>
          <m:rPr>
            <m:sty m:val="p"/>
          </m:rPr>
          <m:t>−</m:t>
        </m:r>
        <m:r>
          <m:t>A</m:t>
        </m:r>
        <m:r>
          <m:t> </m:t>
        </m:r>
        <m:r>
          <m:rPr>
            <m:sty m:val="p"/>
          </m:rPr>
          <m:t>T</m:t>
        </m:r>
        <m:r>
          <m:rPr>
            <m:sty m:val="p"/>
          </m:rPr>
          <m:t>P</m:t>
        </m:r>
        <m:r>
          <m:rPr>
            <m:sty m:val="p"/>
          </m:rPr>
          <m:t>+</m:t>
        </m:r>
        <m:r>
          <m:t>B</m:t>
        </m:r>
        <m:r>
          <m:t> </m:t>
        </m:r>
        <m:sSub>
          <m:e>
            <m:r>
              <m:t>P</m:t>
            </m:r>
          </m:e>
          <m:sub>
            <m:r>
              <m:rPr>
                <m:sty m:val="p"/>
              </m:rPr>
              <m:t>m</m:t>
            </m:r>
            <m:r>
              <m:rPr>
                <m:sty m:val="p"/>
              </m:rPr>
              <m:t>i</m:t>
            </m:r>
            <m:r>
              <m:rPr>
                <m:sty m:val="p"/>
              </m:rPr>
              <m:t>l</m:t>
            </m:r>
            <m:r>
              <m:rPr>
                <m:sty m:val="p"/>
              </m:rPr>
              <m:t>l</m:t>
            </m:r>
          </m:sub>
        </m:sSub>
      </m:oMath>
      <w:r>
        <w:t xml:space="preserve"> </w:t>
      </w:r>
      <w:r>
        <w:t xml:space="preserve">with</w:t>
      </w:r>
      <w:r>
        <w:t xml:space="preserve"> </w:t>
      </w:r>
      <m:oMath>
        <m:r>
          <m:t>A</m:t>
        </m:r>
        <m:r>
          <m:rPr>
            <m:sty m:val="p"/>
          </m:rPr>
          <m:t>=</m:t>
        </m:r>
        <m:r>
          <m:t>71</m:t>
        </m:r>
      </m:oMath>
      <w:r>
        <w:t xml:space="preserve"> </w:t>
      </w:r>
      <w:r>
        <w:t xml:space="preserve">$/t and</w:t>
      </w:r>
      <w:r>
        <w:t xml:space="preserve"> </w:t>
      </w:r>
      <m:oMath>
        <m:r>
          <m:t>B</m:t>
        </m:r>
        <m:r>
          <m:rPr>
            <m:sty m:val="p"/>
          </m:rPr>
          <m:t>=</m:t>
        </m:r>
        <m:r>
          <m:t>0.06</m:t>
        </m:r>
      </m:oMath>
      <w:r>
        <w:t xml:space="preserve"> </w:t>
      </w:r>
      <w:r>
        <w:t xml:space="preserve">$/kWh held fixed across all runs. The headline metrics are</w:t>
      </w:r>
      <w:r>
        <w:t xml:space="preserve"> </w:t>
      </w:r>
      <w:r>
        <w:t xml:space="preserve">specific energy (total energy over total tonnes on the post-warm-up</w:t>
      </w:r>
      <w:r>
        <w:t xml:space="preserve"> </w:t>
      </w:r>
      <w:r>
        <w:t xml:space="preserve">window), mean throughput, and the accumulated profit proxy.</w:t>
      </w:r>
    </w:p>
    <w:p>
      <w:pPr>
        <w:pStyle w:val="BodyText"/>
      </w:pPr>
      <w:r>
        <w:rPr>
          <w:b/>
          <w:bCs/>
        </w:rPr>
        <w:t xml:space="preserve">Scope.</w:t>
      </w:r>
      <w:r>
        <w:t xml:space="preserve"> </w:t>
      </w:r>
      <w:r>
        <w:t xml:space="preserve">The study is scoped as a controlled simulation benchmark.</w:t>
      </w:r>
      <w:r>
        <w:t xml:space="preserve"> </w:t>
      </w:r>
      <w:r>
        <w:t xml:space="preserve">It uses one ore realisation per scenario, a single 218 h protocol, and a</w:t>
      </w:r>
      <w:r>
        <w:t xml:space="preserve"> </w:t>
      </w:r>
      <w:r>
        <w:t xml:space="preserve">synthetic plant. This is well suited to exposing structural differences between</w:t>
      </w:r>
      <w:r>
        <w:t xml:space="preserve"> </w:t>
      </w:r>
      <w:r>
        <w:t xml:space="preserve">objectives and architectures.</w:t>
      </w:r>
    </w:p>
    <w:bookmarkEnd w:id="27"/>
    <w:bookmarkStart w:id="42" w:name="results"/>
    <w:p>
      <w:pPr>
        <w:pStyle w:val="Heading1"/>
      </w:pPr>
      <w:r>
        <w:t xml:space="preserve">Results</w:t>
      </w:r>
    </w:p>
    <w:bookmarkStart w:id="31" w:name="fig:oresec"/>
    <w:p>
      <w:pPr>
        <w:pStyle w:val="CaptionedFigure"/>
      </w:pPr>
      <w:r>
        <w:drawing>
          <wp:inline>
            <wp:extent cx="5334000" cy="4548176"/>
            <wp:effectExtent b="0" l="0" r="0" t="0"/>
            <wp:docPr descr="" title="" id="29" name="Picture"/>
            <a:graphic>
              <a:graphicData uri="http://schemas.openxmlformats.org/drawingml/2006/picture">
                <pic:pic>
                  <pic:nvPicPr>
                    <pic:cNvPr descr="fig_ore_sec_time.png" id="30" name="Picture"/>
                    <pic:cNvPicPr>
                      <a:picLocks noChangeArrowheads="1" noChangeAspect="1"/>
                    </pic:cNvPicPr>
                  </pic:nvPicPr>
                  <pic:blipFill>
                    <a:blip r:embed="rId28"/>
                    <a:stretch>
                      <a:fillRect/>
                    </a:stretch>
                  </pic:blipFill>
                  <pic:spPr bwMode="auto">
                    <a:xfrm>
                      <a:off x="0" y="0"/>
                      <a:ext cx="5334000" cy="4548176"/>
                    </a:xfrm>
                    <a:prstGeom prst="rect">
                      <a:avLst/>
                    </a:prstGeom>
                    <a:noFill/>
                    <a:ln w="9525">
                      <a:noFill/>
                      <a:headEnd/>
                      <a:tailEnd/>
                    </a:ln>
                  </pic:spPr>
                </pic:pic>
              </a:graphicData>
            </a:graphic>
          </wp:inline>
        </w:drawing>
      </w:r>
    </w:p>
    <w:p>
      <w:pPr>
        <w:pStyle w:val="ImageCaption"/>
      </w:pPr>
      <w:r>
        <w:t xml:space="preserve">Top two panels: the v5 ore-hardness realisation (rock fraction</w:t>
      </w:r>
      <w:r>
        <w:t xml:space="preserve"> </w:t>
      </w:r>
      <m:oMath>
        <m:sSub>
          <m:e>
            <m:r>
              <m:t>α</m:t>
            </m:r>
          </m:e>
          <m:sub>
            <m:r>
              <m:t>r</m:t>
            </m:r>
          </m:sub>
        </m:sSub>
      </m:oMath>
      <w:r>
        <w:t xml:space="preserve"> </w:t>
      </w:r>
      <w:r>
        <w:t xml:space="preserve">and feed-size parameter</w:t>
      </w:r>
      <w:r>
        <w:t xml:space="preserve"> </w:t>
      </w:r>
      <m:oMath>
        <m:sSub>
          <m:e>
            <m:r>
              <m:t>ϕ</m:t>
            </m:r>
          </m:e>
          <m:sub>
            <m:r>
              <m:t>f</m:t>
            </m:r>
          </m:sub>
        </m:sSub>
      </m:oMath>
      <w:r>
        <w:t xml:space="preserve">), identical in all six runs;</w:t>
      </w:r>
      <w:r>
        <w:t xml:space="preserve"> </w:t>
      </w:r>
      <w:r>
        <w:t xml:space="preserve">shaded bands are the ore holds, the dotted line the product-size floor</w:t>
      </w:r>
      <w:r>
        <w:t xml:space="preserve"> </w:t>
      </w:r>
      <w:r>
        <w:t xml:space="preserve">step. Bottom two panels: 1 h rolling specific energy of the three</w:t>
      </w:r>
      <w:r>
        <w:t xml:space="preserve"> </w:t>
      </w:r>
      <w:r>
        <w:t xml:space="preserve">architectures under the energy objective and the profit objective. SEC is</w:t>
      </w:r>
      <w:r>
        <w:t xml:space="preserve"> </w:t>
      </w:r>
      <w:r>
        <w:t xml:space="preserve">flat where the ore holds and varies where it ramps, for every architecture</w:t>
      </w:r>
      <w:r>
        <w:t xml:space="preserve"> </w:t>
      </w:r>
      <w:r>
        <w:t xml:space="preserve">and both objectives alike. The isolated spikes in the single-layer energy</w:t>
      </w:r>
      <w:r>
        <w:t xml:space="preserve"> </w:t>
      </w:r>
      <w:r>
        <w:t xml:space="preserve">trace are its occasional bang-bang episodes.</w:t>
      </w:r>
    </w:p>
    <w:bookmarkEnd w:id="31"/>
    <w:bookmarkStart w:id="35" w:name="fig:bars"/>
    <w:p>
      <w:pPr>
        <w:pStyle w:val="CaptionedFigure"/>
      </w:pPr>
      <w:r>
        <w:drawing>
          <wp:inline>
            <wp:extent cx="5334000" cy="3192834"/>
            <wp:effectExtent b="0" l="0" r="0" t="0"/>
            <wp:docPr descr="" title="" id="33" name="Picture"/>
            <a:graphic>
              <a:graphicData uri="http://schemas.openxmlformats.org/drawingml/2006/picture">
                <pic:pic>
                  <pic:nvPicPr>
                    <pic:cNvPr descr="fig_sec_mfs_bars.png" id="34" name="Picture"/>
                    <pic:cNvPicPr>
                      <a:picLocks noChangeArrowheads="1" noChangeAspect="1"/>
                    </pic:cNvPicPr>
                  </pic:nvPicPr>
                  <pic:blipFill>
                    <a:blip r:embed="rId32"/>
                    <a:stretch>
                      <a:fillRect/>
                    </a:stretch>
                  </pic:blipFill>
                  <pic:spPr bwMode="auto">
                    <a:xfrm>
                      <a:off x="0" y="0"/>
                      <a:ext cx="5334000" cy="3192834"/>
                    </a:xfrm>
                    <a:prstGeom prst="rect">
                      <a:avLst/>
                    </a:prstGeom>
                    <a:noFill/>
                    <a:ln w="9525">
                      <a:noFill/>
                      <a:headEnd/>
                      <a:tailEnd/>
                    </a:ln>
                  </pic:spPr>
                </pic:pic>
              </a:graphicData>
            </a:graphic>
          </wp:inline>
        </w:drawing>
      </w:r>
    </w:p>
    <w:p>
      <w:pPr>
        <w:pStyle w:val="ImageCaption"/>
      </w:pPr>
      <w:r>
        <w:t xml:space="preserve">Run-average specific energy, feed rate, energy cost and profit</w:t>
      </w:r>
      <w:r>
        <w:t xml:space="preserve"> </w:t>
      </w:r>
      <w:r>
        <w:t xml:space="preserve">proxy for the three architectures under both objectives. SEC clusters</w:t>
      </w:r>
      <w:r>
        <w:t xml:space="preserve"> </w:t>
      </w:r>
      <w:r>
        <w:t xml:space="preserve">within about two percent across all six runs, while the operating points</w:t>
      </w:r>
      <w:r>
        <w:t xml:space="preserve"> </w:t>
      </w:r>
      <w:r>
        <w:t xml:space="preserve">differ. The profit objective lifts every architecture to 66–67 t/h, and</w:t>
      </w:r>
      <w:r>
        <w:t xml:space="preserve"> </w:t>
      </w:r>
      <w:r>
        <w:t xml:space="preserve">under the energy objective each architecture settles at a different feed</w:t>
      </w:r>
      <w:r>
        <w:t xml:space="preserve"> </w:t>
      </w:r>
      <w:r>
        <w:t xml:space="preserve">despite identical limits. The bottom row shows the economics. Energy cost</w:t>
      </w:r>
      <w:r>
        <w:t xml:space="preserve"> </w:t>
      </w:r>
      <w:r>
        <w:t xml:space="preserve">(60–79 $/h) is under two percent of revenue in every run, which is why</w:t>
      </w:r>
      <w:r>
        <w:t xml:space="preserve"> </w:t>
      </w:r>
      <w:r>
        <w:t xml:space="preserve">the profit ranking is decided by tonnes.</w:t>
      </w:r>
    </w:p>
    <w:bookmarkEnd w:id="35"/>
    <w:bookmarkStart w:id="36" w:name="tab:summary"/>
    <w:p>
      <w:pPr>
        <w:pStyle w:val="TableCaption"/>
      </w:pPr>
      <w:r>
        <w:t xml:space="preserve">Six matched-floor 218 h runs: specific energy, mean feed, energy</w:t>
      </w:r>
      <w:r>
        <w:t xml:space="preserve"> </w:t>
      </w:r>
      <w:r>
        <w:t xml:space="preserve">cost, and profit proxy (</w:t>
      </w:r>
      <m:oMath>
        <m:r>
          <m:t>A</m:t>
        </m:r>
        <m:r>
          <m:rPr>
            <m:sty m:val="p"/>
          </m:rPr>
          <m:t>=</m:t>
        </m:r>
        <m:r>
          <m:t>71</m:t>
        </m:r>
      </m:oMath>
      <w:r>
        <w:t xml:space="preserve"> </w:t>
      </w:r>
      <w:r>
        <w:t xml:space="preserve">$/t,</w:t>
      </w:r>
      <w:r>
        <w:t xml:space="preserve"> </w:t>
      </w:r>
      <m:oMath>
        <m:r>
          <m:t>B</m:t>
        </m:r>
        <m:r>
          <m:rPr>
            <m:sty m:val="p"/>
          </m:rPr>
          <m:t>=</m:t>
        </m:r>
        <m:r>
          <m:t>0.06</m:t>
        </m:r>
      </m:oMath>
      <w:r>
        <w:t xml:space="preserve"> </w:t>
      </w:r>
      <w:r>
        <w:t xml:space="preserve">$/kWh), post-warm-up</w:t>
      </w:r>
      <w:r>
        <w:t xml:space="preserve"> </w:t>
      </w:r>
      <w:r>
        <w:t xml:space="preserve">window.</w:t>
      </w:r>
    </w:p>
    <w:tbl>
      <w:tblPr>
        <w:tblStyle w:val="Table"/>
        <w:tblW w:type="auto" w:w="0"/>
        <w:tblLook w:firstRow="0" w:lastRow="0" w:firstColumn="0" w:lastColumn="0" w:noHBand="0" w:noVBand="0" w:val="0000"/>
        <w:tblCaption w:val="Six matched-floor 218 h runs: specific energy, mean feed, energy cost, and profit proxy (A{=}71 $/t, B{=}0.06 $/kWh), post-warm-up window."/>
      </w:tblPr>
      <w:tblGrid>
        <w:gridCol w:w="1320"/>
        <w:gridCol w:w="1320"/>
        <w:gridCol w:w="1320"/>
        <w:gridCol w:w="1320"/>
        <w:gridCol w:w="1320"/>
        <w:gridCol w:w="1320"/>
      </w:tblGrid>
      <w:tr>
        <w:tc>
          <w:tcPr/>
          <w:p>
            <w:pPr>
              <w:pStyle w:val="Compact"/>
              <w:jc w:val="left"/>
            </w:pPr>
            <w:r>
              <w:t xml:space="preserve">Architecture</w:t>
            </w:r>
          </w:p>
        </w:tc>
        <w:tc>
          <w:tcPr/>
          <w:p>
            <w:pPr>
              <w:pStyle w:val="Compact"/>
              <w:jc w:val="left"/>
            </w:pPr>
            <w:r>
              <w:t xml:space="preserve">Objective</w:t>
            </w:r>
          </w:p>
        </w:tc>
        <w:tc>
          <w:tcPr/>
          <w:p>
            <w:pPr>
              <w:pStyle w:val="Compact"/>
              <w:jc w:val="right"/>
            </w:pPr>
            <w:r>
              <w:t xml:space="preserve">SEC</w:t>
            </w:r>
          </w:p>
        </w:tc>
        <w:tc>
          <w:tcPr/>
          <w:p>
            <w:pPr>
              <w:pStyle w:val="Compact"/>
              <w:jc w:val="right"/>
            </w:pPr>
            <w:r>
              <w:t xml:space="preserve">MFS</w:t>
            </w:r>
          </w:p>
        </w:tc>
        <w:tc>
          <w:tcPr/>
          <w:p>
            <w:pPr>
              <w:pStyle w:val="Compact"/>
              <w:jc w:val="right"/>
            </w:pPr>
            <w:r>
              <w:t xml:space="preserve">Energy cost</w:t>
            </w:r>
          </w:p>
        </w:tc>
        <w:tc>
          <w:tcPr/>
          <w:p>
            <w:pPr>
              <w:pStyle w:val="Compact"/>
              <w:jc w:val="right"/>
            </w:pPr>
            <w:r>
              <w:t xml:space="preserve">Profit</w:t>
            </w:r>
          </w:p>
        </w:tc>
      </w:tr>
      <w:tr>
        <w:tc>
          <w:tcPr/>
          <w:p>
            <w:pPr>
              <w:pStyle w:val="Compact"/>
            </w:pPr>
          </w:p>
        </w:tc>
        <w:tc>
          <w:tcPr/>
          <w:p>
            <w:pPr>
              <w:pStyle w:val="Compact"/>
            </w:pPr>
          </w:p>
        </w:tc>
        <w:tc>
          <w:tcPr/>
          <w:p>
            <w:pPr>
              <w:pStyle w:val="Compact"/>
              <w:jc w:val="right"/>
            </w:pPr>
            <w:r>
              <w:t xml:space="preserve">(kWh/t)</w:t>
            </w:r>
          </w:p>
        </w:tc>
        <w:tc>
          <w:tcPr/>
          <w:p>
            <w:pPr>
              <w:pStyle w:val="Compact"/>
              <w:jc w:val="right"/>
            </w:pPr>
            <w:r>
              <w:t xml:space="preserve">(t/h)</w:t>
            </w:r>
          </w:p>
        </w:tc>
        <w:tc>
          <w:tcPr/>
          <w:p>
            <w:pPr>
              <w:pStyle w:val="Compact"/>
              <w:jc w:val="right"/>
            </w:pPr>
            <w:r>
              <w:t xml:space="preserve">($/h)</w:t>
            </w:r>
          </w:p>
        </w:tc>
        <w:tc>
          <w:tcPr/>
          <w:p>
            <w:pPr>
              <w:pStyle w:val="Compact"/>
              <w:jc w:val="right"/>
            </w:pPr>
            <w:r>
              <w:t xml:space="preserve">($/h)</w:t>
            </w:r>
          </w:p>
        </w:tc>
      </w:tr>
      <w:tr>
        <w:tc>
          <w:tcPr/>
          <w:p>
            <w:pPr>
              <w:pStyle w:val="Compact"/>
              <w:jc w:val="left"/>
            </w:pPr>
            <w:r>
              <w:t xml:space="preserve">1-layer EMPC</w:t>
            </w:r>
          </w:p>
        </w:tc>
        <w:tc>
          <w:tcPr/>
          <w:p>
            <w:pPr>
              <w:pStyle w:val="Compact"/>
              <w:jc w:val="left"/>
            </w:pPr>
            <w:r>
              <w:t xml:space="preserve">energy</w:t>
            </w:r>
          </w:p>
        </w:tc>
        <w:tc>
          <w:tcPr/>
          <w:p>
            <w:pPr>
              <w:pStyle w:val="Compact"/>
              <w:jc w:val="right"/>
            </w:pPr>
            <w:r>
              <w:t xml:space="preserve">19.58</w:t>
            </w:r>
          </w:p>
        </w:tc>
        <w:tc>
          <w:tcPr/>
          <w:p>
            <w:pPr>
              <w:pStyle w:val="Compact"/>
              <w:jc w:val="right"/>
            </w:pPr>
            <w:r>
              <w:t xml:space="preserve">59.4</w:t>
            </w:r>
          </w:p>
        </w:tc>
        <w:tc>
          <w:tcPr/>
          <w:p>
            <w:pPr>
              <w:pStyle w:val="Compact"/>
              <w:jc w:val="right"/>
            </w:pPr>
            <w:r>
              <w:t xml:space="preserve">70</w:t>
            </w:r>
          </w:p>
        </w:tc>
        <w:tc>
          <w:tcPr/>
          <w:p>
            <w:pPr>
              <w:pStyle w:val="Compact"/>
              <w:jc w:val="right"/>
            </w:pPr>
            <w:r>
              <w:t xml:space="preserve">4147</w:t>
            </w:r>
          </w:p>
        </w:tc>
      </w:tr>
      <w:tr>
        <w:tc>
          <w:tcPr/>
          <w:p>
            <w:pPr>
              <w:pStyle w:val="Compact"/>
              <w:jc w:val="left"/>
            </w:pPr>
            <w:r>
              <w:t xml:space="preserve">1-layer EMPC</w:t>
            </w:r>
          </w:p>
        </w:tc>
        <w:tc>
          <w:tcPr/>
          <w:p>
            <w:pPr>
              <w:pStyle w:val="Compact"/>
              <w:jc w:val="left"/>
            </w:pPr>
            <w:r>
              <w:t xml:space="preserve">profit</w:t>
            </w:r>
          </w:p>
        </w:tc>
        <w:tc>
          <w:tcPr/>
          <w:p>
            <w:pPr>
              <w:pStyle w:val="Compact"/>
              <w:jc w:val="right"/>
            </w:pPr>
            <w:r>
              <w:t xml:space="preserve">19.55</w:t>
            </w:r>
          </w:p>
        </w:tc>
        <w:tc>
          <w:tcPr/>
          <w:p>
            <w:pPr>
              <w:pStyle w:val="Compact"/>
              <w:jc w:val="right"/>
            </w:pPr>
            <w:r>
              <w:t xml:space="preserve">67.2</w:t>
            </w:r>
          </w:p>
        </w:tc>
        <w:tc>
          <w:tcPr/>
          <w:p>
            <w:pPr>
              <w:pStyle w:val="Compact"/>
              <w:jc w:val="right"/>
            </w:pPr>
            <w:r>
              <w:t xml:space="preserve">79</w:t>
            </w:r>
          </w:p>
        </w:tc>
        <w:tc>
          <w:tcPr/>
          <w:p>
            <w:pPr>
              <w:pStyle w:val="Compact"/>
              <w:jc w:val="right"/>
            </w:pPr>
            <w:r>
              <w:t xml:space="preserve">4693</w:t>
            </w:r>
          </w:p>
        </w:tc>
      </w:tr>
      <w:tr>
        <w:tc>
          <w:tcPr/>
          <w:p>
            <w:pPr>
              <w:pStyle w:val="Compact"/>
              <w:jc w:val="left"/>
            </w:pPr>
            <w:r>
              <w:t xml:space="preserve">2-layer EMPC</w:t>
            </w:r>
          </w:p>
        </w:tc>
        <w:tc>
          <w:tcPr/>
          <w:p>
            <w:pPr>
              <w:pStyle w:val="Compact"/>
              <w:jc w:val="left"/>
            </w:pPr>
            <w:r>
              <w:t xml:space="preserve">energy</w:t>
            </w:r>
          </w:p>
        </w:tc>
        <w:tc>
          <w:tcPr/>
          <w:p>
            <w:pPr>
              <w:pStyle w:val="Compact"/>
              <w:jc w:val="right"/>
            </w:pPr>
            <w:r>
              <w:t xml:space="preserve">19.64</w:t>
            </w:r>
          </w:p>
        </w:tc>
        <w:tc>
          <w:tcPr/>
          <w:p>
            <w:pPr>
              <w:pStyle w:val="Compact"/>
              <w:jc w:val="right"/>
            </w:pPr>
            <w:r>
              <w:t xml:space="preserve">56.1</w:t>
            </w:r>
          </w:p>
        </w:tc>
        <w:tc>
          <w:tcPr/>
          <w:p>
            <w:pPr>
              <w:pStyle w:val="Compact"/>
              <w:jc w:val="right"/>
            </w:pPr>
            <w:r>
              <w:t xml:space="preserve">66</w:t>
            </w:r>
          </w:p>
        </w:tc>
        <w:tc>
          <w:tcPr/>
          <w:p>
            <w:pPr>
              <w:pStyle w:val="Compact"/>
              <w:jc w:val="right"/>
            </w:pPr>
            <w:r>
              <w:t xml:space="preserve">3919</w:t>
            </w:r>
          </w:p>
        </w:tc>
      </w:tr>
      <w:tr>
        <w:tc>
          <w:tcPr/>
          <w:p>
            <w:pPr>
              <w:pStyle w:val="Compact"/>
              <w:jc w:val="left"/>
            </w:pPr>
            <w:r>
              <w:t xml:space="preserve">2-layer EMPC</w:t>
            </w:r>
          </w:p>
        </w:tc>
        <w:tc>
          <w:tcPr/>
          <w:p>
            <w:pPr>
              <w:pStyle w:val="Compact"/>
              <w:jc w:val="left"/>
            </w:pPr>
            <w:r>
              <w:t xml:space="preserve">profit</w:t>
            </w:r>
          </w:p>
        </w:tc>
        <w:tc>
          <w:tcPr/>
          <w:p>
            <w:pPr>
              <w:pStyle w:val="Compact"/>
              <w:jc w:val="right"/>
            </w:pPr>
            <w:r>
              <w:t xml:space="preserve">19.31</w:t>
            </w:r>
          </w:p>
        </w:tc>
        <w:tc>
          <w:tcPr/>
          <w:p>
            <w:pPr>
              <w:pStyle w:val="Compact"/>
              <w:jc w:val="right"/>
            </w:pPr>
            <w:r>
              <w:t xml:space="preserve">66.8</w:t>
            </w:r>
          </w:p>
        </w:tc>
        <w:tc>
          <w:tcPr/>
          <w:p>
            <w:pPr>
              <w:pStyle w:val="Compact"/>
              <w:jc w:val="right"/>
            </w:pPr>
            <w:r>
              <w:t xml:space="preserve">77</w:t>
            </w:r>
          </w:p>
        </w:tc>
        <w:tc>
          <w:tcPr/>
          <w:p>
            <w:pPr>
              <w:pStyle w:val="Compact"/>
              <w:jc w:val="right"/>
            </w:pPr>
            <w:r>
              <w:t xml:space="preserve">4663</w:t>
            </w:r>
          </w:p>
        </w:tc>
      </w:tr>
      <w:tr>
        <w:tc>
          <w:tcPr/>
          <w:p>
            <w:pPr>
              <w:pStyle w:val="Compact"/>
              <w:jc w:val="left"/>
            </w:pPr>
            <w:r>
              <w:t xml:space="preserve">SSRTO+3PI</w:t>
            </w:r>
          </w:p>
        </w:tc>
        <w:tc>
          <w:tcPr/>
          <w:p>
            <w:pPr>
              <w:pStyle w:val="Compact"/>
              <w:jc w:val="left"/>
            </w:pPr>
            <w:r>
              <w:t xml:space="preserve">energy</w:t>
            </w:r>
          </w:p>
        </w:tc>
        <w:tc>
          <w:tcPr/>
          <w:p>
            <w:pPr>
              <w:pStyle w:val="Compact"/>
              <w:jc w:val="right"/>
            </w:pPr>
            <w:r>
              <w:t xml:space="preserve">19.65</w:t>
            </w:r>
          </w:p>
        </w:tc>
        <w:tc>
          <w:tcPr/>
          <w:p>
            <w:pPr>
              <w:pStyle w:val="Compact"/>
              <w:jc w:val="right"/>
            </w:pPr>
            <w:r>
              <w:t xml:space="preserve">51.2</w:t>
            </w:r>
          </w:p>
        </w:tc>
        <w:tc>
          <w:tcPr/>
          <w:p>
            <w:pPr>
              <w:pStyle w:val="Compact"/>
              <w:jc w:val="right"/>
            </w:pPr>
            <w:r>
              <w:t xml:space="preserve">60</w:t>
            </w:r>
          </w:p>
        </w:tc>
        <w:tc>
          <w:tcPr/>
          <w:p>
            <w:pPr>
              <w:pStyle w:val="Compact"/>
              <w:jc w:val="right"/>
            </w:pPr>
            <w:r>
              <w:t xml:space="preserve">3571</w:t>
            </w:r>
          </w:p>
        </w:tc>
      </w:tr>
      <w:tr>
        <w:tc>
          <w:tcPr/>
          <w:p>
            <w:pPr>
              <w:pStyle w:val="Compact"/>
              <w:jc w:val="left"/>
            </w:pPr>
            <w:r>
              <w:t xml:space="preserve">SSRTO+3PI</w:t>
            </w:r>
          </w:p>
        </w:tc>
        <w:tc>
          <w:tcPr/>
          <w:p>
            <w:pPr>
              <w:pStyle w:val="Compact"/>
              <w:jc w:val="left"/>
            </w:pPr>
            <w:r>
              <w:t xml:space="preserve">profit</w:t>
            </w:r>
          </w:p>
        </w:tc>
        <w:tc>
          <w:tcPr/>
          <w:p>
            <w:pPr>
              <w:pStyle w:val="Compact"/>
              <w:jc w:val="right"/>
            </w:pPr>
            <w:r>
              <w:t xml:space="preserve">19.58</w:t>
            </w:r>
          </w:p>
        </w:tc>
        <w:tc>
          <w:tcPr/>
          <w:p>
            <w:pPr>
              <w:pStyle w:val="Compact"/>
              <w:jc w:val="right"/>
            </w:pPr>
            <w:r>
              <w:t xml:space="preserve">66.3</w:t>
            </w:r>
          </w:p>
        </w:tc>
        <w:tc>
          <w:tcPr/>
          <w:p>
            <w:pPr>
              <w:pStyle w:val="Compact"/>
              <w:jc w:val="right"/>
            </w:pPr>
            <w:r>
              <w:t xml:space="preserve">78</w:t>
            </w:r>
          </w:p>
        </w:tc>
        <w:tc>
          <w:tcPr/>
          <w:p>
            <w:pPr>
              <w:pStyle w:val="Compact"/>
              <w:jc w:val="right"/>
            </w:pPr>
            <w:r>
              <w:t xml:space="preserve">4626</w:t>
            </w:r>
          </w:p>
        </w:tc>
      </w:tr>
    </w:tbl>
    <w:bookmarkEnd w:id="36"/>
    <w:bookmarkStart w:id="37" w:name="X20672f6b8084921290ba88b661f4980fe84cc7f"/>
    <w:p>
      <w:pPr>
        <w:pStyle w:val="Heading2"/>
      </w:pPr>
      <w:r>
        <w:t xml:space="preserve">The SEC cluster and its ore-hardness origin</w:t>
      </w:r>
    </w:p>
    <w:p>
      <w:pPr>
        <w:pStyle w:val="FirstParagraph"/>
      </w:pPr>
      <w:r>
        <w:t xml:space="preserve">Table </w:t>
      </w:r>
      <w:hyperlink w:anchor="tab:summary">
        <w:r>
          <w:rPr>
            <w:rStyle w:val="Hyperlink"/>
          </w:rPr>
          <w:t xml:space="preserve">1</w:t>
        </w:r>
      </w:hyperlink>
      <w:r>
        <w:t xml:space="preserve"> </w:t>
      </w:r>
      <w:r>
        <w:t xml:space="preserve">and Fig. </w:t>
      </w:r>
      <w:hyperlink w:anchor="fig:bars">
        <w:r>
          <w:rPr>
            <w:rStyle w:val="Hyperlink"/>
          </w:rPr>
          <w:t xml:space="preserve">4</w:t>
        </w:r>
      </w:hyperlink>
      <w:r>
        <w:t xml:space="preserve"> </w:t>
      </w:r>
      <w:r>
        <w:t xml:space="preserve">give the central result.</w:t>
      </w:r>
      <w:r>
        <w:t xml:space="preserve"> </w:t>
      </w:r>
      <w:r>
        <w:t xml:space="preserve">At the matched product-size floor, the six runs span only 19.31 to 19.65</w:t>
      </w:r>
      <w:r>
        <w:t xml:space="preserve"> </w:t>
      </w:r>
      <w:r>
        <w:t xml:space="preserve">kWh/t. That is a spread of under two percent across three architectures</w:t>
      </w:r>
      <w:r>
        <w:t xml:space="preserve"> </w:t>
      </w:r>
      <w:r>
        <w:t xml:space="preserve">and two objectives. Fig. </w:t>
      </w:r>
      <w:hyperlink w:anchor="fig:oresec">
        <w:r>
          <w:rPr>
            <w:rStyle w:val="Hyperlink"/>
          </w:rPr>
          <w:t xml:space="preserve">3</w:t>
        </w:r>
      </w:hyperlink>
      <w:r>
        <w:t xml:space="preserve"> </w:t>
      </w:r>
      <w:r>
        <w:t xml:space="preserve">adds that the specific energy</w:t>
      </w:r>
      <w:r>
        <w:t xml:space="preserve"> </w:t>
      </w:r>
      <w:r>
        <w:t xml:space="preserve">of every run tracks the ore-hardness trajectory closely. SEC is flat</w:t>
      </w:r>
      <w:r>
        <w:t xml:space="preserve"> </w:t>
      </w:r>
      <w:r>
        <w:t xml:space="preserve">through the ore holds. It rises and falls with the feed-size parameter</w:t>
      </w:r>
      <w:r>
        <w:t xml:space="preserve"> </w:t>
      </w:r>
      <w:r>
        <w:t xml:space="preserve">through the ramps, with all three architectures moving together.</w:t>
      </w:r>
    </w:p>
    <w:p>
      <w:pPr>
        <w:pStyle w:val="BodyText"/>
      </w:pPr>
      <w:r>
        <w:t xml:space="preserve">The model makes this connection explicit. Ore hardness enters the</w:t>
      </w:r>
      <w:r>
        <w:t xml:space="preserve"> </w:t>
      </w:r>
      <w:r>
        <w:t xml:space="preserve">reduced-order model as</w:t>
      </w:r>
      <w:r>
        <w:t xml:space="preserve"> </w:t>
      </w:r>
      <m:oMath>
        <m:sSub>
          <m:e>
            <m:r>
              <m:t>ϕ</m:t>
            </m:r>
          </m:e>
          <m:sub>
            <m:r>
              <m:t>f</m:t>
            </m:r>
          </m:sub>
        </m:sSub>
      </m:oMath>
      <w:r>
        <w:t xml:space="preserve">, the power needed per tonne of new fines</w:t>
      </w:r>
      <w:r>
        <w:t xml:space="preserve"> </w:t>
      </w:r>
      <w:r>
        <w:t xml:space="preserve">produced inside the mill, in kWh/t</w:t>
      </w:r>
      <w:r>
        <w:t xml:space="preserve"> </w:t>
      </w:r>
      <w:r>
        <w:t xml:space="preserve">. Specific energy is</w:t>
      </w:r>
      <w:r>
        <w:t xml:space="preserve"> </w:t>
      </w:r>
      <w:r>
        <w:t xml:space="preserve">its operational counterpart in the same unit.</w:t>
      </w:r>
      <w:r>
        <w:t xml:space="preserve"> </w:t>
      </w:r>
      <m:oMath>
        <m:r>
          <m:rPr>
            <m:sty m:val="p"/>
          </m:rPr>
          <m:t>S</m:t>
        </m:r>
        <m:r>
          <m:rPr>
            <m:sty m:val="p"/>
          </m:rPr>
          <m:t>E</m:t>
        </m:r>
        <m:r>
          <m:rPr>
            <m:sty m:val="p"/>
          </m:rPr>
          <m:t>C</m:t>
        </m:r>
        <m:r>
          <m:rPr>
            <m:sty m:val="p"/>
          </m:rPr>
          <m:t>=</m:t>
        </m:r>
        <m:sSub>
          <m:e>
            <m:r>
              <m:t>P</m:t>
            </m:r>
          </m:e>
          <m:sub>
            <m:r>
              <m:rPr>
                <m:sty m:val="p"/>
              </m:rPr>
              <m:t>m</m:t>
            </m:r>
            <m:r>
              <m:rPr>
                <m:sty m:val="p"/>
              </m:rPr>
              <m:t>i</m:t>
            </m:r>
            <m:r>
              <m:rPr>
                <m:sty m:val="p"/>
              </m:rPr>
              <m:t>l</m:t>
            </m:r>
            <m:r>
              <m:rPr>
                <m:sty m:val="p"/>
              </m:rPr>
              <m:t>l</m:t>
            </m:r>
          </m:sub>
        </m:sSub>
        <m:r>
          <m:rPr>
            <m:sty m:val="p"/>
          </m:rPr>
          <m:t>/</m:t>
        </m:r>
        <m:r>
          <m:rPr>
            <m:sty m:val="p"/>
          </m:rPr>
          <m:t>M</m:t>
        </m:r>
        <m:r>
          <m:rPr>
            <m:sty m:val="p"/>
          </m:rPr>
          <m:t>F</m:t>
        </m:r>
        <m:r>
          <m:rPr>
            <m:sty m:val="p"/>
          </m:rPr>
          <m:t>S</m:t>
        </m:r>
      </m:oMath>
      <w:r>
        <w:t xml:space="preserve"> </w:t>
      </w:r>
      <w:r>
        <w:t xml:space="preserve">is the energy spent per</w:t>
      </w:r>
      <w:r>
        <w:t xml:space="preserve"> </w:t>
      </w:r>
      <w:r>
        <w:t xml:space="preserve">tonne of fresh feed processed. Fines production is driven by mill power</w:t>
      </w:r>
      <w:r>
        <w:t xml:space="preserve"> </w:t>
      </w:r>
      <w:r>
        <w:t xml:space="preserve">through</w:t>
      </w:r>
      <w:r>
        <w:t xml:space="preserve"> </w:t>
      </w:r>
      <m:oMath>
        <m:sSub>
          <m:e>
            <m:r>
              <m:t>ϕ</m:t>
            </m:r>
          </m:e>
          <m:sub>
            <m:r>
              <m:t>f</m:t>
            </m:r>
          </m:sub>
        </m:sSub>
      </m:oMath>
      <w:r>
        <w:t xml:space="preserve">. A pinned product-size floor fixes the fraction of each</w:t>
      </w:r>
      <w:r>
        <w:t xml:space="preserve"> </w:t>
      </w:r>
      <w:r>
        <w:t xml:space="preserve">feed tonne that must be ground to fines. SEC is therefore essentially a</w:t>
      </w:r>
      <w:r>
        <w:t xml:space="preserve"> </w:t>
      </w:r>
      <w:r>
        <w:t xml:space="preserve">scaled copy of</w:t>
      </w:r>
      <w:r>
        <w:t xml:space="preserve"> </w:t>
      </w:r>
      <m:oMath>
        <m:sSub>
          <m:e>
            <m:r>
              <m:t>ϕ</m:t>
            </m:r>
          </m:e>
          <m:sub>
            <m:r>
              <m:t>f</m:t>
            </m:r>
          </m:sub>
        </m:sSub>
      </m:oMath>
      <w:r>
        <w:t xml:space="preserve"> </w:t>
      </w:r>
      <w:r>
        <w:t xml:space="preserve">(about 19.6 kWh/t against</w:t>
      </w:r>
      <w:r>
        <w:t xml:space="preserve"> </w:t>
      </w:r>
      <m:oMath>
        <m:sSub>
          <m:e>
            <m:r>
              <m:t>ϕ</m:t>
            </m:r>
          </m:e>
          <m:sub>
            <m:r>
              <m:t>f</m:t>
            </m:r>
          </m:sub>
        </m:sSub>
        <m:r>
          <m:rPr>
            <m:sty m:val="p"/>
          </m:rPr>
          <m:t>≈</m:t>
        </m:r>
        <m:r>
          <m:t>29.6</m:t>
        </m:r>
      </m:oMath>
      <w:r>
        <w:t xml:space="preserve"> </w:t>
      </w:r>
      <w:r>
        <w:t xml:space="preserve">kWh/t here, the ratio reflecting the fines already present in the feed).</w:t>
      </w:r>
      <w:r>
        <w:t xml:space="preserve"> </w:t>
      </w:r>
      <w:r>
        <w:t xml:space="preserve">The two quantities share one unit because they express the same</w:t>
      </w:r>
      <w:r>
        <w:t xml:space="preserve"> </w:t>
      </w:r>
      <w:r>
        <w:t xml:space="preserve">underlying physics, the energy the ore requires at the demanded fineness.</w:t>
      </w:r>
      <w:r>
        <w:t xml:space="preserve"> </w:t>
      </w:r>
      <w:r>
        <w:t xml:space="preserve">This is why every architecture returns nearly the same SEC under both</w:t>
      </w:r>
      <w:r>
        <w:t xml:space="preserve"> </w:t>
      </w:r>
      <w:r>
        <w:t xml:space="preserve">objectives, energy and profit (revenue minus energy), and why the SEC</w:t>
      </w:r>
      <w:r>
        <w:t xml:space="preserve"> </w:t>
      </w:r>
      <w:r>
        <w:t xml:space="preserve">trajectories in Fig. </w:t>
      </w:r>
      <w:hyperlink w:anchor="fig:oresec">
        <w:r>
          <w:rPr>
            <w:rStyle w:val="Hyperlink"/>
          </w:rPr>
          <w:t xml:space="preserve">3</w:t>
        </w:r>
      </w:hyperlink>
      <w:r>
        <w:t xml:space="preserve"> </w:t>
      </w:r>
      <w:r>
        <w:t xml:space="preserve">follow the ore-hardness</w:t>
      </w:r>
      <w:r>
        <w:t xml:space="preserve"> </w:t>
      </w:r>
      <w:r>
        <w:t xml:space="preserve">distribution so closely. Both objectives carry the energy term, and that</w:t>
      </w:r>
      <w:r>
        <w:t xml:space="preserve"> </w:t>
      </w:r>
      <w:r>
        <w:t xml:space="preserve">term is what pushes SEC to its achievable minimum. An objective without</w:t>
      </w:r>
      <w:r>
        <w:t xml:space="preserve"> </w:t>
      </w:r>
      <w:r>
        <w:t xml:space="preserve">an energy term would not settle at these values.</w:t>
      </w:r>
    </w:p>
    <w:p>
      <w:pPr>
        <w:pStyle w:val="BodyText"/>
      </w:pPr>
      <w:r>
        <w:t xml:space="preserve">The controllers differ only in how well they avoid wasting energy</w:t>
      </w:r>
      <w:r>
        <w:t xml:space="preserve"> </w:t>
      </w:r>
      <w:r>
        <w:t xml:space="preserve">(over-grinding, poor set-point choices). None can grind below the energy</w:t>
      </w:r>
      <w:r>
        <w:t xml:space="preserve"> </w:t>
      </w:r>
      <w:r>
        <w:t xml:space="preserve">the ore demands. The distribution of achievable SEC is therefore a</w:t>
      </w:r>
      <w:r>
        <w:t xml:space="preserve"> </w:t>
      </w:r>
      <w:r>
        <w:t xml:space="preserve">property of the ore hardness distribution rather than of the supervisory</w:t>
      </w:r>
      <w:r>
        <w:t xml:space="preserve"> </w:t>
      </w:r>
      <w:r>
        <w:t xml:space="preserve">architecture or the economic objective.</w:t>
      </w:r>
    </w:p>
    <w:p>
      <w:pPr>
        <w:pStyle w:val="BodyText"/>
      </w:pPr>
      <w:r>
        <w:t xml:space="preserve">One exception may apply to the SSRTO. Its set-points refresh only when</w:t>
      </w:r>
      <w:r>
        <w:t xml:space="preserve"> </w:t>
      </w:r>
      <w:r>
        <w:t xml:space="preserve">the steady-state detector triggers. If the ore hardness trends strongly</w:t>
      </w:r>
      <w:r>
        <w:t xml:space="preserve"> </w:t>
      </w:r>
      <w:r>
        <w:t xml:space="preserve">and rapidly in one direction without flattening, the detector cannot</w:t>
      </w:r>
      <w:r>
        <w:t xml:space="preserve"> </w:t>
      </w:r>
      <w:r>
        <w:t xml:space="preserve">trigger, and the SSRTO result can differ significantly. The disturbance</w:t>
      </w:r>
      <w:r>
        <w:t xml:space="preserve"> </w:t>
      </w:r>
      <w:r>
        <w:t xml:space="preserve">in Fig. </w:t>
      </w:r>
      <w:hyperlink w:anchor="fig:oresec">
        <w:r>
          <w:rPr>
            <w:rStyle w:val="Hyperlink"/>
          </w:rPr>
          <w:t xml:space="preserve">3</w:t>
        </w:r>
      </w:hyperlink>
      <w:r>
        <w:t xml:space="preserve"> </w:t>
      </w:r>
      <w:r>
        <w:t xml:space="preserve">instead fluctuates inside a bounded band of 10</w:t>
      </w:r>
      <w:r>
        <w:t xml:space="preserve"> </w:t>
      </w:r>
      <w:r>
        <w:t xml:space="preserve">to 15 percent.</w:t>
      </w:r>
      <w:r>
        <w:t xml:space="preserve"> </w:t>
      </w:r>
      <w:r>
        <w:t xml:space="preserve">The plant then keeps reaching steady states inside that band, and the</w:t>
      </w:r>
      <w:r>
        <w:t xml:space="preserve"> </w:t>
      </w:r>
      <w:r>
        <w:t xml:space="preserve">held set-points stay reasonable even when the detector does not</w:t>
      </w:r>
      <w:r>
        <w:t xml:space="preserve"> </w:t>
      </w:r>
      <w:r>
        <w:t xml:space="preserve">trigger. This can be why the SSRTO stays inside the two-percent cluster</w:t>
      </w:r>
      <w:r>
        <w:t xml:space="preserve"> </w:t>
      </w:r>
      <w:r>
        <w:t xml:space="preserve">here.</w:t>
      </w:r>
    </w:p>
    <w:bookmarkEnd w:id="37"/>
    <w:bookmarkStart w:id="38" w:name="same-limits-different-operating-points"/>
    <w:p>
      <w:pPr>
        <w:pStyle w:val="Heading2"/>
      </w:pPr>
      <w:r>
        <w:t xml:space="preserve">Same limits, different operating points</w:t>
      </w:r>
    </w:p>
    <w:p>
      <w:pPr>
        <w:pStyle w:val="FirstParagraph"/>
      </w:pPr>
      <w:r>
        <w:t xml:space="preserve">The clustering does not mean the architectures behave identically. Under</w:t>
      </w:r>
      <w:r>
        <w:t xml:space="preserve"> </w:t>
      </w:r>
      <w:r>
        <w:t xml:space="preserve">the energy objective the three architectures face the same feed-demand</w:t>
      </w:r>
      <w:r>
        <w:t xml:space="preserve"> </w:t>
      </w:r>
      <w:r>
        <w:t xml:space="preserve">floor, product-size floor and objective function. They still settle at</w:t>
      </w:r>
      <w:r>
        <w:t xml:space="preserve"> </w:t>
      </w:r>
      <w:r>
        <w:t xml:space="preserve">visibly different feeds of 59.4, 56.1 and 51.2 t/h for the single-layer,</w:t>
      </w:r>
      <w:r>
        <w:t xml:space="preserve"> </w:t>
      </w:r>
      <w:r>
        <w:t xml:space="preserve">two-layer and SSRTO respectively (Fig. </w:t>
      </w:r>
      <w:hyperlink w:anchor="fig:bars">
        <w:r>
          <w:rPr>
            <w:rStyle w:val="Hyperlink"/>
          </w:rPr>
          <w:t xml:space="preserve">4</w:t>
        </w:r>
      </w:hyperlink>
      <w:r>
        <w:t xml:space="preserve">, right). Each</w:t>
      </w:r>
      <w:r>
        <w:t xml:space="preserve"> </w:t>
      </w:r>
      <w:r>
        <w:t xml:space="preserve">optimiser allocates the remaining degrees of freedom (mill speed, cyclone</w:t>
      </w:r>
      <w:r>
        <w:t xml:space="preserve"> </w:t>
      </w:r>
      <w:r>
        <w:t xml:space="preserve">feed, sump water) differently, and the SSRTO in particular drifts to</w:t>
      </w:r>
      <w:r>
        <w:t xml:space="preserve"> </w:t>
      </w:r>
      <w:r>
        <w:t xml:space="preserve">lower feed between its steady-state updates. Specific energy is the</w:t>
      </w:r>
      <w:r>
        <w:t xml:space="preserve"> </w:t>
      </w:r>
      <w:r>
        <w:t xml:space="preserve">invariant. The operating point is not. Under the profit objective the</w:t>
      </w:r>
      <w:r>
        <w:t xml:space="preserve"> </w:t>
      </w:r>
      <w:r>
        <w:t xml:space="preserve">picture collapses. All three lift feed to 66–67 t/h and mill speed to</w:t>
      </w:r>
      <w:r>
        <w:t xml:space="preserve"> </w:t>
      </w:r>
      <w:r>
        <w:t xml:space="preserve">its bound, confirming the constraint-seeking behaviour of Section III-B.</w:t>
      </w:r>
      <w:r>
        <w:t xml:space="preserve"> </w:t>
      </w:r>
      <w:r>
        <w:t xml:space="preserve">The profit proxies land within 1.4 percent of one another (4626 to 4693</w:t>
      </w:r>
      <w:r>
        <w:t xml:space="preserve"> </w:t>
      </w:r>
      <w:r>
        <w:t xml:space="preserve">$/h).</w:t>
      </w:r>
    </w:p>
    <w:bookmarkEnd w:id="38"/>
    <w:bookmarkStart w:id="39" w:name="profit-versus-energy"/>
    <w:p>
      <w:pPr>
        <w:pStyle w:val="Heading2"/>
      </w:pPr>
      <w:r>
        <w:t xml:space="preserve">Profit versus energy</w:t>
      </w:r>
    </w:p>
    <w:p>
      <w:pPr>
        <w:pStyle w:val="FirstParagraph"/>
      </w:pPr>
      <w:r>
        <w:t xml:space="preserve">For each architecture the profit objective earns 13 to 29 percent more</w:t>
      </w:r>
      <w:r>
        <w:t xml:space="preserve"> </w:t>
      </w:r>
      <w:r>
        <w:t xml:space="preserve">profit proxy than its energy twin. Essentially all of the gain comes from</w:t>
      </w:r>
      <w:r>
        <w:t xml:space="preserve"> </w:t>
      </w:r>
      <w:r>
        <w:t xml:space="preserve">throughput. SEC changes by at most 0.33 kWh/t between the twins. The gain is largest</w:t>
      </w:r>
      <w:r>
        <w:t xml:space="preserve"> </w:t>
      </w:r>
      <w:r>
        <w:t xml:space="preserve">for the SSRTO only because its energy run sits at the lowest feed. In</w:t>
      </w:r>
      <w:r>
        <w:t xml:space="preserve"> </w:t>
      </w:r>
      <w:r>
        <w:t xml:space="preserve">other words, the profit objective adds tonnes by saturating feed and</w:t>
      </w:r>
      <w:r>
        <w:t xml:space="preserve"> </w:t>
      </w:r>
      <w:r>
        <w:t xml:space="preserve">speed limits, while its energy half holds SEC at the same level as the</w:t>
      </w:r>
      <w:r>
        <w:t xml:space="preserve"> </w:t>
      </w:r>
      <w:r>
        <w:t xml:space="preserve">energy runs. Which objective is appropriate therefore depends on whether</w:t>
      </w:r>
      <w:r>
        <w:t xml:space="preserve"> </w:t>
      </w:r>
      <w:r>
        <w:t xml:space="preserve">the mill is the right place to decide throughput, which is the subject</w:t>
      </w:r>
      <w:r>
        <w:t xml:space="preserve"> </w:t>
      </w:r>
      <w:r>
        <w:t xml:space="preserve">of the next section.</w:t>
      </w:r>
    </w:p>
    <w:bookmarkEnd w:id="39"/>
    <w:bookmarkStart w:id="40" w:name="secondary-separations"/>
    <w:p>
      <w:pPr>
        <w:pStyle w:val="Heading2"/>
      </w:pPr>
      <w:r>
        <w:t xml:space="preserve">Secondary separations</w:t>
      </w:r>
    </w:p>
    <w:p>
      <w:pPr>
        <w:pStyle w:val="FirstParagraph"/>
      </w:pPr>
      <w:r>
        <w:t xml:space="preserve">The architectures do separate on non-economic metrics. The single-layer</w:t>
      </w:r>
      <w:r>
        <w:t xml:space="preserve"> </w:t>
      </w:r>
      <w:r>
        <w:t xml:space="preserve">EMPC shows occasional bang-bang episodes (isolated SEC spikes in</w:t>
      </w:r>
      <w:r>
        <w:t xml:space="preserve"> </w:t>
      </w:r>
      <w:r>
        <w:t xml:space="preserve">Fig. </w:t>
      </w:r>
      <w:hyperlink w:anchor="fig:oresec">
        <w:r>
          <w:rPr>
            <w:rStyle w:val="Hyperlink"/>
          </w:rPr>
          <w:t xml:space="preserve">3</w:t>
        </w:r>
      </w:hyperlink>
      <w:r>
        <w:t xml:space="preserve">, roughly two percent of post-step intervals),</w:t>
      </w:r>
      <w:r>
        <w:t xml:space="preserve"> </w:t>
      </w:r>
      <w:r>
        <w:t xml:space="preserve">inherited from its near-affine objective. Because its set-point refreshes only</w:t>
      </w:r>
      <w:r>
        <w:t xml:space="preserve"> </w:t>
      </w:r>
      <w:r>
        <w:t xml:space="preserve">at steady-state detections, the SSRTO holds its product-size floor more</w:t>
      </w:r>
      <w:r>
        <w:t xml:space="preserve"> </w:t>
      </w:r>
      <w:r>
        <w:t xml:space="preserve">loosely than the EMPCs between updates. The PI loops themselves behave</w:t>
      </w:r>
      <w:r>
        <w:t xml:space="preserve"> </w:t>
      </w:r>
      <w:r>
        <w:t xml:space="preserve">exactly as designed. The two-layer EMPC shows neither behaviour and, as</w:t>
      </w:r>
      <w:r>
        <w:t xml:space="preserve"> </w:t>
      </w:r>
      <w:r>
        <w:t xml:space="preserve">noted in Section IV, uses about a third less CPU time than the</w:t>
      </w:r>
      <w:r>
        <w:t xml:space="preserve"> </w:t>
      </w:r>
      <w:r>
        <w:t xml:space="preserve">single-layer. This combination, rather than any economic advantage, is</w:t>
      </w:r>
      <w:r>
        <w:t xml:space="preserve"> </w:t>
      </w:r>
      <w:r>
        <w:t xml:space="preserve">why we carry it forward as the main candidate.</w:t>
      </w:r>
    </w:p>
    <w:bookmarkEnd w:id="40"/>
    <w:bookmarkStart w:id="41" w:name="comparison-with-the-hpgr-circuit-study"/>
    <w:p>
      <w:pPr>
        <w:pStyle w:val="Heading2"/>
      </w:pPr>
      <w:r>
        <w:t xml:space="preserve">Comparison with the HPGR circuit study</w:t>
      </w:r>
    </w:p>
    <w:p>
      <w:pPr>
        <w:pStyle w:val="FirstParagraph"/>
      </w:pPr>
      <w:r>
        <w:t xml:space="preserve">Our results are consistent with the HPGR, ball mill and flotation study</w:t>
      </w:r>
      <w:r>
        <w:t xml:space="preserve"> </w:t>
      </w:r>
      <w:r>
        <w:t xml:space="preserve">of Thivierge and co-authors</w:t>
      </w:r>
      <w:r>
        <w:t xml:space="preserve"> </w:t>
      </w:r>
      <w:r>
        <w:t xml:space="preserve">. They compared basic</w:t>
      </w:r>
      <w:r>
        <w:t xml:space="preserve"> </w:t>
      </w:r>
      <w:r>
        <w:t xml:space="preserve">regulatory control (BRC), advanced regulatory control (ARC), a profit</w:t>
      </w:r>
      <w:r>
        <w:t xml:space="preserve"> </w:t>
      </w:r>
      <w:r>
        <w:t xml:space="preserve">EMPC (EMPC1) and a power-penalised EMPC (EMPC2). Their ARC and EMPC1</w:t>
      </w:r>
      <w:r>
        <w:t xml:space="preserve"> </w:t>
      </w:r>
      <w:r>
        <w:t xml:space="preserve">performed identically because the economic optimum sits at the process</w:t>
      </w:r>
      <w:r>
        <w:t xml:space="preserve"> </w:t>
      </w:r>
      <w:r>
        <w:t xml:space="preserve">constraints. We see the same mechanism. Under the profit objective all</w:t>
      </w:r>
      <w:r>
        <w:t xml:space="preserve"> </w:t>
      </w:r>
      <w:r>
        <w:t xml:space="preserve">three of our architectures saturate feed and speed and land within 1.4</w:t>
      </w:r>
      <w:r>
        <w:t xml:space="preserve"> </w:t>
      </w:r>
      <w:r>
        <w:t xml:space="preserve">percent of one another. Their EMPC2 reduced specific energy by only 0.4</w:t>
      </w:r>
      <w:r>
        <w:t xml:space="preserve"> </w:t>
      </w:r>
      <w:r>
        <w:t xml:space="preserve">to 2.9 percent relative to the profit optimum, at the cost of 3.6 to</w:t>
      </w:r>
      <w:r>
        <w:t xml:space="preserve"> </w:t>
      </w:r>
      <w:r>
        <w:t xml:space="preserve">3.9 percent of net value. Our energy-versus-profit twins show the same</w:t>
      </w:r>
      <w:r>
        <w:t xml:space="preserve"> </w:t>
      </w:r>
      <w:r>
        <w:t xml:space="preserve">pattern (Section VI-C). Finally, we excluded our own basic regulatory</w:t>
      </w:r>
      <w:r>
        <w:t xml:space="preserve"> </w:t>
      </w:r>
      <w:r>
        <w:t xml:space="preserve">variants, the tracking single-layer MPC and the decentralised 3PI, from</w:t>
      </w:r>
      <w:r>
        <w:t xml:space="preserve"> </w:t>
      </w:r>
      <w:r>
        <w:t xml:space="preserve">the benchmark (Section IV). Those architectures used significantly more</w:t>
      </w:r>
      <w:r>
        <w:t xml:space="preserve"> </w:t>
      </w:r>
      <w:r>
        <w:t xml:space="preserve">energy, in line with their BRC result.</w:t>
      </w:r>
    </w:p>
    <w:bookmarkEnd w:id="41"/>
    <w:bookmarkEnd w:id="42"/>
    <w:bookmarkStart w:id="45" w:name="discussion"/>
    <w:p>
      <w:pPr>
        <w:pStyle w:val="Heading1"/>
      </w:pPr>
      <w:r>
        <w:t xml:space="preserve">Discussion</w:t>
      </w:r>
    </w:p>
    <w:bookmarkStart w:id="43" w:name="Xed95d67a1dcf1d43610019bd09931f84a8b5ae9"/>
    <w:p>
      <w:pPr>
        <w:pStyle w:val="Heading2"/>
      </w:pPr>
      <w:r>
        <w:t xml:space="preserve">Plant-level profit, mill-level energy, and their interface</w:t>
      </w:r>
    </w:p>
    <w:p>
      <w:pPr>
        <w:pStyle w:val="FirstParagraph"/>
      </w:pPr>
      <w:r>
        <w:t xml:space="preserve">The results give an operational answer to the objective question. Profit</w:t>
      </w:r>
      <w:r>
        <w:t xml:space="preserve"> </w:t>
      </w:r>
      <w:r>
        <w:t xml:space="preserve">optimisation is the natural plant-wide objective. Only at that level do</w:t>
      </w:r>
      <w:r>
        <w:t xml:space="preserve"> </w:t>
      </w:r>
      <w:r>
        <w:t xml:space="preserve">the downstream circuits (flotation recovery, concentrate value, market</w:t>
      </w:r>
      <w:r>
        <w:t xml:space="preserve"> </w:t>
      </w:r>
      <w:r>
        <w:t xml:space="preserve">prices) enter, and only there does Eq. (</w:t>
      </w:r>
      <w:hyperlink w:anchor="eq:jcomm">
        <w:r>
          <w:rPr>
            <w:rStyle w:val="Hyperlink"/>
          </w:rPr>
          <w:t xml:space="preserve">[eq:jcomm]</w:t>
        </w:r>
      </w:hyperlink>
      <w:r>
        <w:t xml:space="preserve">) have its interior</w:t>
      </w:r>
      <w:r>
        <w:t xml:space="preserve"> </w:t>
      </w:r>
      <w:r>
        <w:t xml:space="preserve">optimum. At the SAG level the same objective reduces to feed-and-speed</w:t>
      </w:r>
      <w:r>
        <w:t xml:space="preserve"> </w:t>
      </w:r>
      <w:r>
        <w:t xml:space="preserve">saturation, a standing choice that removes every degree of freedom that</w:t>
      </w:r>
      <w:r>
        <w:t xml:space="preserve"> </w:t>
      </w:r>
      <w:r>
        <w:t xml:space="preserve">could otherwise be used for efficiency or robustness. Energy</w:t>
      </w:r>
      <w:r>
        <w:t xml:space="preserve"> </w:t>
      </w:r>
      <w:r>
        <w:t xml:space="preserve">minimisation, by contrast, is well posed at the mill. It has a defined</w:t>
      </w:r>
      <w:r>
        <w:t xml:space="preserve"> </w:t>
      </w:r>
      <w:r>
        <w:t xml:space="preserve">task, to grind the demanded tonnes to the demanded fineness for the least</w:t>
      </w:r>
      <w:r>
        <w:t xml:space="preserve"> </w:t>
      </w:r>
      <w:r>
        <w:t xml:space="preserve">energy. As Section VI shows, it concedes nothing in specific energy</w:t>
      </w:r>
      <w:r>
        <w:t xml:space="preserve"> </w:t>
      </w:r>
      <w:r>
        <w:t xml:space="preserve">relative to the profit objective.</w:t>
      </w:r>
    </w:p>
    <w:p>
      <w:pPr>
        <w:pStyle w:val="BodyText"/>
      </w:pPr>
      <w:r>
        <w:t xml:space="preserve">Once quality is pinned, the achievable specific energy is set by the</w:t>
      </w:r>
      <w:r>
        <w:t xml:space="preserve"> </w:t>
      </w:r>
      <w:r>
        <w:t xml:space="preserve">ore. The remaining economic decision is how many tonnes to process.</w:t>
      </w:r>
      <w:r>
        <w:t xml:space="preserve"> </w:t>
      </w:r>
      <w:r>
        <w:t xml:space="preserve">That decision belongs to the plant-wide layer. The two levels meet at a</w:t>
      </w:r>
      <w:r>
        <w:t xml:space="preserve"> </w:t>
      </w:r>
      <w:r>
        <w:t xml:space="preserve">two-number interface. It consists of a</w:t>
      </w:r>
      <w:r>
        <w:t xml:space="preserve"> </w:t>
      </w:r>
      <w:r>
        <w:t xml:space="preserve">throughput demand</w:t>
      </w:r>
      <w:r>
        <w:t xml:space="preserve"> </w:t>
      </w:r>
      <m:oMath>
        <m:sSub>
          <m:e>
            <m:r>
              <m:rPr>
                <m:sty m:val="p"/>
              </m:rPr>
              <m:t>T</m:t>
            </m:r>
            <m:r>
              <m:rPr>
                <m:sty m:val="p"/>
              </m:rPr>
              <m:t>P</m:t>
            </m:r>
          </m:e>
          <m:sub>
            <m:r>
              <m:rPr>
                <m:sty m:val="p"/>
              </m:rPr>
              <m:t>d</m:t>
            </m:r>
            <m:r>
              <m:rPr>
                <m:sty m:val="p"/>
              </m:rPr>
              <m:t>e</m:t>
            </m:r>
            <m:r>
              <m:rPr>
                <m:sty m:val="p"/>
              </m:rPr>
              <m:t>m</m:t>
            </m:r>
          </m:sub>
        </m:sSub>
      </m:oMath>
      <w:r>
        <w:t xml:space="preserve"> </w:t>
      </w:r>
      <w:r>
        <w:t xml:space="preserve">(a floor on MFS) and a</w:t>
      </w:r>
      <w:r>
        <w:t xml:space="preserve"> </w:t>
      </w:r>
      <w:r>
        <w:t xml:space="preserve">product-size floor</w:t>
      </w:r>
      <w:r>
        <w:t xml:space="preserve"> </w:t>
      </w:r>
      <m:oMath>
        <m:sSub>
          <m:e>
            <m:r>
              <m:rPr>
                <m:sty m:val="p"/>
              </m:rPr>
              <m:t>P</m:t>
            </m:r>
            <m:r>
              <m:rPr>
                <m:sty m:val="p"/>
              </m:rPr>
              <m:t>S</m:t>
            </m:r>
            <m:r>
              <m:rPr>
                <m:sty m:val="p"/>
              </m:rPr>
              <m:t>E</m:t>
            </m:r>
          </m:e>
          <m:sub>
            <m:r>
              <m:rPr>
                <m:sty m:val="p"/>
              </m:rPr>
              <m:t>min</m:t>
            </m:r>
          </m:sub>
        </m:sSub>
      </m:oMath>
      <w:r>
        <w:t xml:space="preserve">. The plant-wide profit</w:t>
      </w:r>
      <w:r>
        <w:t xml:space="preserve"> </w:t>
      </w:r>
      <w:r>
        <w:t xml:space="preserve">optimisation, which sees all circuits, decides the most profitable</w:t>
      </w:r>
      <w:r>
        <w:t xml:space="preserve"> </w:t>
      </w:r>
      <w:r>
        <w:t xml:space="preserve">throughput and hands it down. The downstream circuits’ requirements set</w:t>
      </w:r>
      <w:r>
        <w:t xml:space="preserve"> </w:t>
      </w:r>
      <w:r>
        <w:t xml:space="preserve">the product-size floor. Inside those limits the mill runs autonomously</w:t>
      </w:r>
      <w:r>
        <w:t xml:space="preserve"> </w:t>
      </w:r>
      <w:r>
        <w:t xml:space="preserve">and never needs to maximise MFS directly. The demand floor already</w:t>
      </w:r>
      <w:r>
        <w:t xml:space="preserve"> </w:t>
      </w:r>
      <w:r>
        <w:t xml:space="preserve">encodes how many tonnes the plant wants. The controller contains no</w:t>
      </w:r>
      <w:r>
        <w:t xml:space="preserve"> </w:t>
      </w:r>
      <w:r>
        <w:t xml:space="preserve">downstream model, no prices and no ore body assumptions, so it ports</w:t>
      </w:r>
      <w:r>
        <w:t xml:space="preserve"> </w:t>
      </w:r>
      <w:r>
        <w:t xml:space="preserve">across plants unchanged. Re-targeting it is a change of two numbers</w:t>
      </w:r>
      <w:r>
        <w:t xml:space="preserve"> </w:t>
      </w:r>
      <w:r>
        <w:t xml:space="preserve">rather than a re-identification.</w:t>
      </w:r>
    </w:p>
    <w:p>
      <w:pPr>
        <w:pStyle w:val="BodyText"/>
      </w:pPr>
      <w:r>
        <w:t xml:space="preserve">The interface also carries a safety and flexibility argument. Because the</w:t>
      </w:r>
      <w:r>
        <w:t xml:space="preserve"> </w:t>
      </w:r>
      <w:r>
        <w:t xml:space="preserve">mill works around the lower and safer limits rather than pushing to a</w:t>
      </w:r>
      <w:r>
        <w:t xml:space="preserve"> </w:t>
      </w:r>
      <w:r>
        <w:t xml:space="preserve">maximum, the operator or the</w:t>
      </w:r>
      <w:r>
        <w:t xml:space="preserve"> </w:t>
      </w:r>
      <w:r>
        <w:t xml:space="preserve">plant-wide layer can derate it through the same knobs, for example</w:t>
      </w:r>
      <w:r>
        <w:t xml:space="preserve"> </w:t>
      </w:r>
      <w:r>
        <w:t xml:space="preserve">capping MFS during downstream maintenance or an electrical demand event.</w:t>
      </w:r>
      <w:r>
        <w:t xml:space="preserve"> </w:t>
      </w:r>
      <w:r>
        <w:t xml:space="preserve">The controller then simply optimises energy inside the tighter envelope.</w:t>
      </w:r>
      <w:r>
        <w:t xml:space="preserve"> </w:t>
      </w:r>
      <w:r>
        <w:t xml:space="preserve">A profit-maximising mill instead works at full speed. The mill speed</w:t>
      </w:r>
      <w:r>
        <w:t xml:space="preserve"> </w:t>
      </w:r>
      <m:oMath>
        <m:sSub>
          <m:e>
            <m:r>
              <m:t>ϕ</m:t>
            </m:r>
          </m:e>
          <m:sub>
            <m:r>
              <m:t>c</m:t>
            </m:r>
          </m:sub>
        </m:sSub>
      </m:oMath>
      <w:r>
        <w:t xml:space="preserve"> </w:t>
      </w:r>
      <w:r>
        <w:t xml:space="preserve">reaches its maximum and stays there, which is not a safe</w:t>
      </w:r>
      <w:r>
        <w:t xml:space="preserve"> </w:t>
      </w:r>
      <w:r>
        <w:t xml:space="preserve">condition for continuous operation.</w:t>
      </w:r>
    </w:p>
    <w:bookmarkEnd w:id="43"/>
    <w:bookmarkStart w:id="44" w:name="X05e9b8c2944fcc454c32411c2f2af5ec6c80e33"/>
    <w:p>
      <w:pPr>
        <w:pStyle w:val="Heading2"/>
      </w:pPr>
      <w:r>
        <w:t xml:space="preserve">Two-layer EMPC as the practical embodiment</w:t>
      </w:r>
    </w:p>
    <w:p>
      <w:pPr>
        <w:pStyle w:val="FirstParagraph"/>
      </w:pPr>
      <w:r>
        <w:t xml:space="preserve">The two-layer EMPC splits the mill controller itself into two</w:t>
      </w:r>
      <w:r>
        <w:t xml:space="preserve"> </w:t>
      </w:r>
      <w:r>
        <w:t xml:space="preserve">timescales. The slow upper layer solves the economic problem inside the</w:t>
      </w:r>
      <w:r>
        <w:t xml:space="preserve"> </w:t>
      </w:r>
      <w:r>
        <w:t xml:space="preserve">interface limits. The fast lower layer tracks it. Our benchmark indicates</w:t>
      </w:r>
      <w:r>
        <w:t xml:space="preserve"> </w:t>
      </w:r>
      <w:r>
        <w:t xml:space="preserve">this costs nothing measurable in specific energy relative to the</w:t>
      </w:r>
      <w:r>
        <w:t xml:space="preserve"> </w:t>
      </w:r>
      <w:r>
        <w:t xml:space="preserve">single-layer ideal. It removes the bang-bang failure mode, reduces</w:t>
      </w:r>
      <w:r>
        <w:t xml:space="preserve"> </w:t>
      </w:r>
      <w:r>
        <w:t xml:space="preserve">computation by about a third, and retains transient responsiveness that</w:t>
      </w:r>
      <w:r>
        <w:t xml:space="preserve"> </w:t>
      </w:r>
      <w:r>
        <w:t xml:space="preserve">the classical SSRTO reference lacks. The SSRTO remains attractive for its</w:t>
      </w:r>
      <w:r>
        <w:t xml:space="preserve"> </w:t>
      </w:r>
      <w:r>
        <w:t xml:space="preserve">negligible computational cost, and its economics are within two percent</w:t>
      </w:r>
      <w:r>
        <w:t xml:space="preserve"> </w:t>
      </w:r>
      <w:r>
        <w:t xml:space="preserve">here. Its loose quality tracking between steady-state updates, however,</w:t>
      </w:r>
      <w:r>
        <w:t xml:space="preserve"> </w:t>
      </w:r>
      <w:r>
        <w:t xml:space="preserve">makes it the weakest of the three at holding the interface contract that</w:t>
      </w:r>
      <w:r>
        <w:t xml:space="preserve"> </w:t>
      </w:r>
      <w:r>
        <w:t xml:space="preserve">the modular separation depends on.</w:t>
      </w:r>
    </w:p>
    <w:bookmarkEnd w:id="44"/>
    <w:bookmarkEnd w:id="45"/>
    <w:bookmarkStart w:id="46" w:name="conclusion"/>
    <w:p>
      <w:pPr>
        <w:pStyle w:val="Heading1"/>
      </w:pPr>
      <w:r>
        <w:t xml:space="preserve">Conclusion</w:t>
      </w:r>
    </w:p>
    <w:p>
      <w:pPr>
        <w:pStyle w:val="FirstParagraph"/>
      </w:pPr>
      <w:r>
        <w:t xml:space="preserve">On a single-stage SAG circuit with identical ore, estimator and</w:t>
      </w:r>
      <w:r>
        <w:t xml:space="preserve"> </w:t>
      </w:r>
      <w:r>
        <w:t xml:space="preserve">constraints, we benchmarked three supervisory architectures under both</w:t>
      </w:r>
      <w:r>
        <w:t xml:space="preserve"> </w:t>
      </w:r>
      <w:r>
        <w:t xml:space="preserve">candidate economic objectives. Two findings stand out.</w:t>
      </w:r>
    </w:p>
    <w:p>
      <w:pPr>
        <w:pStyle w:val="BodyText"/>
      </w:pPr>
      <w:r>
        <w:t xml:space="preserve">The first is the SEC similarity. Once every requirement is made</w:t>
      </w:r>
      <w:r>
        <w:t xml:space="preserve"> </w:t>
      </w:r>
      <w:r>
        <w:t xml:space="preserve">identical, the specific energy of all six combinations converges to</w:t>
      </w:r>
      <w:r>
        <w:t xml:space="preserve"> </w:t>
      </w:r>
      <w:r>
        <w:t xml:space="preserve">within about two percent and follows the ore-hardness disturbance. With</w:t>
      </w:r>
      <w:r>
        <w:t xml:space="preserve"> </w:t>
      </w:r>
      <w:r>
        <w:t xml:space="preserve">a well-chosen optimisation, energy minimisation or a profit objective</w:t>
      </w:r>
      <w:r>
        <w:t xml:space="preserve"> </w:t>
      </w:r>
      <w:r>
        <w:t xml:space="preserve">that includes the energy term, the controller reaches the achievable</w:t>
      </w:r>
      <w:r>
        <w:t xml:space="preserve"> </w:t>
      </w:r>
      <w:r>
        <w:t xml:space="preserve">SEC. The SEC is directly correlated with the ore hardness.</w:t>
      </w:r>
      <w:r>
        <w:t xml:space="preserve"> </w:t>
      </w:r>
      <w:r>
        <w:t xml:space="preserve">None of the controllers can grind below the energy the ore demands. The</w:t>
      </w:r>
      <w:r>
        <w:t xml:space="preserve"> </w:t>
      </w:r>
      <w:r>
        <w:t xml:space="preserve">SEC distribution is therefore a property of the ore hardness</w:t>
      </w:r>
      <w:r>
        <w:t xml:space="preserve"> </w:t>
      </w:r>
      <w:r>
        <w:t xml:space="preserve">distribution rather than of the supervisory architecture or the</w:t>
      </w:r>
      <w:r>
        <w:t xml:space="preserve"> </w:t>
      </w:r>
      <w:r>
        <w:t xml:space="preserve">economic objective. Most published comparisons cannot observe this</w:t>
      </w:r>
      <w:r>
        <w:t xml:space="preserve"> </w:t>
      </w:r>
      <w:r>
        <w:t xml:space="preserve">because each controller is evaluated with its own model, estimator,</w:t>
      </w:r>
      <w:r>
        <w:t xml:space="preserve"> </w:t>
      </w:r>
      <w:r>
        <w:t xml:space="preserve">constraint set and tuning. The architectures still choose different</w:t>
      </w:r>
      <w:r>
        <w:t xml:space="preserve"> </w:t>
      </w:r>
      <w:r>
        <w:t xml:space="preserve">operating points under identical limits, so the equivalence is in energy</w:t>
      </w:r>
      <w:r>
        <w:t xml:space="preserve"> </w:t>
      </w:r>
      <w:r>
        <w:t xml:space="preserve">per tonne, not in behaviour.</w:t>
      </w:r>
    </w:p>
    <w:p>
      <w:pPr>
        <w:pStyle w:val="BodyText"/>
      </w:pPr>
      <w:r>
        <w:t xml:space="preserve">The second is the choice between profit and energy optimisation. Profit</w:t>
      </w:r>
      <w:r>
        <w:t xml:space="preserve"> </w:t>
      </w:r>
      <w:r>
        <w:t xml:space="preserve">maximisation does two things at once. It maximises throughput and</w:t>
      </w:r>
      <w:r>
        <w:t xml:space="preserve"> </w:t>
      </w:r>
      <w:r>
        <w:t xml:space="preserve">minimises energy, which is why it too reaches the achievable SEC.</w:t>
      </w:r>
      <w:r>
        <w:t xml:space="preserve"> </w:t>
      </w:r>
      <w:r>
        <w:t xml:space="preserve">Maximising throughput can be a good choice in some cases, for example</w:t>
      </w:r>
      <w:r>
        <w:t xml:space="preserve"> </w:t>
      </w:r>
      <w:r>
        <w:t xml:space="preserve">when the mill is the plant bottleneck. In general it is bad practice. It</w:t>
      </w:r>
      <w:r>
        <w:t xml:space="preserve"> </w:t>
      </w:r>
      <w:r>
        <w:t xml:space="preserve">holds feed and mill speed at their limits continuously. Liner and media</w:t>
      </w:r>
      <w:r>
        <w:t xml:space="preserve"> </w:t>
      </w:r>
      <w:r>
        <w:t xml:space="preserve">wear grow steeply with speed, liner changes are long downtime events,</w:t>
      </w:r>
      <w:r>
        <w:t xml:space="preserve"> </w:t>
      </w:r>
      <w:r>
        <w:t xml:space="preserve">and high speed at low charge throws balls directly onto the liners.</w:t>
      </w:r>
      <w:r>
        <w:t xml:space="preserve"> </w:t>
      </w:r>
      <w:r>
        <w:t xml:space="preserve">Energy minimisation is the better objective for the SAG circuit. It also</w:t>
      </w:r>
      <w:r>
        <w:t xml:space="preserve"> </w:t>
      </w:r>
      <w:r>
        <w:t xml:space="preserve">makes the mill completely modular. Once profit optimisation is removed,</w:t>
      </w:r>
      <w:r>
        <w:t xml:space="preserve"> </w:t>
      </w:r>
      <w:r>
        <w:t xml:space="preserve">the SAG mill becomes independent of the other circuits and of the plant.</w:t>
      </w:r>
      <w:r>
        <w:t xml:space="preserve"> </w:t>
      </w:r>
      <w:r>
        <w:t xml:space="preserve">Through the MFS and PSE interface it can be integrated into any plant</w:t>
      </w:r>
      <w:r>
        <w:t xml:space="preserve"> </w:t>
      </w:r>
      <w:r>
        <w:t xml:space="preserve">and any circuit. A heat map of MFS, PSE and SEC, where SEC represents</w:t>
      </w:r>
      <w:r>
        <w:t xml:space="preserve"> </w:t>
      </w:r>
      <w:r>
        <w:t xml:space="preserve">the ore hardness, defines the best working regions. Such maps summarise</w:t>
      </w:r>
      <w:r>
        <w:t xml:space="preserve"> </w:t>
      </w:r>
      <w:r>
        <w:t xml:space="preserve">the dynamic model and can be used in complex plant-wide calculations.</w:t>
      </w:r>
    </w:p>
    <w:p>
      <w:pPr>
        <w:pStyle w:val="BodyText"/>
      </w:pPr>
      <w:r>
        <w:t xml:space="preserve">This suggests a direction for real-time optimisation practice. At the</w:t>
      </w:r>
      <w:r>
        <w:t xml:space="preserve"> </w:t>
      </w:r>
      <w:r>
        <w:t xml:space="preserve">plant-wide level, economic calculations run together with planning and</w:t>
      </w:r>
      <w:r>
        <w:t xml:space="preserve"> </w:t>
      </w:r>
      <w:r>
        <w:t xml:space="preserve">scheduling information, and steady-state calculations are the practical</w:t>
      </w:r>
      <w:r>
        <w:t xml:space="preserve"> </w:t>
      </w:r>
      <w:r>
        <w:t xml:space="preserve">choice. At the circuit level, transient operation can be exploited</w:t>
      </w:r>
      <w:r>
        <w:t xml:space="preserve"> </w:t>
      </w:r>
      <w:r>
        <w:t xml:space="preserve">through EMPC with an objective consistent with the plant objective.</w:t>
      </w:r>
      <w:r>
        <w:t xml:space="preserve"> </w:t>
      </w:r>
      <w:r>
        <w:t xml:space="preserve">Forcing the same states and the same optimisation onto both levels can</w:t>
      </w:r>
      <w:r>
        <w:t xml:space="preserve"> </w:t>
      </w:r>
      <w:r>
        <w:t xml:space="preserve">be bad practice. It is worth remembering that the classic SSRTO applies</w:t>
      </w:r>
      <w:r>
        <w:t xml:space="preserve"> </w:t>
      </w:r>
      <w:r>
        <w:t xml:space="preserve">the steady-state assumption at both levels and waits too long for the</w:t>
      </w:r>
      <w:r>
        <w:t xml:space="preserve"> </w:t>
      </w:r>
      <w:r>
        <w:t xml:space="preserve">plant to settle.</w:t>
      </w:r>
    </w:p>
    <w:p>
      <w:pPr>
        <w:pStyle w:val="BodyText"/>
      </w:pPr>
      <w:r>
        <w:t xml:space="preserve">This study is an early stage of an ongoing research program. We kept</w:t>
      </w:r>
      <w:r>
        <w:t xml:space="preserve"> </w:t>
      </w:r>
      <w:r>
        <w:t xml:space="preserve">its scope deliberately small so that the comparison stayed clean. All</w:t>
      </w:r>
      <w:r>
        <w:t xml:space="preserve"> </w:t>
      </w:r>
      <w:r>
        <w:t xml:space="preserve">runs use one synthetic ore realisation, a single 218 h protocol, and</w:t>
      </w:r>
      <w:r>
        <w:t xml:space="preserve"> </w:t>
      </w:r>
      <w:r>
        <w:t xml:space="preserve">fixed plant and economic parameters. Only the two ore hardness</w:t>
      </w:r>
      <w:r>
        <w:t xml:space="preserve"> </w:t>
      </w:r>
      <w:r>
        <w:t xml:space="preserve">parameters vary. Slowly varying effects such as liner wear are left</w:t>
      </w:r>
      <w:r>
        <w:t xml:space="preserve"> </w:t>
      </w:r>
      <w:r>
        <w:t xml:space="preserve">for future work. Efforts to obtain representative plant data are</w:t>
      </w:r>
      <w:r>
        <w:t xml:space="preserve"> </w:t>
      </w:r>
      <w:r>
        <w:t xml:space="preserve">ongoing. The next steps are to calibrate the model against historical</w:t>
      </w:r>
      <w:r>
        <w:t xml:space="preserve"> </w:t>
      </w:r>
      <w:r>
        <w:t xml:space="preserve">operating data and to run longer, more varied scenarios so the</w:t>
      </w:r>
      <w:r>
        <w:t xml:space="preserve"> </w:t>
      </w:r>
      <w:r>
        <w:t xml:space="preserve">architectures can be separated with statistical confidence.</w:t>
      </w:r>
    </w:p>
    <w:bookmarkEnd w:id="46"/>
    <w:bookmarkStart w:id="47" w:name="acknowledgment"/>
    <w:p>
      <w:pPr>
        <w:pStyle w:val="Heading1"/>
      </w:pPr>
      <w:r>
        <w:t xml:space="preserve">Acknowledgment</w:t>
      </w:r>
    </w:p>
    <w:p>
      <w:pPr>
        <w:pStyle w:val="FirstParagraph"/>
      </w:pPr>
      <w:r>
        <w:t xml:space="preserve">This work is supported by a Curtin University research scholarship.</w:t>
      </w:r>
    </w:p>
    <w:p>
      <w:pPr>
        <w:pStyle w:val="BodyText"/>
      </w:pPr>
      <w:r>
        <w:t xml:space="preserve">00</w:t>
      </w:r>
      <w:r>
        <w:t xml:space="preserve"> </w:t>
      </w:r>
      <w:r>
        <w:t xml:space="preserve">J. D. le Roux, I. K. Craig, D. G. Hulbert, and A. L.</w:t>
      </w:r>
      <w:r>
        <w:t xml:space="preserve"> </w:t>
      </w:r>
      <w:r>
        <w:t xml:space="preserve">Hinde,</w:t>
      </w:r>
      <w:r>
        <w:t xml:space="preserve"> </w:t>
      </w:r>
      <w:r>
        <w:t xml:space="preserve">“Analysis and validation of a run-of-mine ore grinding mill</w:t>
      </w:r>
      <w:r>
        <w:t xml:space="preserve"> </w:t>
      </w:r>
      <w:r>
        <w:t xml:space="preserve">circuit model for process control,”</w:t>
      </w:r>
      <w:r>
        <w:t xml:space="preserve"> </w:t>
      </w:r>
      <w:r>
        <w:rPr>
          <w:i/>
          <w:iCs/>
        </w:rPr>
        <w:t xml:space="preserve">Minerals Engineering</w:t>
      </w:r>
      <w:r>
        <w:t xml:space="preserve">, vol.</w:t>
      </w:r>
      <w:r>
        <w:t xml:space="preserve"> </w:t>
      </w:r>
      <w:r>
        <w:t xml:space="preserve">43–44, pp. 121–134, 2013.</w:t>
      </w:r>
      <w:r>
        <w:t xml:space="preserve"> </w:t>
      </w:r>
      <w:r>
        <w:t xml:space="preserve">J. D. le Roux and I. K. Craig,</w:t>
      </w:r>
      <w:r>
        <w:t xml:space="preserve"> </w:t>
      </w:r>
      <w:r>
        <w:t xml:space="preserve">“Plant-wide control</w:t>
      </w:r>
      <w:r>
        <w:t xml:space="preserve"> </w:t>
      </w:r>
      <w:r>
        <w:t xml:space="preserve">framework for a grinding mill circuit,”</w:t>
      </w:r>
      <w:r>
        <w:t xml:space="preserve"> </w:t>
      </w:r>
      <w:r>
        <w:rPr>
          <w:i/>
          <w:iCs/>
        </w:rPr>
        <w:t xml:space="preserve">Industrial and Engineering</w:t>
      </w:r>
      <w:r>
        <w:rPr>
          <w:i/>
          <w:iCs/>
        </w:rPr>
        <w:t xml:space="preserve"> </w:t>
      </w:r>
      <w:r>
        <w:rPr>
          <w:i/>
          <w:iCs/>
        </w:rPr>
        <w:t xml:space="preserve">Chemistry Research</w:t>
      </w:r>
      <w:r>
        <w:t xml:space="preserve">, vol. 58, pp. 11585–11600, 2019.</w:t>
      </w:r>
      <w:r>
        <w:t xml:space="preserve"> </w:t>
      </w:r>
      <w:r>
        <w:t xml:space="preserve">A. Thivierge, J. Bouchard, and A. Desbiens,</w:t>
      </w:r>
      <w:r>
        <w:t xml:space="preserve"> </w:t>
      </w:r>
      <w:r>
        <w:t xml:space="preserve">“Comparing economic model predictive control to basic and advanced</w:t>
      </w:r>
      <w:r>
        <w:t xml:space="preserve"> </w:t>
      </w:r>
      <w:r>
        <w:t xml:space="preserve">regulatory control on a simulated HPGR, ball mill, and flotation</w:t>
      </w:r>
      <w:r>
        <w:t xml:space="preserve"> </w:t>
      </w:r>
      <w:r>
        <w:t xml:space="preserve">circuit,”</w:t>
      </w:r>
      <w:r>
        <w:t xml:space="preserve"> </w:t>
      </w:r>
      <w:r>
        <w:rPr>
          <w:i/>
          <w:iCs/>
        </w:rPr>
        <w:t xml:space="preserve">Journal of Process Control</w:t>
      </w:r>
      <w:r>
        <w:t xml:space="preserve">, vol. 122, pp. 159–171,</w:t>
      </w:r>
      <w:r>
        <w:t xml:space="preserve"> </w:t>
      </w:r>
      <w:r>
        <w:t xml:space="preserve">2023.</w:t>
      </w:r>
      <w:r>
        <w:t xml:space="preserve"> </w:t>
      </w:r>
      <w:r>
        <w:t xml:space="preserve">J. D. le Roux and C. W. Steyn,</w:t>
      </w:r>
      <w:r>
        <w:t xml:space="preserve"> </w:t>
      </w:r>
      <w:r>
        <w:t xml:space="preserve">“Validation of a</w:t>
      </w:r>
      <w:r>
        <w:t xml:space="preserve"> </w:t>
      </w:r>
      <w:r>
        <w:t xml:space="preserve">dynamic non-linear grinding circuit model for process control,”</w:t>
      </w:r>
      <w:r>
        <w:t xml:space="preserve"> </w:t>
      </w:r>
      <w:r>
        <w:rPr>
          <w:i/>
          <w:iCs/>
        </w:rPr>
        <w:t xml:space="preserve">Minerals Engineering</w:t>
      </w:r>
      <w:r>
        <w:t xml:space="preserve">, vol. 187, p. 107780, 2022.</w:t>
      </w:r>
      <w:r>
        <w:t xml:space="preserve"> </w:t>
      </w:r>
      <w:r>
        <w:t xml:space="preserve">J. D. le Roux, A. Steinboeck, A. Kugi, and I. K.</w:t>
      </w:r>
      <w:r>
        <w:t xml:space="preserve"> </w:t>
      </w:r>
      <w:r>
        <w:t xml:space="preserve">Craig,</w:t>
      </w:r>
      <w:r>
        <w:t xml:space="preserve"> </w:t>
      </w:r>
      <w:r>
        <w:t xml:space="preserve">“An extended Kalman filter observer to estimate the hold-ups of a</w:t>
      </w:r>
      <w:r>
        <w:t xml:space="preserve"> </w:t>
      </w:r>
      <w:r>
        <w:t xml:space="preserve">semi-autogenous grinding mill,”</w:t>
      </w:r>
      <w:r>
        <w:t xml:space="preserve"> </w:t>
      </w:r>
      <w:r>
        <w:rPr>
          <w:i/>
          <w:iCs/>
        </w:rPr>
        <w:t xml:space="preserve">Journal of Process Control</w:t>
      </w:r>
      <w:r>
        <w:t xml:space="preserve">, vol.</w:t>
      </w:r>
      <w:r>
        <w:t xml:space="preserve"> </w:t>
      </w:r>
      <w:r>
        <w:t xml:space="preserve">51, pp. 27–41, 2017.</w:t>
      </w:r>
      <w:r>
        <w:t xml:space="preserve"> </w:t>
      </w:r>
      <w:r>
        <w:t xml:space="preserve">J. Matias, J. P. C. Oliveira, J. D. le Roux, and J.</w:t>
      </w:r>
      <w:r>
        <w:t xml:space="preserve"> </w:t>
      </w:r>
      <w:r>
        <w:t xml:space="preserve">Jäschke,</w:t>
      </w:r>
      <w:r>
        <w:t xml:space="preserve"> </w:t>
      </w:r>
      <w:r>
        <w:t xml:space="preserve">“Steady-state real-time optimization using transient</w:t>
      </w:r>
      <w:r>
        <w:t xml:space="preserve"> </w:t>
      </w:r>
      <w:r>
        <w:t xml:space="preserve">measurements,”</w:t>
      </w:r>
      <w:r>
        <w:t xml:space="preserve"> </w:t>
      </w:r>
      <w:r>
        <w:rPr>
          <w:i/>
          <w:iCs/>
        </w:rPr>
        <w:t xml:space="preserve">Journal of Process Control</w:t>
      </w:r>
      <w:r>
        <w:t xml:space="preserve">, vol. 115, pp. 181–196,</w:t>
      </w:r>
      <w:r>
        <w:t xml:space="preserve"> </w:t>
      </w:r>
      <w:r>
        <w:t xml:space="preserve">2022.</w:t>
      </w:r>
      <w:r>
        <w:t xml:space="preserve"> </w:t>
      </w:r>
      <w:r>
        <w:t xml:space="preserve">M. Ellis, J. Liu, and P. D. Christofides,</w:t>
      </w:r>
      <w:r>
        <w:t xml:space="preserve"> </w:t>
      </w:r>
      <w:r>
        <w:rPr>
          <w:i/>
          <w:iCs/>
        </w:rPr>
        <w:t xml:space="preserve">Economic Model Predictive Control: Theory, Formulations and Chemical</w:t>
      </w:r>
      <w:r>
        <w:rPr>
          <w:i/>
          <w:iCs/>
        </w:rPr>
        <w:t xml:space="preserve"> </w:t>
      </w:r>
      <w:r>
        <w:rPr>
          <w:i/>
          <w:iCs/>
        </w:rPr>
        <w:t xml:space="preserve">Process Applications</w:t>
      </w:r>
      <w:r>
        <w:t xml:space="preserve">. Springer, 2017.</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1" Target="media/rId21.png" /><Relationship Type="http://schemas.openxmlformats.org/officeDocument/2006/relationships/image" Id="rId28" Target="media/rId28.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Modular Energy-Minimising Economic MPC for a Single-Stage SAG Grinding Mill: Decoupling Mill Control from Plant-Wide Economics</dc:title>
  <dc:creator>; ; ; </dc:creator>
  <cp:keywords/>
  <dcterms:created xsi:type="dcterms:W3CDTF">2026-07-24T04:53:30Z</dcterms:created>
  <dcterms:modified xsi:type="dcterms:W3CDTF">2026-07-24T04:53:30Z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Grinding is the largest energy consumer in a mineral concentrator, so the choice of economic objective for a semi-autogenous grinding (SAG) mill controller matters both economically and structurally. This paper compares the two candidate objectives, profit maximisation and energy minimisation, across three supervisory architectures on a single-stage SAG circuit. The architectures are a classical steady-state RTO over three PI loops (SSRTO+3PI, the industrial reference), a two-layer economic MPC, and a single-layer economic MPC. All six combinations run on identical synthetic ore-hardness realisations, an identical product-size floor, and a common augmented extended Kalman filter, over a 218 h transient protocol. Such a like-for-like comparison is rarely attempted. Published architectures each come with their own model, estimator, constraint set and tuning, so reported differences confound the control structure with its configuration. Two results stand out. First, at a matched product-size floor, the specific energy of all architectures and both objectives clusters within about two percent and follows the ore-hardness disturbance. A well-chosen optimisation reaches the achievable SEC, and the SEC is set by the ore hardness and the quality floor, not by the architecture or the objective. Second, both objectives reach the same specific energy. Profit optimisation suits the plant-wide level, and energy minimisation suits the SAG mill level. Energy minimisation avoids saturated feed and speed, keeps the mill near its safer lower limits, and supports operator derating. Through the feed-demand and product-size interface it gives the mill full modularity, so the SAG controller does not implement the economic optimisation of the other circuits. Among the architectures, the two-layer EMPC combines smooth actuation with about a third less computation than the single-layer EMPC, making it our main candidate. These are early-stage results on a synthetic plant, obtained within a deliberately contained simulation scope. Calibration against operating plant data is ongoing.</vt:lpwstr>
  </property>
</Properties>
</file>