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D4D4D"/>
          <w:sz w:val="48"/>
          <w:szCs w:val="48"/>
        </w:rPr>
        <w:t xml:space="preserve">Website-Analyse nikos.audio</w:t>
      </w:r>
    </w:p>
    <w:p>
      <w:pPr>
        <w:spacing w:after="40"/>
      </w:pPr>
      <w:r>
        <w:rPr>
          <w:color w:val="595959"/>
          <w:sz w:val="24"/>
          <w:szCs w:val="24"/>
        </w:rPr>
        <w:t xml:space="preserve">Konsistenz- und Vollständigkeitsprüfung gegen Brand Identity &amp; Marketing-/Vertriebsstrategie</w:t>
      </w:r>
    </w:p>
    <w:p>
      <w:pPr>
        <w:pBdr>
          <w:bottom w:val="single" w:color="FF6600" w:sz="18" w:space="6"/>
        </w:pBdr>
        <w:spacing w:after="120"/>
      </w:pPr>
      <w:r>
        <w:rPr>
          <w:color w:val="999999"/>
          <w:sz w:val="20"/>
          <w:szCs w:val="20"/>
        </w:rPr>
        <w:t xml:space="preserve">RADACOM GmbH · NIKOS-Plattform</w:t>
      </w:r>
    </w:p>
    <w:p>
      <w:pPr>
        <w:spacing w:after="120"/>
      </w:pPr>
      <w:r>
        <w:rPr>
          <w:b/>
          <w:bCs/>
          <w:color w:val="595959"/>
          <w:sz w:val="20"/>
          <w:szCs w:val="20"/>
        </w:rPr>
        <w:t xml:space="preserve">Geprüfter Stand: </w:t>
      </w:r>
      <w:r>
        <w:rPr>
          <w:color w:val="595959"/>
          <w:sz w:val="20"/>
          <w:szCs w:val="20"/>
        </w:rPr>
        <w:t xml:space="preserve">site/ (15 HTML-Seiten, Stand 15.06.2026)   ·   </w:t>
      </w:r>
      <w:r>
        <w:rPr>
          <w:b/>
          <w:bCs/>
          <w:color w:val="595959"/>
          <w:sz w:val="20"/>
          <w:szCs w:val="20"/>
        </w:rPr>
        <w:t xml:space="preserve">Referenzdokumente: </w:t>
      </w:r>
      <w:r>
        <w:rPr>
          <w:color w:val="595959"/>
          <w:sz w:val="20"/>
          <w:szCs w:val="20"/>
        </w:rPr>
        <w:t xml:space="preserve">Brand Identity &amp; Design System (Mai 2026), Marketing- &amp; Vertriebsstrategie (Mai 2026)</w:t>
      </w:r>
    </w:p>
    <w:p>
      <w:pPr>
        <w:pStyle w:val="Heading2"/>
      </w:pPr>
      <w:r>
        <w:t xml:space="preserve">Vorbemerkung zum Prüfumfang</w:t>
      </w:r>
    </w:p>
    <w:p>
      <w:pPr>
        <w:spacing w:after="120"/>
      </w:pPr>
      <w:r>
        <w:t xml:space="preserve">Die geprüfte Website ist eindeutig die Produktplattform nikos.audio (Canonical-URLs, og:url und Domain-Selbstreferenzen verweisen durchgängig auf https://nikos.audio/). Sie ist damit nur eine der beiden in der Strategie definierten Plattformen. Die Dachmarken-Website radacom.de war nicht Teil der Freigabe und konnte nicht geprüft werden. Aussagen zur Zwei-Plattform-Architektur beziehen sich deshalb ausschließlich auf die nikos.audio-Hälfte.</w:t>
      </w:r>
    </w:p>
    <w:p>
      <w:pPr>
        <w:spacing w:after="120"/>
      </w:pPr>
      <w:r>
        <w:t xml:space="preserve">Die Bewertung erfolgt als Soll-Ist-Abgleich: SOLL = die beiden verbindlichen Masterfiles; IST = der ausgelesene HTML-/CSS-/JS-Code der Website. Geprüft wurde der Quelltext, kein gerendertes Live-Bild – Aussagen zu visueller Wirkung sind entsprechend als codebasiert gekennzeichnet.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Klarstellungen des Auftraggebers (berücksichtigt): Die Angabe „25+ Jahre“ bezieht sich auf die Branchen-Erfahrung der Geschäftsführer, „10 Jahre“ auf das Produkt – beides ist also kein Widerspruch. Die festgestellten Farb- und Layout-Abweichungen gegenüber der Brand Identity haben sich aus Praxistests ergeben und sollen bewusst erhalten bleiben. Diese Punkte sind im Folgenden entsprechend als gewollte Abweichungen markiert; die Empfehlung lautet hier, die Vorgabedokumente nachzuziehen, damit Doku und Praxis wieder übereinstimmen.</w:t>
      </w:r>
    </w:p>
    <w:p>
      <w:pPr>
        <w:pStyle w:val="Heading1"/>
      </w:pPr>
      <w:r>
        <w:t xml:space="preserve">1  Gesamtbewertung</w:t>
      </w:r>
    </w:p>
    <w:p>
      <w:pPr>
        <w:spacing w:after="120"/>
      </w:pPr>
      <w:r>
        <w:t xml:space="preserve">Die Website ist inhaltlich weit fortgeschritten, technisch sauber gebaut (vollständige DE/EN-Zweisprachigkeit, keine toten internen Links, konsistente Footer-/Cookie-Architektur, korrekte Canonicals) und transportiert die strategische Kernbotschaft überzeugend. Die UVP „Umverteilung statt Mehrkosten“, die vollständige Autarkie und das Alltag-plus-Notfall-Prinzip sind klar und prominent platziert.</w:t>
      </w:r>
    </w:p>
    <w:p>
      <w:pPr>
        <w:spacing w:after="120"/>
      </w:pPr>
      <w:r>
        <w:t xml:space="preserve">Gleichzeitig gibt es einen schwerwiegenden Brand-Verstoß (NIKOS-Claim weiß auf Foto-Hero) sowie mehrere mittelschwere Inkonsistenzen gegenüber den im Mai 2026 aktualisierten Vorgaben (veraltetes Farbtoken, abweichende Zahlen, erweiterte Anwendungslisten, unscharfe Plattform-Rollentrennung). Diese sind sämtlich behebbar, sollten aber vor einem Launch adressiert werden.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Bewertung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Kurzbegründung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Inhaltliche Vollständigkeit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MITTEL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Kernbotschaften vollständig; einige Module ([energy]², [powercheck]², [led]², [RJ45]²) auf Produktseite nicht eigenständig dargestellt; Lead-Magnet referenziert, aber Funnel-Endpunkt (n8n) noch Platzhalter.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Brand-Konformität (Form/Stil)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MITTEL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Fonts, Orange-Stripe, Modulschreibweise korrekt. Farb-/Layout-Abweichungen (Grautöne, Token) sind laut Auftraggeber bewusst aus Praxistests gewählt und sollen bleiben – offen bleibt nur die Claim-Darstellung weiß auf Foto (widerspricht einer ausdrücklichen Pflichtregel).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Strategie-Konformität (Inhalt)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MITTEL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Positionierung &amp; UVP gut getroffen. Plattform-Rollentrennung (technisch/rational für nikos.audio) nicht konsequent. Erfahrungszahlen vom Auftraggeber als korrekt bestätigt (GF-Branchenerfahrung vs. Produktalter).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Tonalität / Zielgruppenfit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MITTEL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Technische Zielgruppen gut bedient; Entscheider-/emotionale Ansprache überlagert teils die für nikos.audio vorgesehene rationale Rolle.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Technische Umsetzung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Saubere Zweisprachigkeit, valide Links, SEO-Grundausstattung vorhanden. Keine kritischen Mängel im Code festgestellt.</w:t>
            </w:r>
          </w:p>
        </w:tc>
      </w:tr>
    </w:tbl>
    <w:p>
      <w:pPr>
        <w:pStyle w:val="Heading1"/>
      </w:pPr>
      <w:r>
        <w:t xml:space="preserve">2  Form &amp; Stil – Abgleich mit Brand Identity</w:t>
      </w:r>
    </w:p>
    <w:p>
      <w:pPr>
        <w:pStyle w:val="Heading2"/>
      </w:pPr>
      <w:r>
        <w:t xml:space="preserve">2.1  Konform umgesetzt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Schrift-Stack: Source Sans 3 (Fließtext/Headings) und Exo 2 (Claim/Key Visual) korrekt eingesetzt; Eurostile wird nicht als Web-Font missbraucht. Der vermeintliche „Inter“-Treffer war ein Fehlalarm (Substring von „Internet“/„Interesse“).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Orange-Token #FF6600 ist als CSS-Variable definiert und wird funktional (CTAs, Akzente) eingesetzt; flächige Orange-Dekoration wurde nicht gefunden.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Navigations-Stripe als 5 px border-bottom in Orange – exakt wie in der Brand Identity (7.4) gefordert.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NIKOS-Modulschreibweise NIKOS [modul] ist auf der Produktseite durchgängig korrekt (z. B. NIKOS [audio]², NIKOS [dispatcher]²).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Orange-Akzent-„o“ im Wort „Notfall“ ist als &lt;span class="o-accent"&gt;o&lt;/span&gt; umgesetzt – wie in der HTML-Referenz vorgesehen.</w:t>
      </w:r>
    </w:p>
    <w:p>
      <w:pPr>
        <w:pStyle w:val="Heading2"/>
      </w:pPr>
      <w:r>
        <w:t xml:space="preserve">2.2  Abweichungen &amp; Verstöße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060"/>
        <w:gridCol w:w="21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Befund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Soll laut Brand Identity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KRITISCH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NIKOS-Claim liegt im Hero weiß (#fff / rgba(255,255,255,.85)) über einem Foto (NIKOS-Hero4.jpg).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„Claim ausschließlich auf hellem Hintergrund (#FFFFFF/#F5F5F5). Nie invertiert, kein weißer Claim auf dunklem Grund. Hero-Hintergrund nikos.audio: #FFFFFF.“ (7.5)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Claim auf hellen Hero-Bereich verlegen; Farben Zeile 1 #595959 / Zeile 2 #4D4D4D; Foto separat platzieren.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GEWOLLT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Farbtoken #1E2A35 als --card-dark statt #2D2D2D; blaustichige Grautöne außerhalb der Palette (#253341, #1D2F49, #2E3236, #C8D0D8, #A0A8B0 u. a.).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Brand Identity nennt --card-dark = #2D2D2D und eine neutrale Graupalette (4.2/4.3).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Laut Auftraggeber bewusst aus Praxistests gewählt und beizubehalten. Empfehlung: diese Ist-Werte in die Brand Identity übernehmen, damit Doku = Praxis.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GEWOLLT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Orange-Hover-Variante #E05500; weitere Layout-Feinheiten abweichend von der Vorgabe.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Token-Disziplin: definierte Akzent-/Flächenfarben (4.3).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Als bewusste Praxis-Optimierung beibehalten; im Token-System dokumentieren.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MITTEL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Claim-Zeile 1 nur per Weiß-Opacity differenziert statt eigener Farbe.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Zeile 1 #595959 (brand-mid), Zeile 2 #4D4D4D (brand-dark). (2.2)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Folgt aus der Weiß-auf-Foto-Darstellung; mit Punkt 1 gemeinsam entscheiden.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Einordnung: Mehrere der oben genannten Farb-/Layout-Abweichungen wurden vom Auftraggeber als bewusste, praxiserprobte Entscheidungen bestätigt und sollen erhalten bleiben (Kennzeichnung „GEWOLLT“). Die Brand Identity bezeichnet sich selbst als „einzige verbindliche Referenz“; damit Doku und Umsetzung nicht auseinanderlaufen, ist die sinnvolle Konsequenz, die bewährten Ist-Werte in die Vorgabedokumente zurückzuschreiben statt die Website anzupassen. Der einzige Form-Befund, der eine ausdrückliche Pflichtregel berührt und daher eine echte Entscheidung erfordert, ist die Claim-Darstellung (siehe KRITISCH).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Anmerkung zum Claim-Font: Im Hero wird der Claim mit var(--claim) = Exo 2 gesetzt; die Brand Identity sieht den NIKOS-Claim als Eurostile-SVG vor (3.1/3.2). Falls auch dies eine bewusste Web-Entscheidung ist, ebenfalls in der Brand Identity festhalten.</w:t>
      </w:r>
    </w:p>
    <w:p>
      <w:pPr>
        <w:pStyle w:val="Heading1"/>
      </w:pPr>
      <w:r>
        <w:t xml:space="preserve">3  Inhalt &amp; Botschaften – Abgleich mit Marketing-/Vertriebsstrategie</w:t>
      </w:r>
    </w:p>
    <w:p>
      <w:pPr>
        <w:pStyle w:val="Heading2"/>
      </w:pPr>
      <w:r>
        <w:t xml:space="preserve">3.1  Strategiekonform umgesetzt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UVP „Umverteilung statt Mehrkosten“ ist wörtlich und prominent auf der Startseite präsent.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Drei UVP-Pfeiler (Kostenneutralität/Synergie, vollständige Autarkie, Kompaktheit/Flexibilität) sind als „drei Prinzipien“ klar aufbereitet.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Preisdisziplin eingehalten: keine konkreten Preisangaben gefunden; Kommunikation über Synergien.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NIKOS-Hauptnarrativ „Für den Alltag gedacht. Für den Notfall gemacht.“ und die Alltag/Notfall-Logik sind durchgängig erzählt.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Referenzen decken die Strategie-Liste ab (Oktoberfest, Karneval der Kulturen, Fanmeile/EM, BMW, Bad Kissingen/Rakoczy als Praxis-Video).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Normkonformität DIN EN 50849 sowie Notbeleuchtungs-Normen (DIN EN 1838) werden auf der Systemseite ausgewiesen.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Lead-Magnet „20 Beispiele, wie NIKOS Kosten spart“ ist auf Startseite und Downloads referenziert.</w:t>
      </w:r>
    </w:p>
    <w:p>
      <w:pPr>
        <w:pStyle w:val="Heading2"/>
      </w:pPr>
      <w:r>
        <w:t xml:space="preserve">3.2  Inhaltliche Inkonsistenzen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3260"/>
        <w:gridCol w:w="21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Befund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Soll laut Strategie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Hero nennt „25+ Jahre Erfahrung“ und „150+ Einsätze“.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Strategie nennt „zehn Jahre Markterfahrung“ und „Prototypen seit 2016“ (1.1).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Vom Auftraggeber bestätigt: 25+ Jahre = Branchen-Erfahrung der Geschäftsführer, 10 Jahre = Produkt. Kein Widerspruch. Empfehlung: Bezug auf der Seite kurz kenntlich machen (z. B. „der Geschäftsführer“), um Missverständnisse bei Behörden zu vermeiden.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MITTEL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Plattform-Rollentrennung unscharf: nikos.audio nutzt emotionale/narrative Hero-Headlines („Viele Anwendungen. Eine Lösung.“, „Ein System für alle Fälle.“) und Vertrauens-/Entscheider-Ansprache.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nikos.audio = rational, technisch, präzise, für Techniker/Planer/Partner; emotional/narrativ ist radacom.de zugeordnet (1.3).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Tonalität schärfen oder Rollentrennung bewusst aufweichen und dokumentieren.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MITTEL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Anwendungsliste erweitert (12+: u. a. Gedenkveranstaltung, Jubiläumsfeier, Sportevent, Parkfest/Gartenschau).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8 Kern-Anwendungen definiert (Festival, Volksfest, Stadtfest, Weihnachtsmarkt, Festumzug, Firmenveranstaltung, Baustelle/Industrie, Krisenlage) (4.1).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Erweiterung bewusst freigeben und in Strategie nachziehen, oder auf Kernliste fokussieren.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MITTEL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Module [energy]², [powercheck]², [led]², [RJ45]² erscheinen auf der Produktseite nicht als eigenständige Einträge.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Modulliste (4.3) führt diese als reguläre NIKOS-Module.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Vollständigkeit prüfen; fehlende Module ergänzen oder Auswahl begründen.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GERING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NIKOS wird als „Notfall Informations- &amp; Kommunikations System“ ausgeschrieben.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Weder Brand- noch Strategie-Masterfile definiert dieses Akronym.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Akronym in Brand/Strategie verankern oder Formulierung entfernen.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GERING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Funnel-Endpunkt (n8n-Webhook) ist Platzhalter (leer); Formulare senden nicht.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Lead-Prozess: Formular → n8n → Brevo Double-Opt-in → CRM (5.1).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Vor Launch Webhook-URL setzen und End-to-End testen.</w:t>
            </w:r>
          </w:p>
        </w:tc>
      </w:tr>
    </w:tbl>
    <w:p>
      <w:pPr>
        <w:pStyle w:val="Heading1"/>
      </w:pPr>
      <w:r>
        <w:t xml:space="preserve">4  Bewertung aus Sicht der Zielgruppen</w:t>
      </w:r>
    </w:p>
    <w:p>
      <w:pPr>
        <w:spacing w:after="120"/>
      </w:pPr>
      <w:r>
        <w:t xml:space="preserve">Die Strategie definiert vier Zielgruppen (Veranstalter, Planer, Behörden, technische Dienstleister) plus die nikos.audio-Primärgruppen Techniker/Planer/Partner. Nachfolgend die kritische Bewertung, wie gut die Website jede Gruppe abholt.</w:t>
      </w:r>
    </w:p>
    <w:p>
      <w:pPr>
        <w:pStyle w:val="Heading3"/>
      </w:pPr>
      <w:r>
        <w:t xml:space="preserve">Veranstalter</w:t>
      </w:r>
    </w:p>
    <w:p>
      <w:pPr>
        <w:spacing w:after="120"/>
      </w:pPr>
      <w:r>
        <w:t xml:space="preserve">Gut: Einsparpotenzial und Sicherheitsniveau werden adressiert, das Praxis-Video (Rakoczy-Fest) ist ein starker Vertrauensbeweis. Kritisch: Veranstalter sind laut Strategie primär auf radacom.de zu führen; auf nikos.audio landen sie in einer technisch dichteren Umgebung. Die emotionale Hero-Ansprache hilft ihnen zwar, steht aber im Widerspruch zur Plattform-Logik. Der Weg zum konkreten nächsten Schritt (Lead-Magnet) ist da, aber der Funnel sendet noch nicht.</w:t>
      </w:r>
    </w:p>
    <w:p>
      <w:pPr>
        <w:pStyle w:val="Heading3"/>
      </w:pPr>
      <w:r>
        <w:t xml:space="preserve">Planer / Fachplaner</w:t>
      </w:r>
    </w:p>
    <w:p>
      <w:pPr>
        <w:spacing w:after="120"/>
      </w:pPr>
      <w:r>
        <w:t xml:space="preserve">Gut: Eigene Downloads-Seite „Unterlagen für Fachplaner und Techniker“, Normbezüge (DIN EN 50849/1838), modulare Systemlogik – das trifft den Bedarf nach Dokumentierbarkeit. Kritisch: Ausschreibungstexte sind laut Strategie „ausstehend“; fehlen sie real, ist die wichtigste Planer-Conversion unvollständig. Datenblätter sollten vollständig und frei zugänglich sein.</w:t>
      </w:r>
    </w:p>
    <w:p>
      <w:pPr>
        <w:pStyle w:val="Heading3"/>
      </w:pPr>
      <w:r>
        <w:t xml:space="preserve">Behörden</w:t>
      </w:r>
    </w:p>
    <w:p>
      <w:pPr>
        <w:spacing w:after="120"/>
      </w:pPr>
      <w:r>
        <w:t xml:space="preserve">Gut: Worst-Case-/Krisenlage-Szenario, vollständige Autarkie und Dokumentationsfähigkeit werden klar herausgestellt; staatliche Referenzen (Tag der Deutschen Einheit) zahlen auf Seriosität ein. Kritisch: Behörden erwarten maximale Nüchternheit und Nachweise – die teils werbliche, emotionale Tonalität kann Vertrauensabschläge erzeugen. Die Angabe „25+ Jahre“ ist korrekt (GF-Branchenerfahrung), sollte aber zur Vermeidung von Fehldeutungen kurz im Bezug klargestellt werden; Aussagen wie „Innovations- und Marktführer“ wirken vor Behörden stärker, wenn sie belegt sind.</w:t>
      </w:r>
    </w:p>
    <w:p>
      <w:pPr>
        <w:pStyle w:val="Heading3"/>
      </w:pPr>
      <w:r>
        <w:t xml:space="preserve">Technische Dienstleister / Partner</w:t>
      </w:r>
    </w:p>
    <w:p>
      <w:pPr>
        <w:spacing w:after="120"/>
      </w:pPr>
      <w:r>
        <w:t xml:space="preserve">Gut: Dedizierte Seiten „NIKOS-Partner werden“, „Vermietung über Partner“, Partnerkarte und Login-Portal – das Partnermodell ist auf der Website strukturell sehr gut abgebildet und übertrifft die Strategie-Vorgaben sogar. Kritisch: Das Login-Portal hat keine H1 (SEO/Struktur), und die Regionalschutz-/Konditionen-Versprechen sollten mit konkreten Inhalten hinterlegt sein, damit die Partnergewinnung (akut: Norddeutschland/Österreich) trägt.</w:t>
      </w:r>
    </w:p>
    <w:p>
      <w:pPr>
        <w:pStyle w:val="Heading3"/>
      </w:pPr>
      <w:r>
        <w:t xml:space="preserve">Techniker (nikos.audio-Primärgruppe)</w:t>
      </w:r>
    </w:p>
    <w:p>
      <w:pPr>
        <w:spacing w:after="120"/>
      </w:pPr>
      <w:r>
        <w:t xml:space="preserve">Gut: Systemseite mit Funktionslogik (DMR-Digitalfunk, dispatcher/audio-Zusammenspiel, 16 h Akku, &lt;10 min einsatzbereit) bedient die rationale Erwartung präzise. Kritisch: Diese starke technische Tiefe wird durch die emotionalere Gesamtinszenierung teilweise verwässert. Für diese Gruppe wäre die in der Strategie vorgesehene rationale Konsequenz das größte Plus.</w:t>
      </w:r>
    </w:p>
    <w:p>
      <w:pPr>
        <w:pStyle w:val="Heading1"/>
      </w:pPr>
      <w:r>
        <w:t xml:space="preserve">5  Empfohlene Maßnahmen nach Priorität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Bezug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Claim-Darstellung entscheiden: Weiß-auf-Foto widerspricht der Pflichtregel. Entweder Claim auf hellen Bereich (#FFFFFF/#F5F5F5, Farben #595959/#4D4D4D) verlegen – oder, falls die Foto-Variante bewusst gewollt ist, die Pflichtregel in der Brand Identity ändern.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Brand 7.5 / 2.2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Funnel scharfstellen: n8n-Webhook setzen, Double-Opt-in End-to-End testen.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Strategie 5.1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Plattform-Rollentrennung entscheiden: nikos.audio rationaler schärfen oder Abweichung dokumentieren.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Strategie 1.3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Modul-Vollständigkeit &amp; Anwendungsliste mit Strategie synchronisieren; Ausschreibungstexte/Datenblätter vervollständigen.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Strategie 4.1–4.3 / 5.2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Doku angleichen: bewusst gewählte Praxis-Farben/-Layouts (Grautöne, --card-dark, Hover-Token) in die Brand Identity zurückschreiben, damit sie verbindlich bleibt.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Brand 4.2 / 4.3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Detail: H1 auf Login-Seite, Erfahrungs-Bezug („25+ Jahre der GF“) kurz kenntlich machen, NIKOS-Akronym verankern oder streichen.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D4D4D"/>
                <w:sz w:val="20"/>
                <w:szCs w:val="20"/>
              </w:rPr>
              <w:t xml:space="preserve">Diverse</w:t>
            </w:r>
          </w:p>
        </w:tc>
      </w:tr>
    </w:tbl>
    <w:p>
      <w:r>
        <w:t xml:space="preserve"/>
      </w:r>
    </w:p>
    <w:p>
      <w:pPr>
        <w:pBdr>
          <w:top w:val="single" w:color="CCCCCC" w:sz="6" w:space="6"/>
        </w:pBdr>
        <w:spacing w:before="120"/>
      </w:pPr>
      <w:r>
        <w:rPr>
          <w:i/>
          <w:iCs/>
          <w:color w:val="999999"/>
          <w:sz w:val="18"/>
          <w:szCs w:val="18"/>
        </w:rPr>
        <w:t xml:space="preserve">Hinweis: Die Analyse basiert auf dem Quelltext der Website und den beiden Masterfiles vom Mai 2026. Sie ersetzt keine Live-/Render-Prüfung im Browser und keine inhaltliche Faktenprüfung der Referenzangaben.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RADACOM GmbH · Website-Analyse nikos.audio · Seite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4D4D4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6600" w:sz="8" w:space="4"/>
      </w:pBdr>
      <w:spacing w:after="160" w:before="300"/>
      <w:outlineLvl w:val="0"/>
    </w:pPr>
    <w:rPr>
      <w:rFonts w:ascii="Source Sans 3" w:cs="Source Sans 3" w:eastAsia="Source Sans 3" w:hAnsi="Source Sans 3"/>
      <w:b/>
      <w:bCs/>
      <w:color w:val="4D4D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Source Sans 3" w:cs="Source Sans 3" w:eastAsia="Source Sans 3" w:hAnsi="Source Sans 3"/>
      <w:b/>
      <w:bCs/>
      <w:color w:val="4D4D4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Source Sans 3" w:cs="Source Sans 3" w:eastAsia="Source Sans 3" w:hAnsi="Source Sans 3"/>
      <w:b/>
      <w:bCs/>
      <w:color w:val="FF66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RADACOM Website-Analyse</dc:creator>
  <cp:lastModifiedBy>Un-named</cp:lastModifiedBy>
  <cp:revision>1</cp:revision>
  <dcterms:created xsi:type="dcterms:W3CDTF">2026-06-15T08:33:09.896Z</dcterms:created>
  <dcterms:modified xsi:type="dcterms:W3CDTF">2026-06-15T08:33:09.897Z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