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D4D4D"/>
          <w:sz w:val="48"/>
          <w:szCs w:val="48"/>
        </w:rPr>
        <w:t xml:space="preserve">Website-Analyse nikos.audio</w:t>
      </w:r>
    </w:p>
    <w:p>
      <w:pPr>
        <w:spacing w:after="40"/>
      </w:pPr>
      <w:r>
        <w:rPr>
          <w:color w:val="595959"/>
          <w:sz w:val="24"/>
          <w:szCs w:val="24"/>
        </w:rPr>
        <w:t xml:space="preserve">Konsistenz- und Vollständigkeitsprüfung gegen Brand Identity &amp; Marketing-/Vertriebsstrategie</w:t>
      </w:r>
    </w:p>
    <w:p>
      <w:pPr>
        <w:pBdr>
          <w:bottom w:val="single" w:color="FF6600" w:sz="18" w:space="6"/>
        </w:pBdr>
        <w:spacing w:after="120"/>
      </w:pPr>
      <w:r>
        <w:rPr>
          <w:color w:val="999999"/>
          <w:sz w:val="20"/>
          <w:szCs w:val="20"/>
        </w:rPr>
        <w:t xml:space="preserve">RADACOM GmbH · NIKOS-Plattform</w:t>
      </w:r>
    </w:p>
    <w:p>
      <w:pPr>
        <w:spacing w:after="120"/>
      </w:pPr>
      <w:r>
        <w:rPr>
          <w:b/>
          <w:bCs/>
          <w:color w:val="595959"/>
          <w:sz w:val="20"/>
          <w:szCs w:val="20"/>
        </w:rPr>
        <w:t xml:space="preserve">Geprüfter Stand: </w:t>
      </w:r>
      <w:r>
        <w:rPr>
          <w:color w:val="595959"/>
          <w:sz w:val="20"/>
          <w:szCs w:val="20"/>
        </w:rPr>
        <w:t xml:space="preserve">site/ (15 HTML-Seiten, Stand 15.06.2026)   ·   </w:t>
      </w:r>
      <w:r>
        <w:rPr>
          <w:b/>
          <w:bCs/>
          <w:color w:val="595959"/>
          <w:sz w:val="20"/>
          <w:szCs w:val="20"/>
        </w:rPr>
        <w:t xml:space="preserve">Referenzdokumente: </w:t>
      </w:r>
      <w:r>
        <w:rPr>
          <w:color w:val="595959"/>
          <w:sz w:val="20"/>
          <w:szCs w:val="20"/>
        </w:rPr>
        <w:t xml:space="preserve">Brand Identity &amp; Design System (Mai 2026), Marketing- &amp; Vertriebsstrategie (Mai 2026)</w:t>
      </w:r>
    </w:p>
    <w:p>
      <w:pPr>
        <w:pStyle w:val="Heading2"/>
      </w:pPr>
      <w:r>
        <w:t xml:space="preserve">Vorbemerkung zum Prüfumfang</w:t>
      </w:r>
    </w:p>
    <w:p>
      <w:pPr>
        <w:spacing w:after="120"/>
      </w:pPr>
      <w:r>
        <w:t xml:space="preserve">Die geprüfte Website ist eindeutig die Produktplattform nikos.audio (Canonical-URLs, og:url und Domain-Selbstreferenzen verweisen durchgängig auf https://nikos.audio/). Sie ist damit nur eine der beiden in der Strategie definierten Plattformen. Die Dachmarken-Website radacom.de war nicht Teil der Freigabe und konnte nicht geprüft werden. Aussagen zur Zwei-Plattform-Architektur beziehen sich deshalb ausschließlich auf die nikos.audio-Hälfte.</w:t>
      </w:r>
    </w:p>
    <w:p>
      <w:pPr>
        <w:spacing w:after="120"/>
      </w:pPr>
      <w:r>
        <w:t xml:space="preserve">Die Bewertung erfolgt als Soll-Ist-Abgleich: SOLL = die beiden verbindlichen Masterfiles; IST = der ausgelesene HTML-/CSS-/JS-Code der Website. Geprüft wurde der Quelltext, kein gerendertes Live-Bild – Aussagen zu visueller Wirkung sind entsprechend als codebasiert gekennzeichnet.</w:t>
      </w:r>
    </w:p>
    <w:p>
      <w:pPr>
        <w:spacing w:after="120"/>
      </w:pPr>
      <w:r>
        <w:rPr>
          <w:i/>
          <w:iCs/>
          <w:color w:val="595959"/>
          <w:sz w:val="20"/>
          <w:szCs w:val="20"/>
        </w:rPr>
        <w:t xml:space="preserve">Stand dieser Fassung: Alle Klarstellungen des Auftraggebers sind eingearbeitet, die Vorgabedokumente entsprechend aktualisiert. „25+ Jahre“ = Branchen-Erfahrung der Geschäftsführer, „10 Jahre“ = Produkt (im Seitenkontext kein Widerspruch). Farb-/Layout-Abweichungen sind bewusst (Praxistests) und in der Brand Identity verankert. Die Claim-Hintergrundpflicht ist generell aufgehoben – der Claim darf auf hellem/dunklem Grund, über Bildern und invertiert stehen. 10 aktive Module sind korrekt. Das NIKOS-Akronym ist offiziell, aber nachrangig verankert. Das Partnermodell ist beziehungs-/vertrauensbasiert ohne Gebietsexklusivität. Lead-Funnel: Aktivierung nach Deployment-Test (To-Do). H1 auf der Login-Seite behoben.</w:t>
      </w:r>
    </w:p>
    <w:p>
      <w:pPr>
        <w:pStyle w:val="Heading1"/>
      </w:pPr>
      <w:r>
        <w:t xml:space="preserve">1  Gesamtbewertung</w:t>
      </w:r>
    </w:p>
    <w:p>
      <w:pPr>
        <w:spacing w:after="120"/>
      </w:pPr>
      <w:r>
        <w:t xml:space="preserve">Die Website ist inhaltlich weit fortgeschritten, technisch sauber gebaut (vollständige DE/EN-Zweisprachigkeit, keine toten internen Links, konsistente Footer-/Cookie-Architektur, korrekte Canonicals) und transportiert die strategische Kernbotschaft überzeugend. Die UVP „Umverteilung statt Mehrkosten“, die vollständige Autarkie und das Alltag-plus-Notfall-Prinzip sind klar und prominent platziert.</w:t>
      </w:r>
    </w:p>
    <w:p>
      <w:pPr>
        <w:spacing w:after="120"/>
      </w:pPr>
      <w:r>
        <w:t xml:space="preserve">Die ursprünglich festgestellten Abweichungen (Claim weiß auf Bild, Farb-/Layout-Token, Modulstand, Erfahrungszahlen, Anwendungsliste, Akronym) wurden mit dem Auftraggeber geklärt: Sie sind durchweg bewusste Entscheidungen und nun in den aktualisierten Vorgabedokumenten (Brand Identity Abschnitt 9, Strategie Abschnitt 9) verankert. Es besteht damit kein offener Konflikt zwischen Website und Vorgaben mehr. Verbleibende Punkte sind ein To-Do (Lead-Funnel-Aktivierung nach Deployment-Test) und das Optimierungsfeld Tonalität/Zielgruppen-Ansprache (Abschnitt 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Dimension</w:t>
            </w:r>
          </w:p>
        </w:tc>
        <w:tc>
          <w:tcPr>
            <w:tcW w:type="dxa" w:w="13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Bewertung</w:t>
            </w:r>
          </w:p>
        </w:tc>
        <w:tc>
          <w:tcPr>
            <w:tcW w:type="dxa" w:w="54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Kurzbegründung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Inhaltliche Vollständigkeit</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Kernbotschaften vollständig; 10 aktive Module korrekt dargestellt ([energy]²/[powercheck]² bewusst zurückgestellt, [RJ45]² bei [XLR]²). Lead-Funnel als To-Do (Aktivierung nach Deployment-Test).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Brand-Konformität (Form/Stil)</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Fonts, Orange-Stripe, Modulschreibweise korrekt. Claim-Darstellung (weiß auf Foto) und Praxis-Farben/-Layout sind gewollt und nun in der Brand Identity verankert.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Strategie-Konformität (Inhalt)</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Positionierung &amp; UVP gut getroffen. Erfahrungszahlen und Modulstand bestätigt. Plattform-Tonalität als bewusste Mischform präzisiert.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Tonalität / Zielgruppenfit</w:t>
            </w:r>
          </w:p>
        </w:tc>
        <w:tc>
          <w:tcPr>
            <w:tcW w:type="dxa" w:w="13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Technische Zielgruppen gut bedient; gruppenspezifische Ansprache ausbaufähig. Konkrete Optimierungsvorschläge in Abschnitt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Technische Umsetzung</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Saubere Zweisprachigkeit, valide Links, SEO-Grundausstattung vorhanden. Keine kritischen Mängel im Code festgestellt.</w:t>
            </w:r>
          </w:p>
        </w:tc>
      </w:tr>
    </w:tbl>
    <w:p>
      <w:pPr>
        <w:pStyle w:val="Heading1"/>
      </w:pPr>
      <w:r>
        <w:t xml:space="preserve">2  Form &amp; Stil – Abgleich mit Brand Identity</w:t>
      </w:r>
    </w:p>
    <w:p>
      <w:pPr>
        <w:pStyle w:val="Heading2"/>
      </w:pPr>
      <w:r>
        <w:t xml:space="preserve">2.1  Konform umgesetzt</w:t>
      </w:r>
    </w:p>
    <w:p>
      <w:pPr>
        <w:pStyle w:val="ListParagraph"/>
        <w:numPr>
          <w:ilvl w:val="0"/>
          <w:numId w:val="2"/>
        </w:numPr>
        <w:spacing w:after="60"/>
      </w:pPr>
      <w:r>
        <w:t xml:space="preserve">Schrift-Stack: Source Sans 3 (Fließtext/Headings) und Exo 2 (Claim/Key Visual) korrekt eingesetzt; Eurostile wird nicht als Web-Font missbraucht. Der vermeintliche „Inter“-Treffer war ein Fehlalarm (Substring von „Internet“/„Interesse“).</w:t>
      </w:r>
    </w:p>
    <w:p>
      <w:pPr>
        <w:pStyle w:val="ListParagraph"/>
        <w:numPr>
          <w:ilvl w:val="0"/>
          <w:numId w:val="2"/>
        </w:numPr>
        <w:spacing w:after="60"/>
      </w:pPr>
      <w:r>
        <w:t xml:space="preserve">Orange-Token #FF6600 ist als CSS-Variable definiert und wird funktional (CTAs, Akzente) eingesetzt; flächige Orange-Dekoration wurde nicht gefunden.</w:t>
      </w:r>
    </w:p>
    <w:p>
      <w:pPr>
        <w:pStyle w:val="ListParagraph"/>
        <w:numPr>
          <w:ilvl w:val="0"/>
          <w:numId w:val="2"/>
        </w:numPr>
        <w:spacing w:after="60"/>
      </w:pPr>
      <w:r>
        <w:t xml:space="preserve">Navigations-Stripe als 5 px border-bottom in Orange – exakt wie in der Brand Identity (7.4) gefordert.</w:t>
      </w:r>
    </w:p>
    <w:p>
      <w:pPr>
        <w:pStyle w:val="ListParagraph"/>
        <w:numPr>
          <w:ilvl w:val="0"/>
          <w:numId w:val="2"/>
        </w:numPr>
        <w:spacing w:after="60"/>
      </w:pPr>
      <w:r>
        <w:t xml:space="preserve">NIKOS-Modulschreibweise NIKOS [modul] ist auf der Produktseite durchgängig korrekt (z. B. NIKOS [audio]², NIKOS [dispatcher]²).</w:t>
      </w:r>
    </w:p>
    <w:p>
      <w:pPr>
        <w:pStyle w:val="ListParagraph"/>
        <w:numPr>
          <w:ilvl w:val="0"/>
          <w:numId w:val="2"/>
        </w:numPr>
        <w:spacing w:after="60"/>
      </w:pPr>
      <w:r>
        <w:t xml:space="preserve">Orange-Akzent-„o“ im Wort „Notfall“ ist als &lt;span class="o-accent"&gt;o&lt;/span&gt; umgesetzt – wie in der HTML-Referenz vorgesehen.</w:t>
      </w:r>
    </w:p>
    <w:p>
      <w:pPr>
        <w:pStyle w:val="Heading2"/>
      </w:pPr>
      <w:r>
        <w:t xml:space="preserve">2.2  Abweichungen &amp; Verstöße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060"/>
        <w:gridCol w:w="2100"/>
      </w:tblGrid>
      <w:tr>
        <w:trPr>
          <w:tblHeader/>
        </w:trPr>
        <w:tc>
          <w:tcPr>
            <w:tcW w:type="dxa" w:w="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Sev.</w:t>
            </w:r>
          </w:p>
        </w:tc>
        <w:tc>
          <w:tcPr>
            <w:tcW w:type="dxa" w:w="25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Befund</w:t>
            </w:r>
          </w:p>
        </w:tc>
        <w:tc>
          <w:tcPr>
            <w:tcW w:type="dxa" w:w="40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Soll laut Brand Identity</w:t>
            </w:r>
          </w:p>
        </w:tc>
        <w:tc>
          <w:tcPr>
            <w:tcW w:type="dxa" w:w="21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Empfehlung</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KRITISCH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NIKOS-Claim liegt im Hero weiß (#fff / rgba(255,255,255,.85)) über einem Foto (NIKOS-Hero4.jpg).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 ausschließlich auf hellem Hintergrund (#FFFFFF/#F5F5F5). Nie invertiert, kein weißer Claim auf dunklem Grund. Hero-Hintergrund nikos.audio: #FFFFFF.“ (7.5)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 auf hellen Hero-Bereich verlegen; Farben Zeile 1 #595959 / Zeile 2 #4D4D4D; Foto separat platzieren.</w:t>
            </w:r>
          </w:p>
        </w:tc>
      </w:tr>
      <w:tr>
        <w:tc>
          <w:tcPr>
            <w:tcW w:type="dxa" w:w="7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20"/>
                <w:szCs w:val="20"/>
              </w:rPr>
              <w:t xml:space="preserve">GEWOLLT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Farbtoken #1E2A35 als --card-dark statt #2D2D2D; blaustichige Grautöne außerhalb der Palette (#253341, #1D2F49, #2E3236, #C8D0D8, #A0A8B0 u. 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Brand Identity nennt --card-dark = #2D2D2D und eine neutrale Graupalette (4.2/4.3).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Laut Auftraggeber bewusst aus Praxistests gewählt und beizubehalten. Empfehlung: diese Ist-Werte in die Brand Identity übernehmen, damit Doku = Praxis.</w:t>
            </w:r>
          </w:p>
        </w:tc>
      </w:tr>
      <w:tr>
        <w:tc>
          <w:tcPr>
            <w:tcW w:type="dxa" w:w="7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20"/>
                <w:szCs w:val="20"/>
              </w:rPr>
              <w:t xml:space="preserve">GEWOLLT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Orange-Hover-Variante #E05500; weitere Layout-Feinheiten abweichend von der Vorgabe.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Token-Disziplin: definierte Akzent-/Flächenfarben (4.3).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Als bewusste Praxis-Optimierung beibehalten; im Token-System dokumentieren.</w:t>
            </w:r>
          </w:p>
        </w:tc>
      </w:tr>
      <w:tr>
        <w:tc>
          <w:tcPr>
            <w:tcW w:type="dxa" w:w="7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Claim-Zeile 1 nur per Weiß-Opacity differenziert statt eigener Farbe.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Zeile 1 #595959 (brand-mid), Zeile 2 #4D4D4D (brand-dark). (2.2)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Folgt aus der Weiß-auf-Foto-Darstellung; mit Punkt 1 gemeinsam entscheiden.</w:t>
            </w:r>
          </w:p>
        </w:tc>
      </w:tr>
    </w:tbl>
    <w:p>
      <w:pPr>
        <w:spacing w:after="120"/>
      </w:pPr>
      <w:r>
        <w:rPr>
          <w:i/>
          <w:iCs/>
          <w:color w:val="595959"/>
          <w:sz w:val="20"/>
          <w:szCs w:val="20"/>
        </w:rPr>
        <w:t xml:space="preserve">Einordnung: Mehrere der oben genannten Farb-/Layout-Abweichungen wurden vom Auftraggeber als bewusste, praxiserprobte Entscheidungen bestätigt und sollen erhalten bleiben (Kennzeichnung „GEWOLLT“). Die Brand Identity bezeichnet sich selbst als „einzige verbindliche Referenz“; damit Doku und Umsetzung nicht auseinanderlaufen, ist die sinnvolle Konsequenz, die bewährten Ist-Werte in die Vorgabedokumente zurückzuschreiben statt die Website anzupassen. Der einzige Form-Befund, der eine ausdrückliche Pflichtregel berührt und daher eine echte Entscheidung erfordert, ist die Claim-Darstellung (siehe KRITISCH).</w:t>
      </w:r>
    </w:p>
    <w:p>
      <w:pPr>
        <w:spacing w:after="120"/>
      </w:pPr>
      <w:r>
        <w:rPr>
          <w:i/>
          <w:iCs/>
          <w:color w:val="595959"/>
          <w:sz w:val="20"/>
          <w:szCs w:val="20"/>
        </w:rPr>
        <w:t xml:space="preserve">Anmerkung zum Claim-Font: Im Hero wird der Claim mit var(--claim) = Exo 2 gesetzt; die Brand Identity sieht den NIKOS-Claim als Eurostile-SVG vor (3.1/3.2). Falls auch dies eine bewusste Web-Entscheidung ist, ebenfalls in der Brand Identity festhalten.</w:t>
      </w:r>
    </w:p>
    <w:p>
      <w:pPr>
        <w:pStyle w:val="Heading1"/>
      </w:pPr>
      <w:r>
        <w:t xml:space="preserve">3  Inhalt &amp; Botschaften – Abgleich mit Marketing-/Vertriebsstrategie</w:t>
      </w:r>
    </w:p>
    <w:p>
      <w:pPr>
        <w:pStyle w:val="Heading2"/>
      </w:pPr>
      <w:r>
        <w:t xml:space="preserve">3.1  Strategiekonform umgesetzt</w:t>
      </w:r>
    </w:p>
    <w:p>
      <w:pPr>
        <w:pStyle w:val="ListParagraph"/>
        <w:numPr>
          <w:ilvl w:val="0"/>
          <w:numId w:val="2"/>
        </w:numPr>
        <w:spacing w:after="60"/>
      </w:pPr>
      <w:r>
        <w:t xml:space="preserve">UVP „Umverteilung statt Mehrkosten“ ist wörtlich und prominent auf der Startseite präsent.</w:t>
      </w:r>
    </w:p>
    <w:p>
      <w:pPr>
        <w:pStyle w:val="ListParagraph"/>
        <w:numPr>
          <w:ilvl w:val="0"/>
          <w:numId w:val="2"/>
        </w:numPr>
        <w:spacing w:after="60"/>
      </w:pPr>
      <w:r>
        <w:t xml:space="preserve">Drei UVP-Pfeiler (Kostenneutralität/Synergie, vollständige Autarkie, Kompaktheit/Flexibilität) sind als „drei Prinzipien“ klar aufbereitet.</w:t>
      </w:r>
    </w:p>
    <w:p>
      <w:pPr>
        <w:pStyle w:val="ListParagraph"/>
        <w:numPr>
          <w:ilvl w:val="0"/>
          <w:numId w:val="2"/>
        </w:numPr>
        <w:spacing w:after="60"/>
      </w:pPr>
      <w:r>
        <w:t xml:space="preserve">Preisdisziplin eingehalten: keine konkreten Preisangaben gefunden; Kommunikation über Synergien.</w:t>
      </w:r>
    </w:p>
    <w:p>
      <w:pPr>
        <w:pStyle w:val="ListParagraph"/>
        <w:numPr>
          <w:ilvl w:val="0"/>
          <w:numId w:val="2"/>
        </w:numPr>
        <w:spacing w:after="60"/>
      </w:pPr>
      <w:r>
        <w:t xml:space="preserve">NIKOS-Hauptnarrativ „Für den Alltag gedacht. Für den Notfall gemacht.“ und die Alltag/Notfall-Logik sind durchgängig erzählt.</w:t>
      </w:r>
    </w:p>
    <w:p>
      <w:pPr>
        <w:pStyle w:val="ListParagraph"/>
        <w:numPr>
          <w:ilvl w:val="0"/>
          <w:numId w:val="2"/>
        </w:numPr>
        <w:spacing w:after="60"/>
      </w:pPr>
      <w:r>
        <w:t xml:space="preserve">Referenzen decken die Strategie-Liste ab (Oktoberfest, Karneval der Kulturen, Fanmeile/EM, BMW, Bad Kissingen/Rakoczy als Praxis-Video).</w:t>
      </w:r>
    </w:p>
    <w:p>
      <w:pPr>
        <w:pStyle w:val="ListParagraph"/>
        <w:numPr>
          <w:ilvl w:val="0"/>
          <w:numId w:val="2"/>
        </w:numPr>
        <w:spacing w:after="60"/>
      </w:pPr>
      <w:r>
        <w:t xml:space="preserve">Normkonformität DIN EN 50849 sowie Notbeleuchtungs-Normen (DIN EN 1838) werden auf der Systemseite ausgewiesen.</w:t>
      </w:r>
    </w:p>
    <w:p>
      <w:pPr>
        <w:pStyle w:val="ListParagraph"/>
        <w:numPr>
          <w:ilvl w:val="0"/>
          <w:numId w:val="2"/>
        </w:numPr>
        <w:spacing w:after="60"/>
      </w:pPr>
      <w:r>
        <w:t xml:space="preserve">Lead-Magnet „20 Beispiele, wie NIKOS Kosten spart“ ist auf Startseite und Downloads referenziert.</w:t>
      </w:r>
    </w:p>
    <w:p>
      <w:pPr>
        <w:pStyle w:val="Heading2"/>
      </w:pPr>
      <w:r>
        <w:t xml:space="preserve">3.2  Inhaltliche Inkonsistenzen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260"/>
        <w:gridCol w:w="2100"/>
      </w:tblGrid>
      <w:tr>
        <w:trPr>
          <w:tblHeader/>
        </w:trPr>
        <w:tc>
          <w:tcPr>
            <w:tcW w:type="dxa" w:w="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Sev.</w:t>
            </w:r>
          </w:p>
        </w:tc>
        <w:tc>
          <w:tcPr>
            <w:tcW w:type="dxa" w:w="33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Befund</w:t>
            </w:r>
          </w:p>
        </w:tc>
        <w:tc>
          <w:tcPr>
            <w:tcW w:type="dxa" w:w="32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Soll laut Strategie</w:t>
            </w:r>
          </w:p>
        </w:tc>
        <w:tc>
          <w:tcPr>
            <w:tcW w:type="dxa" w:w="21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Empfehlung</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Hero nennt „25+ Jahre Erfahrung“ und „150+ Einsätze“.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Strategie nennt „zehn Jahre Markterfahrung“ und „Prototypen seit 2016“ (1.1).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Vom Auftraggeber bestätigt: 25+ Jahre = Branchen-Erfahrung der Geschäftsführer, 10 Jahre = Produkt. Kein Widerspruch. Empfehlung: Bezug auf der Seite kurz kenntlich machen (z. B. „der Geschäftsführer“), um Missverständnisse bei Behörden zu vermeiden.</w:t>
            </w:r>
          </w:p>
        </w:tc>
      </w:tr>
      <w:tr>
        <w:tc>
          <w:tcPr>
            <w:tcW w:type="dxa" w:w="7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20"/>
                <w:szCs w:val="20"/>
              </w:rPr>
              <w:t xml:space="preserve">MITTEL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Plattform-Rollentrennung unscharf: nikos.audio nutzt emotionale/narrative Hero-Headlines („Viele Anwendungen. Eine Lösung.“, „Ein System für alle Fälle.“) und Vertrauens-/Entscheider-Ansprache.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nikos.audio = rational, technisch, präzise, für Techniker/Planer/Partner; emotional/narrativ ist radacom.de zugeordnet (1.3).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Tonalität schärfen oder Rollentrennung bewusst aufweichen und dokumentieren.</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Anwendungsliste erweitert (u. a. Gedenkveranstaltung, Jubiläumsfeier, Sportevent, Parkfest/Gartenschau).</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8 Kern-Anwendungen (4.1); Strategie nun um die Web-Liste ergänzt (Abschnitt 9.3).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Geklärt: Erweiterung ist bewusst freigegeben und in die Strategie zurückgeschrieben.</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Produktseite zeigt 10 aktive Module (inkl. NIKOS [LED]²); [RJ45]² bei [XLR]².</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Modulliste (4.3); aktualisiert auf 10 aktive Module in Abschnitt 9.1.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Geklärt: [energy]²/[powercheck]² zurückgestellt, [RJ45]² wird bei [XLR]² behandelt. Stand ist korrekt.</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NIKOS wird als „Notfall Informations- &amp; Kommunikations System“ ausgeschrieben.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Akronym nun in Brand Identity (9.3) und Strategie (9.7) verankert.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Geklärt: offiziell verankert, bewusst nachrangige Verwendung (kein Hero/keine Überschrift/kein Logo). Stand korrekt.</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0"/>
                <w:szCs w:val="20"/>
              </w:rPr>
              <w:t xml:space="preserve">OK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Funnel-Endpunkt (n8n-Webhook) ist Platzhalter; Formulare senden noch nicht.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Lead-Prozess: Formular → n8n → Brevo Double-Opt-in → CRM (5.1).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18"/>
                <w:szCs w:val="18"/>
              </w:rPr>
              <w:t xml:space="preserve">Als To-Do festgehalten (Strategie 9.5): Aktivierung nach erfolgreichem Deployment-Test.</w:t>
            </w:r>
          </w:p>
        </w:tc>
      </w:tr>
    </w:tbl>
    <w:p>
      <w:pPr>
        <w:pStyle w:val="Heading1"/>
      </w:pPr>
      <w:r>
        <w:t xml:space="preserve">4  Bewertung aus Sicht der Zielgruppen</w:t>
      </w:r>
    </w:p>
    <w:p>
      <w:pPr>
        <w:spacing w:after="120"/>
      </w:pPr>
      <w:r>
        <w:t xml:space="preserve">Die Strategie definiert vier Zielgruppen (Veranstalter, Planer, Behörden, technische Dienstleister) plus die nikos.audio-Primärgruppen Techniker/Planer/Partner. Nachfolgend die kritische Bewertung, wie gut die Website jede Gruppe abholt.</w:t>
      </w:r>
    </w:p>
    <w:p>
      <w:pPr>
        <w:pStyle w:val="Heading3"/>
      </w:pPr>
      <w:r>
        <w:t xml:space="preserve">Veranstalter</w:t>
      </w:r>
    </w:p>
    <w:p>
      <w:pPr>
        <w:spacing w:after="120"/>
      </w:pPr>
      <w:r>
        <w:t xml:space="preserve">Gut: Einsparpotenzial und Sicherheitsniveau werden adressiert, das Praxis-Video (Rakoczy-Fest) ist ein starker Vertrauensbeweis. Kritisch: Veranstalter sind laut Strategie primär auf radacom.de zu führen; auf nikos.audio landen sie in einer technisch dichteren Umgebung. Die emotionale Hero-Ansprache hilft ihnen zwar, steht aber im Widerspruch zur Plattform-Logik. Der Weg zum konkreten nächsten Schritt (Lead-Magnet) ist da, aber der Funnel sendet noch nicht.</w:t>
      </w:r>
    </w:p>
    <w:p>
      <w:pPr>
        <w:pStyle w:val="Heading3"/>
      </w:pPr>
      <w:r>
        <w:t xml:space="preserve">Planer / Fachplaner</w:t>
      </w:r>
    </w:p>
    <w:p>
      <w:pPr>
        <w:spacing w:after="120"/>
      </w:pPr>
      <w:r>
        <w:t xml:space="preserve">Gut: Eigene Downloads-Seite „Unterlagen für Fachplaner und Techniker“, Normbezüge (DIN EN 50849/1838), modulare Systemlogik – das trifft den Bedarf nach Dokumentierbarkeit. Kritisch: Ausschreibungstexte sind laut Strategie „ausstehend“; fehlen sie real, ist die wichtigste Planer-Conversion unvollständig. Datenblätter sollten vollständig und frei zugänglich sein.</w:t>
      </w:r>
    </w:p>
    <w:p>
      <w:pPr>
        <w:pStyle w:val="Heading3"/>
      </w:pPr>
      <w:r>
        <w:t xml:space="preserve">Behörden</w:t>
      </w:r>
    </w:p>
    <w:p>
      <w:pPr>
        <w:spacing w:after="120"/>
      </w:pPr>
      <w:r>
        <w:t xml:space="preserve">Gut: Worst-Case-/Krisenlage-Szenario, vollständige Autarkie und Dokumentationsfähigkeit werden klar herausgestellt; staatliche Referenzen (Tag der Deutschen Einheit) zahlen auf Seriosität ein. Kritisch: Behörden erwarten maximale Nüchternheit und Nachweise – die teils werbliche, emotionale Tonalität kann Vertrauensabschläge erzeugen. Aussagen wie „Innovations- und Marktführer“ wirken vor Behörden stärker, wenn sie belegt sind. (Die Angabe „25+ Jahre“ ist im Seitenkontext nicht als Widerspruch wahrnehmbar und unkritisch.)</w:t>
      </w:r>
    </w:p>
    <w:p>
      <w:pPr>
        <w:pStyle w:val="Heading3"/>
      </w:pPr>
      <w:r>
        <w:t xml:space="preserve">Technische Dienstleister / Partner</w:t>
      </w:r>
    </w:p>
    <w:p>
      <w:pPr>
        <w:spacing w:after="120"/>
      </w:pPr>
      <w:r>
        <w:t xml:space="preserve">Gut: Dedizierte Seiten „NIKOS-Partner werden“, „Vermietung über Partner“, Partnerkarte und Login-Portal – das Partnermodell ist auf der Website strukturell sehr gut abgebildet. Das fehlende H1 auf der Login-Seite wurde behoben. Wichtig (geklärt): Das Partnermodell ist beziehungs- und vertrauensbasiert, nicht gebietsexklusiv – in manchen Regionen sind 2–3 Partner aktiv. Daher keine Gebietsexklusivität versprechen; Kommunikation flexibel halten („zertifizierte Partner in Ihrer Region“ statt „Ihr Partner“). Konditionen/Support sollten konkret hinterlegt sein, ohne Exklusivitätszusage.</w:t>
      </w:r>
    </w:p>
    <w:p>
      <w:pPr>
        <w:pStyle w:val="Heading3"/>
      </w:pPr>
      <w:r>
        <w:t xml:space="preserve">Techniker (nikos.audio-Primärgruppe)</w:t>
      </w:r>
    </w:p>
    <w:p>
      <w:pPr>
        <w:spacing w:after="120"/>
      </w:pPr>
      <w:r>
        <w:t xml:space="preserve">Gut: Systemseite mit Funktionslogik (DMR-Digitalfunk, dispatcher/audio-Zusammenspiel, 16 h Akku, &lt;10 min einsatzbereit) bedient die rationale Erwartung präzise. Kritisch: Diese starke technische Tiefe wird durch die emotionalere Gesamtinszenierung teilweise verwässert. Für diese Gruppe wäre die in der Strategie vorgesehene rationale Konsequenz das größte Plus.</w:t>
      </w:r>
    </w:p>
    <w:p>
      <w:pPr>
        <w:pStyle w:val="Heading1"/>
      </w:pPr>
      <w:r>
        <w:t xml:space="preserve">5  Maßnahmen – Status nach Klärung</w:t>
      </w:r>
    </w:p>
    <w:p>
      <w:pPr>
        <w:spacing w:after="120"/>
      </w:pPr>
      <w:r>
        <w:t xml:space="preserve">Stand nach Rückmeldung des Auftraggebers und durchgeführten Korrekturen: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60"/>
        <w:gridCol w:w="2700"/>
      </w:tblGrid>
      <w:tr>
        <w:trPr>
          <w:tblHeader/>
        </w:trPr>
        <w:tc>
          <w:tcPr>
            <w:tcW w:type="dxa" w:w="14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Status</w:t>
            </w:r>
          </w:p>
        </w:tc>
        <w:tc>
          <w:tcPr>
            <w:tcW w:type="dxa" w:w="526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Maßnahme</w:t>
            </w:r>
          </w:p>
        </w:tc>
        <w:tc>
          <w:tcPr>
            <w:tcW w:type="dxa" w:w="2700"/>
            <w:tcBorders>
              <w:top w:val="single" w:color="CCCCCC" w:sz="1"/>
              <w:left w:val="single" w:color="CCCCCC" w:sz="1"/>
              <w:bottom w:val="single" w:color="CCCCCC" w:sz="1"/>
              <w:right w:val="single" w:color="CCCCCC" w:sz="1"/>
            </w:tcBorders>
            <w:shd w:fill="4D4D4D" w:val="clear"/>
            <w:tcMar>
              <w:top w:type="dxa" w:w="80"/>
              <w:left w:type="dxa" w:w="120"/>
              <w:bottom w:type="dxa" w:w="80"/>
              <w:right w:type="dxa" w:w="120"/>
            </w:tcMar>
          </w:tcPr>
          <w:p>
            <w:pPr>
              <w:jc w:val="left"/>
            </w:pPr>
            <w:r>
              <w:rPr>
                <w:b/>
                <w:bCs/>
                <w:color w:val="FFFFFF"/>
                <w:sz w:val="20"/>
                <w:szCs w:val="20"/>
              </w:rPr>
              <w:t xml:space="preserve">Bezug</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H1 auf der Login-Seite ergänzt (zweisprachig, CSS-neutral).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nikos-login.html</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Identity: Web-Claim-Variante (weiß auf Foto) und Praxis-Farben/-Layout als verbindlich ergänzt (Abschnitt 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9.1/9.2</w:t>
            </w:r>
          </w:p>
        </w:tc>
      </w:tr>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18"/>
                <w:szCs w:val="18"/>
              </w:rPr>
              <w:t xml:space="preserve">ERLEDIGT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10 aktive Module, Erfahrungsangaben, erweiterte Anwendungsliste, Tonalität präzisiert (Abschnitt 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9.1–9.4</w:t>
            </w:r>
          </w:p>
        </w:tc>
      </w:tr>
      <w:tr>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18"/>
                <w:szCs w:val="18"/>
              </w:rPr>
              <w:t xml:space="preserve">GEKLÄRT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Claim-Design weiß auf Foto ist gewollt; die Hintergrundpflicht (7.5) ist generell aufgehoben (Brand 9.1). Kein offener Konflikt.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Brand 7.5 / 9.1</w:t>
            </w:r>
          </w:p>
        </w:tc>
      </w:tr>
      <w:tr>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b/>
                <w:bCs/>
                <w:color w:val="FFFFFF"/>
                <w:sz w:val="18"/>
                <w:szCs w:val="18"/>
              </w:rPr>
              <w:t xml:space="preserve">GEKLÄRT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Erfahrungszahlen (25+ J. GF / 10 J. Produkt) bestätigt; Modulstand (10) korrekt.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9.1/9.2</w:t>
            </w:r>
          </w:p>
        </w:tc>
      </w:tr>
      <w:tr>
        <w:tc>
          <w:tcPr>
            <w:tcW w:type="dxa" w:w="14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18"/>
                <w:szCs w:val="18"/>
              </w:rPr>
              <w:t xml:space="preserve">TO-DO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Lead-Funnel aktivieren, sobald der Deployment-Test erfolgreich ist (n8n → Brevo Double-Opt-in → CRM).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9.5</w:t>
            </w:r>
          </w:p>
        </w:tc>
      </w:tr>
      <w:tr>
        <w:tc>
          <w:tcPr>
            <w:tcW w:type="dxa" w:w="14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b/>
                <w:bCs/>
                <w:color w:val="FFFFFF"/>
                <w:sz w:val="18"/>
                <w:szCs w:val="18"/>
              </w:rPr>
              <w:t xml:space="preserve">OFFEN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Tonalität/Ansprache pro Zielgruppe optimieren (konkrete Vorschläge in Abschnitt 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1.3 / 2</w:t>
            </w:r>
          </w:p>
        </w:tc>
      </w:tr>
      <w:tr>
        <w:tc>
          <w:tcPr>
            <w:tcW w:type="dxa" w:w="14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pPr>
              <w:jc w:val="center"/>
            </w:pPr>
            <w:r>
              <w:rPr>
                <w:b/>
                <w:bCs/>
                <w:color w:val="FFFFFF"/>
                <w:sz w:val="18"/>
                <w:szCs w:val="18"/>
              </w:rPr>
              <w:t xml:space="preserve">OPTIONAL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Ausschreibungstexte/Datenblätter vervollständigen; Partner-Kommunikation ohne Gebietsexklusivität formulieren („zertifizierte Partner in Ihrer Region“).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4D4D4D"/>
                <w:sz w:val="20"/>
                <w:szCs w:val="20"/>
              </w:rPr>
              <w:t xml:space="preserve">Strategie 9.6 / 5.2</w:t>
            </w:r>
          </w:p>
        </w:tc>
      </w:tr>
    </w:tbl>
    <w:p>
      <w:pPr>
        <w:pStyle w:val="Heading1"/>
      </w:pPr>
      <w:r>
        <w:t xml:space="preserve">6  Konkrete Vorschläge: Tonalität &amp; Zielgruppen-Ansprache</w:t>
      </w:r>
    </w:p>
    <w:p>
      <w:pPr>
        <w:spacing w:after="120"/>
      </w:pPr>
      <w:r>
        <w:t xml:space="preserve">Leitidee: nikos.audio darf vertrauensbildende Elemente behalten (so bewusst entschieden), sollte die Inhalte aber je Zielgruppe gezielter „andocken“. Empfehlung sind klar zuschaltbare Einstiegspfade statt einer einzigen, für alle gleichen Ansprache. Die folgenden Formulierungen sind als einsetzbare Bausteine gedacht.</w:t>
      </w:r>
    </w:p>
    <w:p>
      <w:pPr>
        <w:pStyle w:val="Heading2"/>
      </w:pPr>
      <w:r>
        <w:t xml:space="preserve">6.1  Übergreifend</w:t>
      </w:r>
    </w:p>
    <w:p>
      <w:pPr>
        <w:pStyle w:val="ListParagraph"/>
        <w:numPr>
          <w:ilvl w:val="0"/>
          <w:numId w:val="2"/>
        </w:numPr>
        <w:spacing w:after="60"/>
      </w:pPr>
      <w:r>
        <w:rPr>
          <w:b/>
          <w:bCs/>
        </w:rPr>
        <w:t xml:space="preserve">Zielgruppen-Router im Hero: </w:t>
      </w:r>
      <w:r>
        <w:t xml:space="preserve">Unter dem Claim drei klar beschriftete Einstiege anbieten – „Für Veranstalter &amp; Behörden“, „Für Planer“, „Für Technik-Partner“ – die zu den passenden Sektionen/Seiten springen. So bleibt der gemeinsame Hero, aber jede Gruppe findet ihren Pfad in einem Klick.</w:t>
      </w:r>
    </w:p>
    <w:p>
      <w:pPr>
        <w:pStyle w:val="ListParagraph"/>
        <w:numPr>
          <w:ilvl w:val="0"/>
          <w:numId w:val="2"/>
        </w:numPr>
        <w:spacing w:after="60"/>
      </w:pPr>
      <w:r>
        <w:rPr>
          <w:b/>
          <w:bCs/>
        </w:rPr>
        <w:t xml:space="preserve">Nutzen vor Technik, dann Technik-Tiefe: </w:t>
      </w:r>
      <w:r>
        <w:t xml:space="preserve">Jede Sektion mit einem Nutzen-Satz öffnen, danach die technischen Belege. Beispiel statt „DMR-Digitalfunk, 16 h Akku“: „Funktioniert, wenn das Netz wegbricht – verschlüsselter Digitalfunk (DMR), bis zu 16 h Akku.“</w:t>
      </w:r>
    </w:p>
    <w:p>
      <w:pPr>
        <w:pStyle w:val="ListParagraph"/>
        <w:numPr>
          <w:ilvl w:val="0"/>
          <w:numId w:val="2"/>
        </w:numPr>
        <w:spacing w:after="60"/>
      </w:pPr>
      <w:r>
        <w:rPr>
          <w:b/>
          <w:bCs/>
        </w:rPr>
        <w:t xml:space="preserve">Belege sichtbar machen: </w:t>
      </w:r>
      <w:r>
        <w:t xml:space="preserve">Claims wie „Innovations- und Marktführer“ mit konkretem Beleg flankieren (Anzahl Einsätze, Referenznamen, Norm-Badges). Das wirkt besonders bei Behörden.</w:t>
      </w:r>
    </w:p>
    <w:p>
      <w:pPr>
        <w:pStyle w:val="ListParagraph"/>
        <w:numPr>
          <w:ilvl w:val="0"/>
          <w:numId w:val="2"/>
        </w:numPr>
        <w:spacing w:after="60"/>
      </w:pPr>
      <w:r>
        <w:rPr>
          <w:b/>
          <w:bCs/>
        </w:rPr>
        <w:t xml:space="preserve">Konsistente Verb-Tonalität: </w:t>
      </w:r>
      <w:r>
        <w:t xml:space="preserve">Aktiv, ruhig, faktenorientiert. Superlative sparsam; lieber Zahlen und Normen sprechen lassen.</w:t>
      </w:r>
    </w:p>
    <w:p>
      <w:pPr>
        <w:pStyle w:val="Heading2"/>
      </w:pPr>
      <w:r>
        <w:t xml:space="preserve">6.2  Veranstalter</w:t>
      </w:r>
    </w:p>
    <w:p>
      <w:pPr>
        <w:spacing w:after="120"/>
      </w:pPr>
      <w:r>
        <w:rPr>
          <w:i/>
          <w:iCs/>
          <w:color w:val="595959"/>
          <w:sz w:val="20"/>
          <w:szCs w:val="20"/>
        </w:rPr>
        <w:t xml:space="preserve">Bedürfnis: Sicherheit ohne Mehrkosten, weniger Haftungsrisiko, einfache Umsetzung über Partner.</w:t>
      </w:r>
    </w:p>
    <w:p>
      <w:pPr>
        <w:pStyle w:val="ListParagraph"/>
        <w:numPr>
          <w:ilvl w:val="0"/>
          <w:numId w:val="2"/>
        </w:numPr>
        <w:spacing w:after="60"/>
      </w:pPr>
      <w:r>
        <w:rPr>
          <w:b/>
          <w:bCs/>
        </w:rPr>
        <w:t xml:space="preserve">Einstieg emotional-konkret: </w:t>
      </w:r>
      <w:r>
        <w:t xml:space="preserve">„Mehr Sicherheit für Ihre Besucher – ohne Mehrkosten im Budget.“ Direkt darunter der Lead-Magnet „20 Beispiele, wie NIKOS Kosten spart“.</w:t>
      </w:r>
    </w:p>
    <w:p>
      <w:pPr>
        <w:pStyle w:val="ListParagraph"/>
        <w:numPr>
          <w:ilvl w:val="0"/>
          <w:numId w:val="2"/>
        </w:numPr>
        <w:spacing w:after="60"/>
      </w:pPr>
      <w:r>
        <w:rPr>
          <w:b/>
          <w:bCs/>
        </w:rPr>
        <w:t xml:space="preserve">Beweis statt Behauptung: </w:t>
      </w:r>
      <w:r>
        <w:t xml:space="preserve">Das Rakoczy-Fest-Video als Social Proof prominent neben den Veranstalter-Einstieg setzen („So lief eine echte Unwetter-Evakuierung“).</w:t>
      </w:r>
    </w:p>
    <w:p>
      <w:pPr>
        <w:pStyle w:val="ListParagraph"/>
        <w:numPr>
          <w:ilvl w:val="0"/>
          <w:numId w:val="2"/>
        </w:numPr>
        <w:spacing w:after="60"/>
      </w:pPr>
      <w:r>
        <w:rPr>
          <w:b/>
          <w:bCs/>
        </w:rPr>
        <w:t xml:space="preserve">Reibung senken: </w:t>
      </w:r>
      <w:r>
        <w:t xml:space="preserve">CTA „Unverbindlich Einsparpotenzial prüfen“ statt „Kontakt“ – aktiviert das Kostenneutralitäts-Versprechen.</w:t>
      </w:r>
    </w:p>
    <w:p>
      <w:pPr>
        <w:pStyle w:val="Heading2"/>
      </w:pPr>
      <w:r>
        <w:t xml:space="preserve">6.3  Planer / Fachplaner</w:t>
      </w:r>
    </w:p>
    <w:p>
      <w:pPr>
        <w:spacing w:after="120"/>
      </w:pPr>
      <w:r>
        <w:rPr>
          <w:i/>
          <w:iCs/>
          <w:color w:val="595959"/>
          <w:sz w:val="20"/>
          <w:szCs w:val="20"/>
        </w:rPr>
        <w:t xml:space="preserve">Bedürfnis: Dokumentierbarkeit, Normkonformität, Planungssicherheit.</w:t>
      </w:r>
    </w:p>
    <w:p>
      <w:pPr>
        <w:pStyle w:val="ListParagraph"/>
        <w:numPr>
          <w:ilvl w:val="0"/>
          <w:numId w:val="2"/>
        </w:numPr>
        <w:spacing w:after="60"/>
      </w:pPr>
      <w:r>
        <w:rPr>
          <w:b/>
          <w:bCs/>
        </w:rPr>
        <w:t xml:space="preserve">Sachlich, dicht, vollständig: </w:t>
      </w:r>
      <w:r>
        <w:t xml:space="preserve">Eigener Einstieg „Planungsunterlagen“ direkt aus dem Hero. Datenblätter, Ausschreibungstexte und Checklisten ohne Hürde bereitstellen (frei zugänglich, nicht hinter Formular).</w:t>
      </w:r>
    </w:p>
    <w:p>
      <w:pPr>
        <w:pStyle w:val="ListParagraph"/>
        <w:numPr>
          <w:ilvl w:val="0"/>
          <w:numId w:val="2"/>
        </w:numPr>
        <w:spacing w:after="60"/>
      </w:pPr>
      <w:r>
        <w:rPr>
          <w:b/>
          <w:bCs/>
        </w:rPr>
        <w:t xml:space="preserve">Norm-Sprache verwenden: </w:t>
      </w:r>
      <w:r>
        <w:t xml:space="preserve">DIN EN 50849 / 1838 als Badge an den jeweiligen Modulen und in einer kurzen „Konformität“-Tabelle. Planer scannen nach genau diesen Kürzeln.</w:t>
      </w:r>
    </w:p>
    <w:p>
      <w:pPr>
        <w:pStyle w:val="ListParagraph"/>
        <w:numPr>
          <w:ilvl w:val="0"/>
          <w:numId w:val="2"/>
        </w:numPr>
        <w:spacing w:after="60"/>
      </w:pPr>
      <w:r>
        <w:rPr>
          <w:b/>
          <w:bCs/>
        </w:rPr>
        <w:t xml:space="preserve">Konfigurationsbeispiele: </w:t>
      </w:r>
      <w:r>
        <w:t xml:space="preserve">Ein durchgerechnetes Beispiel („Stadtfest, 3 Bühnen: diese Module, diese Reichweite“) schafft Planungssicherheit.</w:t>
      </w:r>
    </w:p>
    <w:p>
      <w:pPr>
        <w:pStyle w:val="Heading2"/>
      </w:pPr>
      <w:r>
        <w:t xml:space="preserve">6.4  Behörden</w:t>
      </w:r>
    </w:p>
    <w:p>
      <w:pPr>
        <w:spacing w:after="120"/>
      </w:pPr>
      <w:r>
        <w:rPr>
          <w:i/>
          <w:iCs/>
          <w:color w:val="595959"/>
          <w:sz w:val="20"/>
          <w:szCs w:val="20"/>
        </w:rPr>
        <w:t xml:space="preserve">Bedürfnis: Absicherung von Worst-Case-Szenarien, Nachweisbarkeit, persönliche Entlastung.</w:t>
      </w:r>
    </w:p>
    <w:p>
      <w:pPr>
        <w:pStyle w:val="ListParagraph"/>
        <w:numPr>
          <w:ilvl w:val="0"/>
          <w:numId w:val="2"/>
        </w:numPr>
        <w:spacing w:after="60"/>
      </w:pPr>
      <w:r>
        <w:rPr>
          <w:b/>
          <w:bCs/>
        </w:rPr>
        <w:t xml:space="preserve">Maximale Nüchternheit: </w:t>
      </w:r>
      <w:r>
        <w:t xml:space="preserve">Für diese Gruppe einen sachlichen Block ohne werbliche Sprache. „Funktioniert auch bei Ausfall von Strom, Mobilfunk und Internet. Alle Ereignisse werden automatisch dokumentiert.“</w:t>
      </w:r>
    </w:p>
    <w:p>
      <w:pPr>
        <w:pStyle w:val="ListParagraph"/>
        <w:numPr>
          <w:ilvl w:val="0"/>
          <w:numId w:val="2"/>
        </w:numPr>
        <w:spacing w:after="60"/>
      </w:pPr>
      <w:r>
        <w:rPr>
          <w:b/>
          <w:bCs/>
        </w:rPr>
        <w:t xml:space="preserve">Verantwortung adressieren: </w:t>
      </w:r>
      <w:r>
        <w:t xml:space="preserve">„Im Ernstfall nachweisen können, dass alles Notwendige getan wurde.“ – spricht das innere Problem direkt an.</w:t>
      </w:r>
    </w:p>
    <w:p>
      <w:pPr>
        <w:pStyle w:val="ListParagraph"/>
        <w:numPr>
          <w:ilvl w:val="0"/>
          <w:numId w:val="2"/>
        </w:numPr>
        <w:spacing w:after="60"/>
      </w:pPr>
      <w:r>
        <w:rPr>
          <w:b/>
          <w:bCs/>
        </w:rPr>
        <w:t xml:space="preserve">Referenzen bündeln: </w:t>
      </w:r>
      <w:r>
        <w:t xml:space="preserve">Staatliche Referenzen (Tag der Deutschen Einheit) hier prominent zeigen. Die Angabe „25+ Jahre“ ist im Kontext unkritisch und kann unverändert bleiben.</w:t>
      </w:r>
    </w:p>
    <w:p>
      <w:pPr>
        <w:pStyle w:val="Heading2"/>
      </w:pPr>
      <w:r>
        <w:t xml:space="preserve">6.5  Technische Dienstleister / Partner</w:t>
      </w:r>
    </w:p>
    <w:p>
      <w:pPr>
        <w:spacing w:after="120"/>
      </w:pPr>
      <w:r>
        <w:rPr>
          <w:i/>
          <w:iCs/>
          <w:color w:val="595959"/>
          <w:sz w:val="20"/>
          <w:szCs w:val="20"/>
        </w:rPr>
        <w:t xml:space="preserve">Bedürfnis: Portfolio-Erweiterung, attraktive Konditionen, Regionalschutz, Support.</w:t>
      </w:r>
    </w:p>
    <w:p>
      <w:pPr>
        <w:pStyle w:val="ListParagraph"/>
        <w:numPr>
          <w:ilvl w:val="0"/>
          <w:numId w:val="2"/>
        </w:numPr>
        <w:spacing w:after="60"/>
      </w:pPr>
      <w:r>
        <w:rPr>
          <w:b/>
          <w:bCs/>
        </w:rPr>
        <w:t xml:space="preserve">Geschäftsmodell-Sprache: </w:t>
      </w:r>
      <w:r>
        <w:t xml:space="preserve">„Erweitern Sie Ihr Vermietungsportfolio um einsatzkritische Kommunikationstechnik – mit Regionalschutz und technischem Rückhalt.“</w:t>
      </w:r>
    </w:p>
    <w:p>
      <w:pPr>
        <w:pStyle w:val="ListParagraph"/>
        <w:numPr>
          <w:ilvl w:val="0"/>
          <w:numId w:val="2"/>
        </w:numPr>
        <w:spacing w:after="60"/>
      </w:pPr>
      <w:r>
        <w:rPr>
          <w:b/>
          <w:bCs/>
        </w:rPr>
        <w:t xml:space="preserve">Konkretheit ohne Exklusivität: </w:t>
      </w:r>
      <w:r>
        <w:t xml:space="preserve">Konditionen und Schulungsumfang mit echten Eckdaten hinterlegen. KEINE Gebietsexklusivität versprechen – das Modell ist beziehungs- und vertrauensbasiert, in manchen Regionen sind 2–3 Partner aktiv.</w:t>
      </w:r>
    </w:p>
    <w:p>
      <w:pPr>
        <w:pStyle w:val="ListParagraph"/>
        <w:numPr>
          <w:ilvl w:val="0"/>
          <w:numId w:val="2"/>
        </w:numPr>
        <w:spacing w:after="60"/>
      </w:pPr>
      <w:r>
        <w:rPr>
          <w:b/>
          <w:bCs/>
        </w:rPr>
        <w:t xml:space="preserve">Vertrauensbasis betonen: </w:t>
      </w:r>
      <w:r>
        <w:t xml:space="preserve">Partnerwahl hängt von bestehenden Erfahrungen und Geschäftsbeziehungen ab. Formulierung wie „Wir arbeiten mit Partnern, denen wir vertrauen“ statt fester Gebietszusagen.</w:t>
      </w:r>
    </w:p>
    <w:p>
      <w:pPr>
        <w:pStyle w:val="ListParagraph"/>
        <w:numPr>
          <w:ilvl w:val="0"/>
          <w:numId w:val="2"/>
        </w:numPr>
        <w:spacing w:after="60"/>
      </w:pPr>
      <w:r>
        <w:rPr>
          <w:b/>
          <w:bCs/>
        </w:rPr>
        <w:t xml:space="preserve">Kundenseitige Vermittlung flexibel: </w:t>
      </w:r>
      <w:r>
        <w:t xml:space="preserve">Statt striktem Verweis auf genau einen Partner situativ auf einen oder mehrere geeignete Partner verweisen („zertifizierte Partner in Ihrer Region“).</w:t>
      </w:r>
    </w:p>
    <w:p>
      <w:pPr>
        <w:pStyle w:val="Heading2"/>
      </w:pPr>
      <w:r>
        <w:t xml:space="preserve">6.6  Techniker (Primärgruppe nikos.audio)</w:t>
      </w:r>
    </w:p>
    <w:p>
      <w:pPr>
        <w:spacing w:after="120"/>
      </w:pPr>
      <w:r>
        <w:rPr>
          <w:i/>
          <w:iCs/>
          <w:color w:val="595959"/>
          <w:sz w:val="20"/>
          <w:szCs w:val="20"/>
        </w:rPr>
        <w:t xml:space="preserve">Bedürfnis: schnelle Auffindbarkeit präziser technischer Information.</w:t>
      </w:r>
    </w:p>
    <w:p>
      <w:pPr>
        <w:pStyle w:val="ListParagraph"/>
        <w:numPr>
          <w:ilvl w:val="0"/>
          <w:numId w:val="2"/>
        </w:numPr>
        <w:spacing w:after="60"/>
      </w:pPr>
      <w:r>
        <w:rPr>
          <w:b/>
          <w:bCs/>
        </w:rPr>
        <w:t xml:space="preserve">Scan-Barkeit: </w:t>
      </w:r>
      <w:r>
        <w:t xml:space="preserve">Spezifikationen als kompakte Tabellen (Reichweite, dB, STI, Akku, Schnittstellen) – nicht in Fließtext verstecken.</w:t>
      </w:r>
    </w:p>
    <w:p>
      <w:pPr>
        <w:pStyle w:val="ListParagraph"/>
        <w:numPr>
          <w:ilvl w:val="0"/>
          <w:numId w:val="2"/>
        </w:numPr>
        <w:spacing w:after="60"/>
      </w:pPr>
      <w:r>
        <w:rPr>
          <w:b/>
          <w:bCs/>
        </w:rPr>
        <w:t xml:space="preserve">Funktionslogik zuerst: </w:t>
      </w:r>
      <w:r>
        <w:t xml:space="preserve">Das dispatcher/audio-Zusammenspiel als kurzes Schema; Details darunter. Technische Tiefe ist hier ein Plus, nicht zu reduzieren.</w:t>
      </w:r>
    </w:p>
    <w:p>
      <w:pPr>
        <w:pStyle w:val="ListParagraph"/>
        <w:numPr>
          <w:ilvl w:val="0"/>
          <w:numId w:val="2"/>
        </w:numPr>
        <w:spacing w:after="60"/>
      </w:pPr>
      <w:r>
        <w:rPr>
          <w:b/>
          <w:bCs/>
        </w:rPr>
        <w:t xml:space="preserve">Konsistente Modulschreibweise: </w:t>
      </w:r>
      <w:r>
        <w:t xml:space="preserve">Durchgängig NIKOS [modul]² (auch [LED]² einheitlich), damit das Systemdenken sofort erkennbar ist.</w:t>
      </w:r>
    </w:p>
    <w:p>
      <w:r>
        <w:t xml:space="preserve"/>
      </w:r>
    </w:p>
    <w:p>
      <w:pPr>
        <w:pBdr>
          <w:top w:val="single" w:color="CCCCCC" w:sz="6" w:space="6"/>
        </w:pBdr>
        <w:spacing w:before="120"/>
      </w:pPr>
      <w:r>
        <w:rPr>
          <w:i/>
          <w:iCs/>
          <w:color w:val="999999"/>
          <w:sz w:val="18"/>
          <w:szCs w:val="18"/>
        </w:rPr>
        <w:t xml:space="preserve">Hinweis: Die Analyse basiert auf dem Quelltext der Website und den beiden Masterfiles (inkl. Updates Juni 2026). Sie ersetzt keine Live-/Render-Prüfung im Browser und keine inhaltliche Faktenprüfung der Referenzangaben.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RADACOM GmbH · Website-Analyse nikos.audio · Seite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4D4D4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600" w:sz="8" w:space="4"/>
      </w:pBdr>
      <w:spacing w:after="160" w:before="300"/>
      <w:outlineLvl w:val="0"/>
    </w:pPr>
    <w:rPr>
      <w:rFonts w:ascii="Source Sans 3" w:cs="Source Sans 3" w:eastAsia="Source Sans 3" w:hAnsi="Source Sans 3"/>
      <w:b/>
      <w:bCs/>
      <w:color w:val="4D4D4D"/>
      <w:sz w:val="30"/>
      <w:szCs w:val="30"/>
    </w:rPr>
  </w:style>
  <w:style w:type="paragraph" w:styleId="Heading2">
    <w:name w:val="Heading 2"/>
    <w:basedOn w:val="Normal"/>
    <w:next w:val="Normal"/>
    <w:qFormat/>
    <w:pPr>
      <w:spacing w:after="120" w:before="220"/>
      <w:outlineLvl w:val="1"/>
    </w:pPr>
    <w:rPr>
      <w:rFonts w:ascii="Source Sans 3" w:cs="Source Sans 3" w:eastAsia="Source Sans 3" w:hAnsi="Source Sans 3"/>
      <w:b/>
      <w:bCs/>
      <w:color w:val="4D4D4D"/>
      <w:sz w:val="25"/>
      <w:szCs w:val="25"/>
    </w:rPr>
  </w:style>
  <w:style w:type="paragraph" w:styleId="Heading3">
    <w:name w:val="Heading 3"/>
    <w:basedOn w:val="Normal"/>
    <w:next w:val="Normal"/>
    <w:qFormat/>
    <w:pPr>
      <w:spacing w:after="80" w:before="160"/>
      <w:outlineLvl w:val="2"/>
    </w:pPr>
    <w:rPr>
      <w:rFonts w:ascii="Source Sans 3" w:cs="Source Sans 3" w:eastAsia="Source Sans 3" w:hAnsi="Source Sans 3"/>
      <w:b/>
      <w:bCs/>
      <w:color w:val="FF66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RADACOM Website-Analyse</dc:creator>
  <cp:lastModifiedBy>Un-named</cp:lastModifiedBy>
  <cp:revision>1</cp:revision>
  <dcterms:created xsi:type="dcterms:W3CDTF">2026-06-15T10:56:52.160Z</dcterms:created>
  <dcterms:modified xsi:type="dcterms:W3CDTF">2026-06-15T10:56:52.166Z</dcterms:modified>
</cp:coreProperties>
</file>

<file path=docProps/custom.xml><?xml version="1.0" encoding="utf-8"?>
<Properties xmlns="http://schemas.openxmlformats.org/officeDocument/2006/custom-properties" xmlns:vt="http://schemas.openxmlformats.org/officeDocument/2006/docPropsVTypes"/>
</file>