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A6A" w:rsidRPr="001B7BD7" w:rsidRDefault="008139C3" w:rsidP="009F476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39C3">
        <w:rPr>
          <w:rFonts w:ascii="Times New Roman" w:hAnsi="Times New Roman" w:cs="Times New Roman"/>
          <w:b/>
          <w:sz w:val="28"/>
          <w:szCs w:val="28"/>
        </w:rPr>
        <w:t>Применение искусственного интеллекта для углубления знаний в предметной области. (</w:t>
      </w:r>
      <w:r w:rsidRPr="008139C3">
        <w:rPr>
          <w:rFonts w:ascii="Times New Roman" w:hAnsi="Times New Roman" w:cs="Times New Roman"/>
          <w:b/>
          <w:sz w:val="28"/>
          <w:szCs w:val="28"/>
          <w:lang w:val="en-US"/>
        </w:rPr>
        <w:t>Related</w:t>
      </w:r>
      <w:r w:rsidRPr="001B7BD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39C3">
        <w:rPr>
          <w:rFonts w:ascii="Times New Roman" w:hAnsi="Times New Roman" w:cs="Times New Roman"/>
          <w:b/>
          <w:sz w:val="28"/>
          <w:szCs w:val="28"/>
          <w:lang w:val="en-US"/>
        </w:rPr>
        <w:t>Work</w:t>
      </w:r>
      <w:r w:rsidRPr="001B7BD7">
        <w:rPr>
          <w:rFonts w:ascii="Times New Roman" w:hAnsi="Times New Roman" w:cs="Times New Roman"/>
          <w:b/>
          <w:sz w:val="28"/>
          <w:szCs w:val="28"/>
        </w:rPr>
        <w:t>)</w:t>
      </w:r>
    </w:p>
    <w:p w:rsidR="00682C09" w:rsidRPr="00682C09" w:rsidRDefault="00682C09" w:rsidP="00682C0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2C09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1B7BD7" w:rsidRDefault="001B7BD7" w:rsidP="00682C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BD7">
        <w:rPr>
          <w:rFonts w:ascii="Times New Roman" w:hAnsi="Times New Roman" w:cs="Times New Roman"/>
          <w:sz w:val="28"/>
          <w:szCs w:val="28"/>
        </w:rPr>
        <w:t>В последние годы наблюдается стремительный рост интереса к таким направлениям ИИ, которые нацелены не на механическое извлечение данных, а на то, чтобы помочь пользователю глубже осмыслить предметную область. В этом обзоре мы рассматриваем семь значимых исследований 2025–2026 годов: они затрагивают широкий спектр вопросов — от педагогических методик и технических решений до прикладных способов применения ИИ для развития когнитивных навыков, объединения разрозненных знаний и фиксации экспертных компетенций.</w:t>
      </w:r>
    </w:p>
    <w:p w:rsidR="00682C09" w:rsidRPr="00682C09" w:rsidRDefault="00682C09" w:rsidP="00682C0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2C09">
        <w:rPr>
          <w:rFonts w:ascii="Times New Roman" w:hAnsi="Times New Roman" w:cs="Times New Roman"/>
          <w:b/>
          <w:bCs/>
          <w:sz w:val="28"/>
          <w:szCs w:val="28"/>
        </w:rPr>
        <w:t>Классические подходы (до глубокого обучения)</w:t>
      </w:r>
    </w:p>
    <w:p w:rsidR="001B7BD7" w:rsidRPr="001B7BD7" w:rsidRDefault="001B7BD7" w:rsidP="001B7B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BD7">
        <w:rPr>
          <w:rFonts w:ascii="Times New Roman" w:hAnsi="Times New Roman" w:cs="Times New Roman"/>
          <w:sz w:val="28"/>
          <w:szCs w:val="28"/>
        </w:rPr>
        <w:t>В исследовании Burbage et al. (2026) [1] проводится сравнение традиционных педагогических методов — таких как структурированные лекции и тестирование — с потенциалом генеративного ИИ в преодолении «порога теории». При этом стоит учитывать ограничение работы: её эмпирическая база сформирована на материале медицинского образования, поэтому переносить выводы на технические дисциплины следует с осторожностью — обобщ</w:t>
      </w:r>
      <w:r>
        <w:rPr>
          <w:rFonts w:ascii="Times New Roman" w:hAnsi="Times New Roman" w:cs="Times New Roman"/>
          <w:sz w:val="28"/>
          <w:szCs w:val="28"/>
        </w:rPr>
        <w:t>аемость результатов ограничена.</w:t>
      </w:r>
    </w:p>
    <w:p w:rsidR="001B7BD7" w:rsidRDefault="001B7BD7" w:rsidP="001B7B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BD7">
        <w:rPr>
          <w:rFonts w:ascii="Times New Roman" w:hAnsi="Times New Roman" w:cs="Times New Roman"/>
          <w:sz w:val="28"/>
          <w:szCs w:val="28"/>
        </w:rPr>
        <w:t>Работа Daniel et al. (2026) [2] посвящена внедрению ChatGPT в стандартные учебные туториалы с целью оптимизации извлечения знаний. Авторы демонстрируют, что такой подход способствует развитию продвинутых когнитивных навыков, включая анализ и синтез. Вместе с тем они подчёркивают существенный нюанс: итоговая эффективность интеграции модели критически зависит от качества промптов, а это, в свою очередь, предполагает необходимость дополнительной подготовки преподавательского состава.</w:t>
      </w:r>
    </w:p>
    <w:p w:rsidR="001B7BD7" w:rsidRDefault="001B7BD7" w:rsidP="00FB31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82C09" w:rsidRPr="00682C09" w:rsidRDefault="00682C09" w:rsidP="001B7B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2C0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Методы глубокого обучения (DL) и нейросетевые архитектуры</w:t>
      </w:r>
    </w:p>
    <w:p w:rsidR="001B7BD7" w:rsidRPr="001B7BD7" w:rsidRDefault="001B7BD7" w:rsidP="001B7BD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7BD7">
        <w:rPr>
          <w:rFonts w:ascii="Times New Roman" w:hAnsi="Times New Roman" w:cs="Times New Roman"/>
          <w:bCs/>
          <w:sz w:val="28"/>
          <w:szCs w:val="28"/>
        </w:rPr>
        <w:t>В исследовании Lakatos et al. (2025) [3] сопоставляются два подхода к построению предметно-ориентированных систем знаний на базе глубокого обучения (DL): метод Retrieval-Augmented Generation (RAG) и тонкая настройка (fine-tuning) больших языковых моделей. При этом авторы концентрируются исключительно на точности генерируемых ответов, оставляя за рамками анализа то, насколько глубоко конечный п</w:t>
      </w:r>
      <w:r>
        <w:rPr>
          <w:rFonts w:ascii="Times New Roman" w:hAnsi="Times New Roman" w:cs="Times New Roman"/>
          <w:bCs/>
          <w:sz w:val="28"/>
          <w:szCs w:val="28"/>
        </w:rPr>
        <w:t>ользователь усваивает материал.</w:t>
      </w:r>
    </w:p>
    <w:p w:rsidR="001B7BD7" w:rsidRPr="001B7BD7" w:rsidRDefault="001B7BD7" w:rsidP="001B7BD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7BD7">
        <w:rPr>
          <w:rFonts w:ascii="Times New Roman" w:hAnsi="Times New Roman" w:cs="Times New Roman"/>
          <w:bCs/>
          <w:sz w:val="28"/>
          <w:szCs w:val="28"/>
        </w:rPr>
        <w:t>Jaldi et al. (2025) [4] представляют нейросимволическую модель, которая совмещает мощные нейросетевые архитектуры с графами знаний. Главное преимущество разработки — способность осуществлять каузальный вывод, а не ограничиваться вероятностным подбором ответов. Однако практическое применение решения осложняется высокой вычислительной нагрузкой, к тому же пока не существует масштабируемых версий этой системы для использования в реа</w:t>
      </w:r>
      <w:r>
        <w:rPr>
          <w:rFonts w:ascii="Times New Roman" w:hAnsi="Times New Roman" w:cs="Times New Roman"/>
          <w:bCs/>
          <w:sz w:val="28"/>
          <w:szCs w:val="28"/>
        </w:rPr>
        <w:t>льном образовательном процессе.</w:t>
      </w:r>
    </w:p>
    <w:p w:rsidR="001B7BD7" w:rsidRDefault="001B7BD7" w:rsidP="001B7BD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7BD7">
        <w:rPr>
          <w:rFonts w:ascii="Times New Roman" w:hAnsi="Times New Roman" w:cs="Times New Roman"/>
          <w:bCs/>
          <w:sz w:val="28"/>
          <w:szCs w:val="28"/>
        </w:rPr>
        <w:t>Lamazzi et al. (2026) [5] предлагают методику извлечения неявных экспертных знаний, комбинируя DL‑энкодеры с символическим выводом на основе подходов Logic Augmented Generation и Active Inference. Существенный нюанс: работа опубликована лишь в виде препринта на arXiv и ещё не прошла проверку на объёмном промышленном датасете, что оставляет вопросы к её надёжности и обобщающей способности.</w:t>
      </w:r>
    </w:p>
    <w:p w:rsidR="00682C09" w:rsidRPr="00682C09" w:rsidRDefault="00682C09" w:rsidP="001B7B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2C09">
        <w:rPr>
          <w:rFonts w:ascii="Times New Roman" w:hAnsi="Times New Roman" w:cs="Times New Roman"/>
          <w:b/>
          <w:bCs/>
          <w:sz w:val="28"/>
          <w:szCs w:val="28"/>
        </w:rPr>
        <w:t>Датасеты (данные и бенчмарки)</w:t>
      </w:r>
    </w:p>
    <w:p w:rsidR="00682C09" w:rsidRPr="00682C09" w:rsidRDefault="00682C09" w:rsidP="00682C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C09">
        <w:rPr>
          <w:rFonts w:ascii="Times New Roman" w:hAnsi="Times New Roman" w:cs="Times New Roman"/>
          <w:sz w:val="28"/>
          <w:szCs w:val="28"/>
        </w:rPr>
        <w:t>Ни одна из рассмотренных работ не вводит специализированных публичных датасетов для задачи углубления знаний. </w:t>
      </w:r>
      <w:r w:rsidRPr="00682C09">
        <w:rPr>
          <w:rFonts w:ascii="Times New Roman" w:hAnsi="Times New Roman" w:cs="Times New Roman"/>
          <w:bCs/>
          <w:sz w:val="28"/>
          <w:szCs w:val="28"/>
        </w:rPr>
        <w:t>Constantinides et al. (2026)</w:t>
      </w:r>
      <w:r w:rsidRPr="00682C09">
        <w:rPr>
          <w:rFonts w:ascii="Times New Roman" w:hAnsi="Times New Roman" w:cs="Times New Roman"/>
          <w:sz w:val="28"/>
          <w:szCs w:val="28"/>
        </w:rPr>
        <w:t> [6] используют проприетарные логи промышленных данных для Industry 4.0, что не позволяет воспроизвести результаты. </w:t>
      </w:r>
      <w:r w:rsidRPr="00682C09">
        <w:rPr>
          <w:rFonts w:ascii="Times New Roman" w:hAnsi="Times New Roman" w:cs="Times New Roman"/>
          <w:bCs/>
          <w:sz w:val="28"/>
          <w:szCs w:val="28"/>
        </w:rPr>
        <w:t>Sun &amp; Zhang (2026)</w:t>
      </w:r>
      <w:r w:rsidRPr="00682C09">
        <w:rPr>
          <w:rFonts w:ascii="Times New Roman" w:hAnsi="Times New Roman" w:cs="Times New Roman"/>
          <w:sz w:val="28"/>
          <w:szCs w:val="28"/>
        </w:rPr>
        <w:t xml:space="preserve"> [7] применяют ограниченный набор учебных материалов по материаловедению в одном университете, что ставит вопрос о репрезентативности данных. Таким </w:t>
      </w:r>
      <w:r w:rsidRPr="00682C09">
        <w:rPr>
          <w:rFonts w:ascii="Times New Roman" w:hAnsi="Times New Roman" w:cs="Times New Roman"/>
          <w:sz w:val="28"/>
          <w:szCs w:val="28"/>
        </w:rPr>
        <w:lastRenderedPageBreak/>
        <w:t>образом, отсутствие стандартизированных бенчмарков для оценки «глубины понимания» является общей проблемой.</w:t>
      </w:r>
    </w:p>
    <w:p w:rsidR="00682C09" w:rsidRPr="00682C09" w:rsidRDefault="00682C09" w:rsidP="00682C0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2C09">
        <w:rPr>
          <w:rFonts w:ascii="Times New Roman" w:hAnsi="Times New Roman" w:cs="Times New Roman"/>
          <w:b/>
          <w:bCs/>
          <w:sz w:val="28"/>
          <w:szCs w:val="28"/>
        </w:rPr>
        <w:t>Применения</w:t>
      </w:r>
    </w:p>
    <w:p w:rsidR="001B7BD7" w:rsidRPr="001B7BD7" w:rsidRDefault="001B7BD7" w:rsidP="001B7BD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7BD7">
        <w:rPr>
          <w:rFonts w:ascii="Times New Roman" w:hAnsi="Times New Roman" w:cs="Times New Roman"/>
          <w:bCs/>
          <w:sz w:val="28"/>
          <w:szCs w:val="28"/>
        </w:rPr>
        <w:t>В</w:t>
      </w:r>
      <w:r w:rsidRPr="001B655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7BD7">
        <w:rPr>
          <w:rFonts w:ascii="Times New Roman" w:hAnsi="Times New Roman" w:cs="Times New Roman"/>
          <w:bCs/>
          <w:sz w:val="28"/>
          <w:szCs w:val="28"/>
        </w:rPr>
        <w:t>работе</w:t>
      </w:r>
      <w:r w:rsidRPr="001B655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7BD7">
        <w:rPr>
          <w:rFonts w:ascii="Times New Roman" w:hAnsi="Times New Roman" w:cs="Times New Roman"/>
          <w:bCs/>
          <w:sz w:val="28"/>
          <w:szCs w:val="28"/>
          <w:lang w:val="en-US"/>
        </w:rPr>
        <w:t>Constantinides</w:t>
      </w:r>
      <w:r w:rsidRPr="001B655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7BD7">
        <w:rPr>
          <w:rFonts w:ascii="Times New Roman" w:hAnsi="Times New Roman" w:cs="Times New Roman"/>
          <w:bCs/>
          <w:sz w:val="28"/>
          <w:szCs w:val="28"/>
          <w:lang w:val="en-US"/>
        </w:rPr>
        <w:t>et</w:t>
      </w:r>
      <w:r w:rsidRPr="001B655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7BD7">
        <w:rPr>
          <w:rFonts w:ascii="Times New Roman" w:hAnsi="Times New Roman" w:cs="Times New Roman"/>
          <w:bCs/>
          <w:sz w:val="28"/>
          <w:szCs w:val="28"/>
          <w:lang w:val="en-US"/>
        </w:rPr>
        <w:t>al</w:t>
      </w:r>
      <w:r w:rsidRPr="001B655A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1B7BD7">
        <w:rPr>
          <w:rFonts w:ascii="Times New Roman" w:hAnsi="Times New Roman" w:cs="Times New Roman"/>
          <w:bCs/>
          <w:sz w:val="28"/>
          <w:szCs w:val="28"/>
        </w:rPr>
        <w:t xml:space="preserve">(2026) [6] показана эффективность мультиагентной ИИ‑системы для формирования релевантных вопросов в промышленных сценариях — благодаря ей инженеры, работающие с данными, лучше осваивают специфику домена. Однако у решения есть существенный недостаток: для адаптации к новой предметной области (скажем, от нефтегазовой сферы к машиностроению) требуется </w:t>
      </w:r>
      <w:r>
        <w:rPr>
          <w:rFonts w:ascii="Times New Roman" w:hAnsi="Times New Roman" w:cs="Times New Roman"/>
          <w:bCs/>
          <w:sz w:val="28"/>
          <w:szCs w:val="28"/>
        </w:rPr>
        <w:t>масштабная донастройка системы.</w:t>
      </w:r>
    </w:p>
    <w:p w:rsidR="001B7BD7" w:rsidRPr="001B7BD7" w:rsidRDefault="001B7BD7" w:rsidP="001B7BD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7BD7">
        <w:rPr>
          <w:rFonts w:ascii="Times New Roman" w:hAnsi="Times New Roman" w:cs="Times New Roman"/>
          <w:bCs/>
          <w:sz w:val="28"/>
          <w:szCs w:val="28"/>
        </w:rPr>
        <w:t>Sun &amp; Zhang (2026) [7] исследовали, как генеративный ИИ можно применять на курсе материаловедения: с его помощью создаются «интегративные карты знаний», которые выстраивают связи между различными классами материалов. Авторы экспериментально подтвердили, что такой подход способствует формированию целостного, связного понимания темы. Вместе с тем в исследовании отсутствует сравнение с классическими методами визуализации знаний — например, с ручными концептуальными картами, что можно отнести к ограничениям работы.</w:t>
      </w:r>
    </w:p>
    <w:p w:rsidR="00682C09" w:rsidRPr="00682C09" w:rsidRDefault="00682C09" w:rsidP="00682C0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2C09">
        <w:rPr>
          <w:rFonts w:ascii="Times New Roman" w:hAnsi="Times New Roman" w:cs="Times New Roman"/>
          <w:b/>
          <w:bCs/>
          <w:sz w:val="28"/>
          <w:szCs w:val="28"/>
        </w:rPr>
        <w:t>Research Gap (Пробелы и точка вклада настоящей работы)</w:t>
      </w:r>
    </w:p>
    <w:p w:rsidR="00EA0F6E" w:rsidRPr="00EA0F6E" w:rsidRDefault="00EA0F6E" w:rsidP="00EA0F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F6E">
        <w:rPr>
          <w:rFonts w:ascii="Times New Roman" w:hAnsi="Times New Roman" w:cs="Times New Roman"/>
          <w:sz w:val="28"/>
          <w:szCs w:val="28"/>
        </w:rPr>
        <w:t>Анализ семи научных публикаций позволил обнаружить несколько ключевых недостатков в существующих исследованиях:</w:t>
      </w:r>
    </w:p>
    <w:p w:rsidR="00EA0F6E" w:rsidRPr="00EA0F6E" w:rsidRDefault="00EA0F6E" w:rsidP="00EA0F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F6E">
        <w:rPr>
          <w:rFonts w:ascii="Times New Roman" w:hAnsi="Times New Roman" w:cs="Times New Roman"/>
          <w:sz w:val="28"/>
          <w:szCs w:val="28"/>
        </w:rPr>
        <w:t>Отсутствие стандартизированного подхода к измерению глубины знаний. Ни в одной из работ не представлен чёткий, формализованный инструмент, который помог бы понять, приводит ли использование ИИ к подлинному осмыслению предметной области или лишь к росту точности выдаваемых ответов.</w:t>
      </w:r>
    </w:p>
    <w:p w:rsidR="00EA0F6E" w:rsidRPr="00EA0F6E" w:rsidRDefault="00EA0F6E" w:rsidP="00EA0F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F6E">
        <w:rPr>
          <w:rFonts w:ascii="Times New Roman" w:hAnsi="Times New Roman" w:cs="Times New Roman"/>
          <w:sz w:val="28"/>
          <w:szCs w:val="28"/>
        </w:rPr>
        <w:lastRenderedPageBreak/>
        <w:t>Несбалансированность педагогических и технических аспектов. Исследования с педагогической направленностью [1,2,7] не задействуют передовые технические разработки (такие как мультиагентный или нейросимволический ИИ), в то время как технические работы [3,4,5,6] игнорируют вопросы образовательной результативности применяемых решений.</w:t>
      </w:r>
    </w:p>
    <w:p w:rsidR="00EA0F6E" w:rsidRPr="00EA0F6E" w:rsidRDefault="00EA0F6E" w:rsidP="00EA0F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F6E">
        <w:rPr>
          <w:rFonts w:ascii="Times New Roman" w:hAnsi="Times New Roman" w:cs="Times New Roman"/>
          <w:sz w:val="28"/>
          <w:szCs w:val="28"/>
        </w:rPr>
        <w:t>Нехватка общедоступных материалов для валидации систем. Нет единых датасетов и бенчмарков, которые позволили бы объективно сравнивать разные ИИ системы по их способности развивать глубокое понимание конкретной дисциплины.</w:t>
      </w:r>
    </w:p>
    <w:p w:rsidR="00EA0F6E" w:rsidRPr="00EA0F6E" w:rsidRDefault="00EA0F6E" w:rsidP="00EA0F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F6E">
        <w:rPr>
          <w:rFonts w:ascii="Times New Roman" w:hAnsi="Times New Roman" w:cs="Times New Roman"/>
          <w:sz w:val="28"/>
          <w:szCs w:val="28"/>
        </w:rPr>
        <w:t>Слабая персонализация обучающих методик. Современные решения не обеспечивают достаточной гибкости в адаптации учебных стратегий к индивидуальному уровню подготовки пользователя.</w:t>
      </w:r>
    </w:p>
    <w:p w:rsidR="00EA0F6E" w:rsidRPr="00EA0F6E" w:rsidRDefault="00EA0F6E" w:rsidP="00EA0F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F6E">
        <w:rPr>
          <w:rFonts w:ascii="Times New Roman" w:hAnsi="Times New Roman" w:cs="Times New Roman"/>
          <w:sz w:val="28"/>
          <w:szCs w:val="28"/>
        </w:rPr>
        <w:t>Для преодоления этих ограничений в нашей работе предлагается комплексный подход. Мы создаём нейросимволическую интегрированную платформу, которая включает три основных элемента: RAG модуль (для доступа к актуальным данным), граф знаний (для систематизации предметной области) и адаптивный генератор вопросов на основе активного вывода (для настройки взаимодействия под конкретного пользователя).</w:t>
      </w:r>
    </w:p>
    <w:p w:rsidR="00EA0F6E" w:rsidRPr="00EA0F6E" w:rsidRDefault="00EA0F6E" w:rsidP="00EA0F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F6E">
        <w:rPr>
          <w:rFonts w:ascii="Times New Roman" w:hAnsi="Times New Roman" w:cs="Times New Roman"/>
          <w:sz w:val="28"/>
          <w:szCs w:val="28"/>
        </w:rPr>
        <w:t>Также мы вводим оригинальный показатель — Коэффициент углубления знаний (KDC). Его значение будет определяться путём сравнительного анализа концептуальных карт, составленных до и после работы с системой. Апробация предложенного метода запланирована на открытом синтетическом датасете, который охватывает несколько дисциплин: медицину, материаловедение и инженерию.</w:t>
      </w:r>
    </w:p>
    <w:p w:rsidR="00CF4FC4" w:rsidRDefault="00CF4FC4" w:rsidP="00682C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7BD7" w:rsidRDefault="001B7BD7" w:rsidP="00682C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04987" w:rsidRDefault="00904987" w:rsidP="00682C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2202B2" w:rsidRPr="002202B2" w:rsidRDefault="002202B2" w:rsidP="009F476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02B2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:rsidR="00CF4FC4" w:rsidRPr="00CF4FC4" w:rsidRDefault="00CF4FC4" w:rsidP="00CF4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C09">
        <w:rPr>
          <w:rFonts w:ascii="Times New Roman" w:hAnsi="Times New Roman" w:cs="Times New Roman"/>
          <w:sz w:val="28"/>
          <w:szCs w:val="28"/>
        </w:rPr>
        <w:t xml:space="preserve">1. </w:t>
      </w:r>
      <w:r w:rsidRPr="00CF4FC4">
        <w:rPr>
          <w:rFonts w:ascii="Times New Roman" w:hAnsi="Times New Roman" w:cs="Times New Roman"/>
          <w:sz w:val="28"/>
          <w:szCs w:val="28"/>
          <w:lang w:val="en-US"/>
        </w:rPr>
        <w:t>Burbage</w:t>
      </w:r>
      <w:r w:rsidRPr="00682C09">
        <w:rPr>
          <w:rFonts w:ascii="Times New Roman" w:hAnsi="Times New Roman" w:cs="Times New Roman"/>
          <w:sz w:val="28"/>
          <w:szCs w:val="28"/>
        </w:rPr>
        <w:t xml:space="preserve"> </w:t>
      </w:r>
      <w:r w:rsidRPr="00CF4FC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82C09">
        <w:rPr>
          <w:rFonts w:ascii="Times New Roman" w:hAnsi="Times New Roman" w:cs="Times New Roman"/>
          <w:sz w:val="28"/>
          <w:szCs w:val="28"/>
        </w:rPr>
        <w:t xml:space="preserve">., </w:t>
      </w:r>
      <w:r w:rsidRPr="00CF4FC4">
        <w:rPr>
          <w:rFonts w:ascii="Times New Roman" w:hAnsi="Times New Roman" w:cs="Times New Roman"/>
          <w:sz w:val="28"/>
          <w:szCs w:val="28"/>
          <w:lang w:val="en-US"/>
        </w:rPr>
        <w:t>et</w:t>
      </w:r>
      <w:r w:rsidRPr="00682C09">
        <w:rPr>
          <w:rFonts w:ascii="Times New Roman" w:hAnsi="Times New Roman" w:cs="Times New Roman"/>
          <w:sz w:val="28"/>
          <w:szCs w:val="28"/>
        </w:rPr>
        <w:t xml:space="preserve"> </w:t>
      </w:r>
      <w:r w:rsidRPr="00CF4FC4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682C09">
        <w:rPr>
          <w:rFonts w:ascii="Times New Roman" w:hAnsi="Times New Roman" w:cs="Times New Roman"/>
          <w:sz w:val="28"/>
          <w:szCs w:val="28"/>
        </w:rPr>
        <w:t xml:space="preserve">. </w:t>
      </w:r>
      <w:r w:rsidRPr="00CF4FC4">
        <w:rPr>
          <w:rFonts w:ascii="Times New Roman" w:hAnsi="Times New Roman" w:cs="Times New Roman"/>
          <w:sz w:val="28"/>
          <w:szCs w:val="28"/>
          <w:lang w:val="en-US"/>
        </w:rPr>
        <w:t>Crossing the theory threshold: the pedagogical potential of generative artificial intelligence in educational research // Korean Journal of Medical Education. 2026. DOI: 10.3946/kjme.2025.098.</w:t>
      </w:r>
    </w:p>
    <w:p w:rsidR="00CF4FC4" w:rsidRPr="00CF4FC4" w:rsidRDefault="00CF4FC4" w:rsidP="00CF4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4FC4">
        <w:rPr>
          <w:rFonts w:ascii="Times New Roman" w:hAnsi="Times New Roman" w:cs="Times New Roman"/>
          <w:sz w:val="28"/>
          <w:szCs w:val="28"/>
          <w:lang w:val="en-US"/>
        </w:rPr>
        <w:t>2. Daniel R. A., et al. Integrating ChatGPT into knowledge-retrieval tutorials in undergraduate medical education: a prospective evaluation of higher-order learning and feasibility // Medical Education Online. 2026. DOI: 10.1080/10872981.2026.2639203.</w:t>
      </w:r>
    </w:p>
    <w:p w:rsidR="00CF4FC4" w:rsidRPr="00CF4FC4" w:rsidRDefault="00CF4FC4" w:rsidP="00CF4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4FC4">
        <w:rPr>
          <w:rFonts w:ascii="Times New Roman" w:hAnsi="Times New Roman" w:cs="Times New Roman"/>
          <w:sz w:val="28"/>
          <w:szCs w:val="28"/>
          <w:lang w:val="en-US"/>
        </w:rPr>
        <w:t>3. Lakatos R., Pollner P., Hajdu A., Joó T. Investigating the Performance of Retrieval-Augmented Generation and Domain-Specific Fine-Tuning for the Development of AI-Driven Knowledge-Based Systems // Machine Learning and Knowledge Extraction. 2025. Vol. 7, № 1. Art. 15. DOI: 10.3390/make7010015.</w:t>
      </w:r>
    </w:p>
    <w:p w:rsidR="00CF4FC4" w:rsidRPr="00CF4FC4" w:rsidRDefault="00CF4FC4" w:rsidP="00CF4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4FC4">
        <w:rPr>
          <w:rFonts w:ascii="Times New Roman" w:hAnsi="Times New Roman" w:cs="Times New Roman"/>
          <w:sz w:val="28"/>
          <w:szCs w:val="28"/>
          <w:lang w:val="en-US"/>
        </w:rPr>
        <w:t>4. Jaldi C. D., Ilkou E., Schroeder N., Shimizu C. Education in the Era of Neurosymbolic AI // Journal of Web Semantics. 2025. DOI: 10.1016/j.websem.2024.100857.</w:t>
      </w:r>
    </w:p>
    <w:p w:rsidR="00CF4FC4" w:rsidRPr="00CF4FC4" w:rsidRDefault="00CF4FC4" w:rsidP="00CF4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4FC4">
        <w:rPr>
          <w:rFonts w:ascii="Times New Roman" w:hAnsi="Times New Roman" w:cs="Times New Roman"/>
          <w:sz w:val="28"/>
          <w:szCs w:val="28"/>
          <w:lang w:val="en-US"/>
        </w:rPr>
        <w:t>5. Lamazzi L., et al. Tacit Knowledge Extraction via Logic Augmented Generation and Active Inference // arXiv. 2026. DOI: 10.48550/arXiv.2605.07639.</w:t>
      </w:r>
    </w:p>
    <w:p w:rsidR="00CF4FC4" w:rsidRPr="001B7BD7" w:rsidRDefault="00CF4FC4" w:rsidP="00CF4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4FC4">
        <w:rPr>
          <w:rFonts w:ascii="Times New Roman" w:hAnsi="Times New Roman" w:cs="Times New Roman"/>
          <w:sz w:val="28"/>
          <w:szCs w:val="28"/>
          <w:lang w:val="en-US"/>
        </w:rPr>
        <w:t xml:space="preserve">6. Constantinides C., Patel D., Kimbleton S., Garg N., Paracha M. Diversity Meets Relevancy: Multi-Agent Knowledge Probing for Industry 4.0 Applications // Proceedings of the AAAI Conference on Artificial Intelligence. </w:t>
      </w:r>
      <w:r w:rsidRPr="00CF4FC4">
        <w:rPr>
          <w:rFonts w:ascii="Times New Roman" w:hAnsi="Times New Roman" w:cs="Times New Roman"/>
          <w:sz w:val="28"/>
          <w:szCs w:val="28"/>
        </w:rPr>
        <w:t xml:space="preserve">2026. Vol. 40, № 47. P. 52580–52588. </w:t>
      </w:r>
      <w:r w:rsidRPr="001B7BD7">
        <w:rPr>
          <w:rFonts w:ascii="Times New Roman" w:hAnsi="Times New Roman" w:cs="Times New Roman"/>
          <w:sz w:val="28"/>
          <w:szCs w:val="28"/>
          <w:lang w:val="en-US"/>
        </w:rPr>
        <w:t>DOI: 10.1609/aaai.v40i47.41459.</w:t>
      </w:r>
    </w:p>
    <w:p w:rsidR="00CF4FC4" w:rsidRPr="008139C3" w:rsidRDefault="00CF4FC4" w:rsidP="00CF4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FC4">
        <w:rPr>
          <w:rFonts w:ascii="Times New Roman" w:hAnsi="Times New Roman" w:cs="Times New Roman"/>
          <w:sz w:val="28"/>
          <w:szCs w:val="28"/>
          <w:lang w:val="en-US"/>
        </w:rPr>
        <w:t xml:space="preserve">7. Sun F., Zhang Y. Bridging the Knowledge Map: Using Generative AI to Foster Integrative Learning and Exploration in an Introductory Materials Science Course // Proceedings of the 2026 8th International Conference on Education and E-Learning (ICEEL 2026). </w:t>
      </w:r>
      <w:r w:rsidRPr="00CF4FC4">
        <w:rPr>
          <w:rFonts w:ascii="Times New Roman" w:hAnsi="Times New Roman" w:cs="Times New Roman"/>
          <w:sz w:val="28"/>
          <w:szCs w:val="28"/>
        </w:rPr>
        <w:t>2026. P. 312–319. DOI: 10.2991/978-2-38476-553-9_42.</w:t>
      </w:r>
    </w:p>
    <w:sectPr w:rsidR="00CF4FC4" w:rsidRPr="008139C3" w:rsidSect="009F4760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3779" w:rsidRDefault="00A73779" w:rsidP="00FB311B">
      <w:pPr>
        <w:spacing w:after="0" w:line="240" w:lineRule="auto"/>
      </w:pPr>
      <w:r>
        <w:separator/>
      </w:r>
    </w:p>
  </w:endnote>
  <w:endnote w:type="continuationSeparator" w:id="0">
    <w:p w:rsidR="00A73779" w:rsidRDefault="00A73779" w:rsidP="00FB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4186743"/>
      <w:docPartObj>
        <w:docPartGallery w:val="Page Numbers (Bottom of Page)"/>
        <w:docPartUnique/>
      </w:docPartObj>
    </w:sdtPr>
    <w:sdtContent>
      <w:p w:rsidR="00FB311B" w:rsidRDefault="00FB311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:rsidR="00FB311B" w:rsidRDefault="00FB311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3779" w:rsidRDefault="00A73779" w:rsidP="00FB311B">
      <w:pPr>
        <w:spacing w:after="0" w:line="240" w:lineRule="auto"/>
      </w:pPr>
      <w:r>
        <w:separator/>
      </w:r>
    </w:p>
  </w:footnote>
  <w:footnote w:type="continuationSeparator" w:id="0">
    <w:p w:rsidR="00A73779" w:rsidRDefault="00A73779" w:rsidP="00FB3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40820"/>
    <w:multiLevelType w:val="multilevel"/>
    <w:tmpl w:val="D2CC9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03FD3"/>
    <w:multiLevelType w:val="multilevel"/>
    <w:tmpl w:val="694E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27572"/>
    <w:multiLevelType w:val="multilevel"/>
    <w:tmpl w:val="EB1E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8A2854"/>
    <w:multiLevelType w:val="multilevel"/>
    <w:tmpl w:val="A2FAB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C53"/>
    <w:rsid w:val="000A0C53"/>
    <w:rsid w:val="001B655A"/>
    <w:rsid w:val="001B7BD7"/>
    <w:rsid w:val="002202B2"/>
    <w:rsid w:val="00324A6A"/>
    <w:rsid w:val="00682C09"/>
    <w:rsid w:val="008139C3"/>
    <w:rsid w:val="00904987"/>
    <w:rsid w:val="009F4760"/>
    <w:rsid w:val="00A73779"/>
    <w:rsid w:val="00CF4FC4"/>
    <w:rsid w:val="00EA0F6E"/>
    <w:rsid w:val="00FB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C12C3"/>
  <w15:chartTrackingRefBased/>
  <w15:docId w15:val="{6B7F8164-AA69-4F5E-8CE7-86CA8F7ED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B311B"/>
  </w:style>
  <w:style w:type="paragraph" w:styleId="a5">
    <w:name w:val="footer"/>
    <w:basedOn w:val="a"/>
    <w:link w:val="a6"/>
    <w:uiPriority w:val="99"/>
    <w:unhideWhenUsed/>
    <w:rsid w:val="00FB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B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1207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Коля</dc:creator>
  <cp:keywords/>
  <dc:description/>
  <cp:lastModifiedBy>Коля</cp:lastModifiedBy>
  <cp:revision>10</cp:revision>
  <dcterms:created xsi:type="dcterms:W3CDTF">2026-05-27T15:27:00Z</dcterms:created>
  <dcterms:modified xsi:type="dcterms:W3CDTF">2026-05-27T20:40:00Z</dcterms:modified>
</cp:coreProperties>
</file>