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DOC-01 — Регламент вывода ИИ-моделей и ИИ-сервисов в промышленную эксплуатацию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Регламент вывода ИИ-моделей и ИИ-сервисов в промышленную эксплуатацию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3.2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2026-03-01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2027-03-01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Команда развития ИИ-среды (тимлид)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1. Назначение и область применения</w:t>
      </w:r>
    </w:p>
    <w:p>
      <w:pPr>
        <w:spacing w:after="60"/>
        <w:jc w:val="both"/>
      </w:pPr>
      <w:r>
        <w:rPr>
          <w:b/>
          <w:bCs/>
        </w:rPr>
        <w:t xml:space="preserve">1.1. </w:t>
      </w:r>
      <w:r>
        <w:t xml:space="preserve">Регламент устанавливает единый порядок вывода ИИ-моделей и ИИ-сервисов в промышленную эксплуатацию (далее — ПЭ) в закрытом контуре банка на платформе OpenShift, Apache Airflow, MLflow и GitLab.</w:t>
      </w:r>
    </w:p>
    <w:p>
      <w:pPr>
        <w:spacing w:after="60"/>
        <w:jc w:val="both"/>
      </w:pPr>
      <w:r>
        <w:rPr>
          <w:b/>
          <w:bCs/>
        </w:rPr>
        <w:t xml:space="preserve">1.2. </w:t>
      </w:r>
      <w:r>
        <w:t xml:space="preserve">Действие регламента распространяется на все подразделения, создающие или переиспользующие ИИ-модели, независимо от бизнес-домена.</w:t>
      </w:r>
    </w:p>
    <w:p>
      <w:pPr>
        <w:spacing w:after="60"/>
        <w:jc w:val="both"/>
      </w:pPr>
      <w:r>
        <w:rPr>
          <w:b/>
          <w:bCs/>
        </w:rPr>
        <w:t xml:space="preserve">1.3. </w:t>
      </w:r>
      <w:r>
        <w:t xml:space="preserve">Регламент не регулирует процесс исследования и обучения моделей до этапа регистрации в MLflow Model Registry (см. DOC-04), а также вопросы бизнес-целесообразности инициативы.</w:t>
      </w:r>
    </w:p>
    <w:p>
      <w:pPr>
        <w:spacing w:after="60"/>
        <w:jc w:val="both"/>
      </w:pPr>
      <w:r>
        <w:rPr>
          <w:b/>
          <w:bCs/>
        </w:rPr>
        <w:t xml:space="preserve">1.4. </w:t>
      </w:r>
      <w:r>
        <w:t xml:space="preserve">Термины и сокращения приведены в DOC-08, часть A.</w:t>
      </w:r>
    </w:p>
    <w:p>
      <w:pPr>
        <w:pStyle w:val="Heading1"/>
        <w:spacing w:after="120" w:before="240"/>
      </w:pPr>
      <w:r>
        <w:rPr>
          <w:b/>
          <w:bCs/>
        </w:rPr>
        <w:t xml:space="preserve">2. Типы ИИ-сервисов</w:t>
      </w:r>
    </w:p>
    <w:p>
      <w:pPr>
        <w:spacing w:after="60"/>
        <w:jc w:val="both"/>
      </w:pPr>
      <w:r>
        <w:rPr>
          <w:b/>
          <w:bCs/>
        </w:rPr>
        <w:t xml:space="preserve">2.1. </w:t>
      </w:r>
      <w:r>
        <w:t xml:space="preserve">Онлайн-сервис — синхронный сервис инференса, публикуемый как REST-приложение в OpenShift и отвечающий на запрос в реальном времени. Порядок развёртывания — DOC-02.</w:t>
      </w:r>
    </w:p>
    <w:p>
      <w:pPr>
        <w:spacing w:after="60"/>
        <w:jc w:val="both"/>
      </w:pPr>
      <w:r>
        <w:rPr>
          <w:b/>
          <w:bCs/>
        </w:rPr>
        <w:t xml:space="preserve">2.2. </w:t>
      </w:r>
      <w:r>
        <w:t xml:space="preserve">Батч-сервис — пакетный инференс по расписанию, реализованный как DAG в Apache Airflow. Порядок развёртывания — DOC-03.</w:t>
      </w:r>
    </w:p>
    <w:p>
      <w:pPr>
        <w:spacing w:after="60"/>
        <w:jc w:val="both"/>
      </w:pPr>
      <w:r>
        <w:rPr>
          <w:b/>
          <w:bCs/>
        </w:rPr>
        <w:t xml:space="preserve">2.3. </w:t>
      </w:r>
      <w:r>
        <w:t xml:space="preserve">Переиспользование модели — вывод в ПЭ ранее зарегистрированной модели без изменения кода инференса и границ применения. Применяется упрощённый маршрут согласования (п. 5.4).</w:t>
      </w:r>
    </w:p>
    <w:p>
      <w:pPr>
        <w:spacing w:after="60"/>
        <w:jc w:val="both"/>
      </w:pPr>
      <w:r>
        <w:rPr>
          <w:b/>
          <w:bCs/>
        </w:rPr>
        <w:t xml:space="preserve">2.4. </w:t>
      </w:r>
      <w:r>
        <w:t xml:space="preserve">Если сервис одновременно предоставляет онлайн- и батч-режим, заявка готовится как для онлайн-сервиса, а требования DOC-03 применяются к батч-части дополнительно.</w:t>
      </w:r>
    </w:p>
    <w:p>
      <w:pPr>
        <w:pStyle w:val="Heading1"/>
        <w:spacing w:after="120" w:before="240"/>
      </w:pPr>
      <w:r>
        <w:rPr>
          <w:b/>
          <w:bCs/>
        </w:rPr>
        <w:t xml:space="preserve">3. Обязательные артефакты заявки на вывод в ПЭ</w:t>
      </w:r>
    </w:p>
    <w:p>
      <w:pPr>
        <w:pStyle w:val="Heading2"/>
        <w:spacing w:after="80" w:before="160"/>
      </w:pPr>
      <w:r>
        <w:rPr>
          <w:b/>
          <w:bCs/>
        </w:rPr>
        <w:t xml:space="preserve">3.1. Общие артефакты (для всех типов)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Паспорт сервиса: назначение, пользователи, границы применения, класс данных по DOC-07.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Карточка модели, зарегистрированная в MLflow Model Registry в стадии Production (DOC-04, п. 3 и п. 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Отчёт об оценке качества модели с датой расчёта и достигнутыми значениями целевых метрик.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Ссылка на репозиторий GitLab и тег релиза в формате v&lt;semver&gt; (DOC-06, п. 8).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Успешный прогон пайплайна CI: линтеры, модульные и интеграционные тесты, сканирование образа (DOC-07, п. 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Оценка влияния на данные (DPIA-lite): перечень источников, класс данных, правовое основание обработки для К4.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Заполненный чек-лист готовности DOC-05 со статусом «Да» по всем применимым пунктам.</w:t>
      </w:r>
    </w:p>
    <w:p>
      <w:pPr>
        <w:pStyle w:val="Heading2"/>
        <w:spacing w:after="80" w:before="160"/>
      </w:pPr>
      <w:r>
        <w:rPr>
          <w:b/>
          <w:bCs/>
        </w:rPr>
        <w:t xml:space="preserve">3.2. Дополнительно для онлайн-сервиса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Манифесты OpenShift: Deployment, Service, Route, ConfigMap, HorizontalPodAutoscaler, PodDisruptionBudget.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Спецификация ресурсов: requests и limits по CPU и памяти, число реплик (не менее 2).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Протокол нагрузочного тестирования: p95 latency, целевой RPS, поведение при пиковой нагрузке.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Конфигурация проб readiness, liveness и (при необходимости) startup.</w:t>
      </w:r>
    </w:p>
    <w:p>
      <w:pPr>
        <w:pStyle w:val="Heading2"/>
        <w:spacing w:after="80" w:before="160"/>
      </w:pPr>
      <w:r>
        <w:rPr>
          <w:b/>
          <w:bCs/>
        </w:rPr>
        <w:t xml:space="preserve">3.3. Дополнительно для батч-сервиса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Исходный код DAG и расписание (cron в UTC).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SLA завершения прогона и допустимое окно выполнения.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Оценка объёма входных данных и адрес витрины для записи результатов.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Политика повторных запусков: число retry, задержка, поведение при частичном сбое, подтверждение идемпотентности.</w:t>
      </w:r>
    </w:p>
    <w:p>
      <w:pPr>
        <w:pStyle w:val="Heading2"/>
        <w:spacing w:after="80" w:before="160"/>
      </w:pPr>
      <w:r>
        <w:rPr>
          <w:b/>
          <w:bCs/>
        </w:rPr>
        <w:t xml:space="preserve">3.4. Дополнительно для переиспользования модели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Ссылка на ранее выведенный в ПЭ сервис-источник и подтверждение неизменности кода инференса.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Подтверждение, что класс данных и границы применения не расширяются.</w:t>
      </w:r>
    </w:p>
    <w:p>
      <w:pPr>
        <w:pStyle w:val="Heading1"/>
        <w:spacing w:after="120" w:before="240"/>
      </w:pPr>
      <w:r>
        <w:rPr>
          <w:b/>
          <w:bCs/>
        </w:rPr>
        <w:t xml:space="preserve">4. Критерии допуска к ПЭ (Definition of Ready)</w:t>
      </w:r>
    </w:p>
    <w:p>
      <w:pPr>
        <w:spacing w:after="60"/>
        <w:jc w:val="both"/>
      </w:pPr>
      <w:r>
        <w:rPr>
          <w:b/>
          <w:bCs/>
        </w:rPr>
        <w:t xml:space="preserve">4.1. </w:t>
      </w:r>
      <w:r>
        <w:t xml:space="preserve">Сервис допускается к ПЭ только при выполнении всех применимых пунктов чек-листа DOC-05.</w:t>
      </w:r>
    </w:p>
    <w:p>
      <w:pPr>
        <w:spacing w:after="60"/>
        <w:jc w:val="both"/>
      </w:pPr>
      <w:r>
        <w:rPr>
          <w:b/>
          <w:bCs/>
        </w:rPr>
        <w:t xml:space="preserve">4.2. </w:t>
      </w:r>
      <w:r>
        <w:t xml:space="preserve">Отклонение от отдельного пункта чек-листа допускается только по риск-акцепту архитектора платформы с указанием срока устранения.</w:t>
      </w:r>
    </w:p>
    <w:p>
      <w:pPr>
        <w:spacing w:after="60"/>
        <w:jc w:val="both"/>
      </w:pPr>
      <w:r>
        <w:rPr>
          <w:b/>
          <w:bCs/>
        </w:rPr>
        <w:t xml:space="preserve">4.3. </w:t>
      </w:r>
      <w:r>
        <w:t xml:space="preserve">Модель должна находиться в стадии Production в MLflow Model Registry на момент выката. Перевод в Production выполняет релиз-менеджер (п. 5.3).</w:t>
      </w:r>
    </w:p>
    <w:p>
      <w:pPr>
        <w:pStyle w:val="Heading1"/>
        <w:spacing w:after="120" w:before="240"/>
      </w:pPr>
      <w:r>
        <w:rPr>
          <w:b/>
          <w:bCs/>
        </w:rPr>
        <w:t xml:space="preserve">5. Роли и порядок согласования</w:t>
      </w:r>
    </w:p>
    <w:p>
      <w:pPr>
        <w:spacing w:after="60"/>
        <w:jc w:val="both"/>
      </w:pPr>
      <w:r>
        <w:rPr>
          <w:b/>
          <w:bCs/>
        </w:rPr>
        <w:t xml:space="preserve">5.1. </w:t>
      </w:r>
      <w:r>
        <w:t xml:space="preserve">Согласование заявки выполняется последовательно: (1) владелец продукта формирует и подаёт заявку; (2) тимлид ИИ-среды проводит техническое ревью; (3) инженер по данным проверяет источники и качество данных; (4) служба ИБ проводит ревью по DOC-07; (5) архитектор платформы согласует архитектуру и ресурсы; (6) релиз-менеджер назначает окно релиза и переводит модель в Production.</w:t>
      </w:r>
    </w:p>
    <w:p>
      <w:pPr>
        <w:spacing w:after="60"/>
        <w:jc w:val="both"/>
      </w:pPr>
      <w:r>
        <w:rPr>
          <w:b/>
          <w:bCs/>
        </w:rPr>
        <w:t xml:space="preserve">5.2. </w:t>
      </w:r>
      <w:r>
        <w:t xml:space="preserve">Сроки согласования (SLA): техническое ревью — 3 рабочих дня; проверка данных — 3 рабочих дня; ревью ИБ — 5 рабочих дней; архитектурное ревью — 3 рабочих дня.</w:t>
      </w:r>
    </w:p>
    <w:p>
      <w:pPr>
        <w:spacing w:after="60"/>
        <w:jc w:val="both"/>
      </w:pPr>
      <w:r>
        <w:rPr>
          <w:b/>
          <w:bCs/>
        </w:rPr>
        <w:t xml:space="preserve">5.3. </w:t>
      </w:r>
      <w:r>
        <w:t xml:space="preserve">Выкат в namespace ПЭ выполняется только в согласованное окно релиза. Прямой деплой в ПЭ, минуя окно релиза, запрещён (п. 7.4).</w:t>
      </w:r>
    </w:p>
    <w:p>
      <w:pPr>
        <w:spacing w:after="60"/>
        <w:jc w:val="both"/>
      </w:pPr>
      <w:r>
        <w:rPr>
          <w:b/>
          <w:bCs/>
        </w:rPr>
        <w:t xml:space="preserve">5.4. </w:t>
      </w:r>
      <w:r>
        <w:t xml:space="preserve">Упрощённый маршрут для переиспользования модели (п. 2.3): техническое ревью тимлида ИИ-среды и ревью ИБ; суммарный SLA — 2 рабочих дня; архитектурное ревью не требуется.</w:t>
      </w:r>
    </w:p>
    <w:p>
      <w:pPr>
        <w:spacing w:after="60"/>
        <w:jc w:val="both"/>
      </w:pPr>
      <w:r>
        <w:rPr>
          <w:b/>
          <w:bCs/>
        </w:rPr>
        <w:t xml:space="preserve">5.5. </w:t>
      </w:r>
      <w:r>
        <w:t xml:space="preserve">Матрица ответственности по этапам приведена в DOC-08, часть B.</w:t>
      </w:r>
    </w:p>
    <w:p>
      <w:pPr>
        <w:pStyle w:val="Heading1"/>
        <w:spacing w:after="120" w:before="240"/>
      </w:pPr>
      <w:r>
        <w:rPr>
          <w:b/>
          <w:bCs/>
        </w:rPr>
        <w:t xml:space="preserve">6. Запреты</w:t>
      </w:r>
    </w:p>
    <w:p>
      <w:pPr>
        <w:spacing w:after="60"/>
        <w:jc w:val="both"/>
      </w:pPr>
      <w:r>
        <w:rPr>
          <w:b/>
          <w:bCs/>
        </w:rPr>
        <w:t xml:space="preserve">6.1. </w:t>
      </w:r>
      <w:r>
        <w:t xml:space="preserve">Любые исходящие сетевые вызовы ИИ-сервиса за пределы закрытого контура, включая обращения к публичным моделям, внешним API и внешним репозиториям пакетов.</w:t>
      </w:r>
    </w:p>
    <w:p>
      <w:pPr>
        <w:spacing w:after="60"/>
        <w:jc w:val="both"/>
      </w:pPr>
      <w:r>
        <w:rPr>
          <w:b/>
          <w:bCs/>
        </w:rPr>
        <w:t xml:space="preserve">6.2. </w:t>
      </w:r>
      <w:r>
        <w:t xml:space="preserve">Хранение секретов (учётные данные, токены, ключи) в исходном коде, в образе контейнера, в параметрах манифестов или в артефактах MLflow. Секреты — только через хранилище секретов (DOC-07, п. 4).</w:t>
      </w:r>
    </w:p>
    <w:p>
      <w:pPr>
        <w:spacing w:after="60"/>
        <w:jc w:val="both"/>
      </w:pPr>
      <w:r>
        <w:rPr>
          <w:b/>
          <w:bCs/>
        </w:rPr>
        <w:t xml:space="preserve">6.3. </w:t>
      </w:r>
      <w:r>
        <w:t xml:space="preserve">Вывод в ПЭ модели, отсутствующей в MLflow Model Registry в стадии Production.</w:t>
      </w:r>
    </w:p>
    <w:p>
      <w:pPr>
        <w:spacing w:after="60"/>
        <w:jc w:val="both"/>
      </w:pPr>
      <w:r>
        <w:rPr>
          <w:b/>
          <w:bCs/>
        </w:rPr>
        <w:t xml:space="preserve">6.4. </w:t>
      </w:r>
      <w:r>
        <w:t xml:space="preserve">Развёртывание напрямую в namespace ПЭ в обход окна релиза и релиз-менеджера.</w:t>
      </w:r>
    </w:p>
    <w:p>
      <w:pPr>
        <w:spacing w:after="60"/>
        <w:jc w:val="both"/>
      </w:pPr>
      <w:r>
        <w:rPr>
          <w:b/>
          <w:bCs/>
        </w:rPr>
        <w:t xml:space="preserve">6.5. </w:t>
      </w:r>
      <w:r>
        <w:t xml:space="preserve">Запись данных классов К3 и К4 в журналы приложения в открытом виде (DOC-07, п. 8).</w:t>
      </w:r>
    </w:p>
    <w:p>
      <w:pPr>
        <w:pStyle w:val="Heading1"/>
        <w:spacing w:after="120" w:before="240"/>
      </w:pPr>
      <w:r>
        <w:rPr>
          <w:b/>
          <w:bCs/>
        </w:rPr>
        <w:t xml:space="preserve">7. Изменения и вывод из эксплуатации</w:t>
      </w:r>
    </w:p>
    <w:p>
      <w:pPr>
        <w:spacing w:after="60"/>
        <w:jc w:val="both"/>
      </w:pPr>
      <w:r>
        <w:rPr>
          <w:b/>
          <w:bCs/>
        </w:rPr>
        <w:t xml:space="preserve">7.1. </w:t>
      </w:r>
      <w:r>
        <w:t xml:space="preserve">Изменение версии модели или кода инференса выводится в ПЭ по тому же порядку, что и первичный вывод, с сокращённым техническим ревью (1 рабочий день), если границы применения и класс данных не меняются.</w:t>
      </w:r>
    </w:p>
    <w:p>
      <w:pPr>
        <w:spacing w:after="60"/>
        <w:jc w:val="both"/>
      </w:pPr>
      <w:r>
        <w:rPr>
          <w:b/>
          <w:bCs/>
        </w:rPr>
        <w:t xml:space="preserve">7.2. </w:t>
      </w:r>
      <w:r>
        <w:t xml:space="preserve">Изменение границ применения, класса данных или типа сервиса требует полного повторного согласования по разделу 5.</w:t>
      </w:r>
    </w:p>
    <w:p>
      <w:pPr>
        <w:spacing w:after="60"/>
        <w:jc w:val="both"/>
      </w:pPr>
      <w:r>
        <w:rPr>
          <w:b/>
          <w:bCs/>
        </w:rPr>
        <w:t xml:space="preserve">7.3. </w:t>
      </w:r>
      <w:r>
        <w:t xml:space="preserve">Вывод сервиса из эксплуатации инициирует владелец продукта; SRE отключает трафик и архивирует ресурсы, релиз-менеджер переводит версии модели в стадию Archived, артефакты хранятся согласно DOC-04, п. 9.</w:t>
      </w:r>
    </w:p>
    <w:p>
      <w:pPr>
        <w:pStyle w:val="Heading1"/>
        <w:spacing w:after="120" w:before="240"/>
      </w:pPr>
      <w:r>
        <w:rPr>
          <w:b/>
          <w:bCs/>
        </w:rPr>
        <w:t xml:space="preserve">8. Ответственность и пересмотр</w:t>
      </w:r>
    </w:p>
    <w:p>
      <w:pPr>
        <w:spacing w:after="60"/>
        <w:jc w:val="both"/>
      </w:pPr>
      <w:r>
        <w:rPr>
          <w:b/>
          <w:bCs/>
        </w:rPr>
        <w:t xml:space="preserve">8.1. </w:t>
      </w:r>
      <w:r>
        <w:t xml:space="preserve">Контроль соблюдения регламента возложен на тимлида ИИ-среды.</w:t>
      </w:r>
    </w:p>
    <w:p>
      <w:pPr>
        <w:spacing w:after="60"/>
        <w:jc w:val="both"/>
      </w:pPr>
      <w:r>
        <w:rPr>
          <w:b/>
          <w:bCs/>
        </w:rPr>
        <w:t xml:space="preserve">8.2. </w:t>
      </w:r>
      <w:r>
        <w:t xml:space="preserve">Регламент пересматривается не реже одного раза в год либо при существенном изменении платформы.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DOC-01 Регламент вывода ИИ-моделей и ИИ-сервисов в промышленную эксплуатацию</dc:title>
  <dc:creator>MLOps AI-environment team (training)</dc:creator>
  <cp:lastModifiedBy>Un-named</cp:lastModifiedBy>
  <cp:revision>1</cp:revision>
  <dcterms:created xsi:type="dcterms:W3CDTF">2026-08-29T13:34:50.832Z</dcterms:created>
  <dcterms:modified xsi:type="dcterms:W3CDTF">2026-08-29T13:34:50.837Z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