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DOC-02 — Runbook развёртывания онлайн-модели в OpenShift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Runbook развёртывания онлайн-модели в OpenShift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2.5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2026-04-15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2027-04-15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Область применения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Runbook описывает порядок развёртывания синхронного REST-сервиса инференса ИИ-модели в OpenShift в закрытом контуре.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Runbook применяется совместно с DOC-01 (порядок согласования), DOC-04 (упаковка модели), DOC-05 (чек-лист), DOC-06 (именование), DOC-07 (ИБ).</w:t>
      </w:r>
    </w:p>
    <w:p>
      <w:pPr>
        <w:pStyle w:val="Heading1"/>
        <w:spacing w:after="120" w:before="240"/>
      </w:pPr>
      <w:r>
        <w:rPr>
          <w:b/>
          <w:bCs/>
        </w:rPr>
        <w:t xml:space="preserve">2. Предусловия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Модель зарегистрирована в MLflow Model Registry и переведена в стадию Production (DOC-04).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Заявка на вывод в ПЭ согласована по DOC-01, раздел 5; назначено окно релиза.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Чек-лист DOC-05 заполнен, применимые пункты в статусе «Да».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Создан namespace вида ai-&lt;домен&gt;-&lt;среда&gt; с обязательными лейблами (DOC-06, п. 4).</w:t>
      </w:r>
    </w:p>
    <w:p>
      <w:pPr>
        <w:pStyle w:val="Heading1"/>
        <w:spacing w:after="120" w:before="240"/>
      </w:pPr>
      <w:r>
        <w:rPr>
          <w:b/>
          <w:bCs/>
        </w:rPr>
        <w:t xml:space="preserve">3. Сборка образа</w:t>
      </w:r>
    </w:p>
    <w:p>
      <w:pPr>
        <w:spacing w:after="60"/>
        <w:jc w:val="both"/>
      </w:pPr>
      <w:r>
        <w:rPr>
          <w:b/>
          <w:bCs/>
        </w:rPr>
        <w:t xml:space="preserve">3.1. </w:t>
      </w:r>
      <w:r>
        <w:t xml:space="preserve">Базовый образ берётся только из внутреннего реестра registry.bank.local. Использование публичных базовых образов запрещено.</w:t>
      </w:r>
    </w:p>
    <w:p>
      <w:pPr>
        <w:spacing w:after="60"/>
        <w:jc w:val="both"/>
      </w:pPr>
      <w:r>
        <w:rPr>
          <w:b/>
          <w:bCs/>
        </w:rPr>
        <w:t xml:space="preserve">3.2. </w:t>
      </w:r>
      <w:r>
        <w:t xml:space="preserve">Сборка выполняется в GitLab CI по многоступенчатой схеме (multi-stage). Установка пакетов Python — только через внутренний прокси PyPI; выход в интернет из раннера закрыт.</w:t>
      </w:r>
    </w:p>
    <w:p>
      <w:pPr>
        <w:spacing w:after="60"/>
        <w:jc w:val="both"/>
      </w:pPr>
      <w:r>
        <w:rPr>
          <w:b/>
          <w:bCs/>
        </w:rPr>
        <w:t xml:space="preserve">3.3. </w:t>
      </w:r>
      <w:r>
        <w:t xml:space="preserve">Контейнер запускается от непривилегированного пользователя (UID 1001), файловая система только для чтения, кроме каталога временных файлов.</w:t>
      </w:r>
    </w:p>
    <w:p>
      <w:pPr>
        <w:spacing w:after="60"/>
        <w:jc w:val="both"/>
      </w:pPr>
      <w:r>
        <w:rPr>
          <w:b/>
          <w:bCs/>
        </w:rPr>
        <w:t xml:space="preserve">3.4. </w:t>
      </w:r>
      <w:r>
        <w:t xml:space="preserve">Образ проходит сканирование на уязвимости в CI; сборка блокируется при уязвимостях уровня Critical или High (DOC-07, п. 6).</w:t>
      </w:r>
    </w:p>
    <w:p>
      <w:pPr>
        <w:spacing w:after="60"/>
        <w:jc w:val="both"/>
      </w:pPr>
      <w:r>
        <w:rPr>
          <w:b/>
          <w:bCs/>
        </w:rPr>
        <w:t xml:space="preserve">3.5. </w:t>
      </w:r>
      <w:r>
        <w:t xml:space="preserve">Тег образа — registry.bank.local/ai/&lt;домен&gt;/&lt;сервис&gt;:&lt;git_sha&gt; (DOC-06, п. 9).</w:t>
      </w:r>
    </w:p>
    <w:p>
      <w:pPr>
        <w:pStyle w:val="Heading1"/>
        <w:spacing w:after="120" w:before="240"/>
      </w:pPr>
      <w:r>
        <w:rPr>
          <w:b/>
          <w:bCs/>
        </w:rPr>
        <w:t xml:space="preserve">4. Обязательные объекты OpenShift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Deployment — не менее 2 реплик; стратегия обновления RollingUpdate; maxUnavailable = 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 — тип ClusterIP.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— TLS termination edge; внешний доступ только внутри контура.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ConfigMap — неконфиденциальные параметры сервиса и модели.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Секреты — монтируются из хранилища секретов через CSI-драйвер; в манифесте Secret значения не хранятся (DOC-07, п. 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HorizontalPodAutoscaler — целевая утилизация CPU 60%, минимум 2, максимум по нагрузочному тесту.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PodDisruptionBudget — minAvailable = 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NetworkPolicy — вход только от API-шлюза и системы мониторинга; egress закрыт по умолчанию (DOC-07, п. 3).</w:t>
      </w:r>
    </w:p>
    <w:p>
      <w:pPr>
        <w:pStyle w:val="Heading1"/>
        <w:spacing w:after="120" w:before="240"/>
      </w:pPr>
      <w:r>
        <w:rPr>
          <w:b/>
          <w:bCs/>
        </w:rPr>
        <w:t xml:space="preserve">5. Ресурсы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Поля requests и limits по CPU и памяти обязательны для каждого контейнера.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Стартовый профиль: CPU requests 500m / limits 2; память requests 1Gi / limits 4Gi. Итоговые значения подтверждаются нагрузочным тестом.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GPU выделяется только по отдельному обоснованию и согласованию с архитектором платформы.</w:t>
      </w:r>
    </w:p>
    <w:p>
      <w:pPr>
        <w:pStyle w:val="Heading1"/>
        <w:spacing w:after="120" w:before="240"/>
      </w:pPr>
      <w:r>
        <w:rPr>
          <w:b/>
          <w:bCs/>
        </w:rPr>
        <w:t xml:space="preserve">6. Пробы работоспособности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readinessProbe — HTTP GET /health/ready; под не принимает трафик, пока модель не загружена.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livenessProbe — HTTP GET /health/live.</w:t>
      </w:r>
    </w:p>
    <w:p>
      <w:pPr>
        <w:spacing w:after="60"/>
        <w:jc w:val="both"/>
      </w:pPr>
      <w:r>
        <w:rPr>
          <w:b/>
          <w:bCs/>
        </w:rPr>
        <w:t xml:space="preserve">6.3. </w:t>
      </w:r>
      <w:r>
        <w:t xml:space="preserve">startupProbe — для моделей с длительной инициализацией; failureThreshold рассчитывается из времени холодного старта.</w:t>
      </w:r>
    </w:p>
    <w:p>
      <w:pPr>
        <w:pStyle w:val="Heading1"/>
        <w:spacing w:after="120" w:before="240"/>
      </w:pPr>
      <w:r>
        <w:rPr>
          <w:b/>
          <w:bCs/>
        </w:rPr>
        <w:t xml:space="preserve">7. Нефункциональные требования онлайн-сервиса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p95 времени ответа — не более 300 мс при целевом RPS, зафиксированном в паспорте сервиса.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Целевая доступность — 99,5% в месяц.</w:t>
      </w:r>
    </w:p>
    <w:p>
      <w:pPr>
        <w:spacing w:after="60"/>
        <w:jc w:val="both"/>
      </w:pPr>
      <w:r>
        <w:rPr>
          <w:b/>
          <w:bCs/>
        </w:rPr>
        <w:t xml:space="preserve">7.3. </w:t>
      </w:r>
      <w:r>
        <w:t xml:space="preserve">Время холодного старта пода — не более 60 секунд.</w:t>
      </w:r>
    </w:p>
    <w:p>
      <w:pPr>
        <w:spacing w:after="60"/>
        <w:jc w:val="both"/>
      </w:pPr>
      <w:r>
        <w:rPr>
          <w:b/>
          <w:bCs/>
        </w:rPr>
        <w:t xml:space="preserve">7.4. </w:t>
      </w:r>
      <w:r>
        <w:t xml:space="preserve">Ограничение размера запроса и защита от избыточной нагрузки (rate limiting) настраиваются на API-шлюзе (DOC-07, п. 9).</w:t>
      </w:r>
    </w:p>
    <w:p>
      <w:pPr>
        <w:pStyle w:val="Heading1"/>
        <w:spacing w:after="120" w:before="240"/>
      </w:pPr>
      <w:r>
        <w:rPr>
          <w:b/>
          <w:bCs/>
        </w:rPr>
        <w:t xml:space="preserve">8. Наблюдаемость</w:t>
      </w:r>
    </w:p>
    <w:p>
      <w:pPr>
        <w:spacing w:after="60"/>
        <w:jc w:val="both"/>
      </w:pPr>
      <w:r>
        <w:rPr>
          <w:b/>
          <w:bCs/>
        </w:rPr>
        <w:t xml:space="preserve">8.1. </w:t>
      </w:r>
      <w:r>
        <w:t xml:space="preserve">Метрики Prometheus публикуются на /metrics: число запросов, время ответа по перцентилям, доля ошибок, длина очереди.</w:t>
      </w:r>
    </w:p>
    <w:p>
      <w:pPr>
        <w:spacing w:after="60"/>
        <w:jc w:val="both"/>
      </w:pPr>
      <w:r>
        <w:rPr>
          <w:b/>
          <w:bCs/>
        </w:rPr>
        <w:t xml:space="preserve">8.2. </w:t>
      </w:r>
      <w:r>
        <w:t xml:space="preserve">Логи — в формате JSON в stdout, сбор в Loki; сквозной идентификатор запроса X-Request-Id.</w:t>
      </w:r>
    </w:p>
    <w:p>
      <w:pPr>
        <w:spacing w:after="60"/>
        <w:jc w:val="both"/>
      </w:pPr>
      <w:r>
        <w:rPr>
          <w:b/>
          <w:bCs/>
        </w:rPr>
        <w:t xml:space="preserve">8.3. </w:t>
      </w:r>
      <w:r>
        <w:t xml:space="preserve">Данные классов К3 и К4 в логах маскируются (DOC-07, п. 8).</w:t>
      </w:r>
    </w:p>
    <w:p>
      <w:pPr>
        <w:pStyle w:val="Heading1"/>
        <w:spacing w:after="120" w:before="240"/>
      </w:pPr>
      <w:r>
        <w:rPr>
          <w:b/>
          <w:bCs/>
        </w:rPr>
        <w:t xml:space="preserve">9. Мониторинг качества и дрейфа</w:t>
      </w:r>
    </w:p>
    <w:p>
      <w:pPr>
        <w:spacing w:after="60"/>
        <w:jc w:val="both"/>
      </w:pPr>
      <w:r>
        <w:rPr>
          <w:b/>
          <w:bCs/>
        </w:rPr>
        <w:t xml:space="preserve">9.1. </w:t>
      </w:r>
      <w:r>
        <w:t xml:space="preserve">Распределения признаков на входе и предсказаний на выходе выгружаются во внутреннее хранилище для последующего анализа.</w:t>
      </w:r>
    </w:p>
    <w:p>
      <w:pPr>
        <w:spacing w:after="60"/>
        <w:jc w:val="both"/>
      </w:pPr>
      <w:r>
        <w:rPr>
          <w:b/>
          <w:bCs/>
        </w:rPr>
        <w:t xml:space="preserve">9.2. </w:t>
      </w:r>
      <w:r>
        <w:t xml:space="preserve">Еженедельно формируется отчёт о дрейфе входных данных. Порог оповещения — индекс PSI больше 0,2 по ключевым признакам.</w:t>
      </w:r>
    </w:p>
    <w:p>
      <w:pPr>
        <w:spacing w:after="60"/>
        <w:jc w:val="both"/>
      </w:pPr>
      <w:r>
        <w:rPr>
          <w:b/>
          <w:bCs/>
        </w:rPr>
        <w:t xml:space="preserve">9.3. </w:t>
      </w:r>
      <w:r>
        <w:t xml:space="preserve">При срабатывании оповещения о дрейфе владелец продукта инициирует оценку необходимости переобучения.</w:t>
      </w:r>
    </w:p>
    <w:p>
      <w:pPr>
        <w:pStyle w:val="Heading1"/>
        <w:spacing w:after="120" w:before="240"/>
      </w:pPr>
      <w:r>
        <w:rPr>
          <w:b/>
          <w:bCs/>
        </w:rPr>
        <w:t xml:space="preserve">10. Стратегия выката и откат</w:t>
      </w:r>
    </w:p>
    <w:p>
      <w:pPr>
        <w:spacing w:after="60"/>
        <w:jc w:val="both"/>
      </w:pPr>
      <w:r>
        <w:rPr>
          <w:b/>
          <w:bCs/>
        </w:rPr>
        <w:t xml:space="preserve">10.1. </w:t>
      </w:r>
      <w:r>
        <w:t xml:space="preserve">Базовая стратегия — RollingUpdate.</w:t>
      </w:r>
    </w:p>
    <w:p>
      <w:pPr>
        <w:spacing w:after="60"/>
        <w:jc w:val="both"/>
      </w:pPr>
      <w:r>
        <w:rPr>
          <w:b/>
          <w:bCs/>
        </w:rPr>
        <w:t xml:space="preserve">10.2. </w:t>
      </w:r>
      <w:r>
        <w:t xml:space="preserve">Для сервисов с высокой критичностью применяется канареечный выкат: 10% трафика на 24 часа с контролем метрик, затем полный перевод.</w:t>
      </w:r>
    </w:p>
    <w:p>
      <w:pPr>
        <w:spacing w:after="60"/>
        <w:jc w:val="both"/>
      </w:pPr>
      <w:r>
        <w:rPr>
          <w:b/>
          <w:bCs/>
        </w:rPr>
        <w:t xml:space="preserve">10.3. </w:t>
      </w:r>
      <w:r>
        <w:t xml:space="preserve">Откат выполняется командой oc rollout undo на предыдущую ревизию Deployment; при откате модели восстанавливается предыдущая Production-версия в MLflow.</w:t>
      </w:r>
    </w:p>
    <w:p>
      <w:pPr>
        <w:pStyle w:val="Heading1"/>
        <w:spacing w:after="120" w:before="240"/>
      </w:pPr>
      <w:r>
        <w:rPr>
          <w:b/>
          <w:bCs/>
        </w:rPr>
        <w:t xml:space="preserve">11. Проверки после выката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Smoke-тест на эталонном наборе запросов.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Сверка версии модели, отдаваемой эндпоинтом /info, с ожидаемой.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Проверка дашборда: RPS, latency, доля ошибок в пределах нормы в течение 30 минут.</w:t>
      </w:r>
    </w:p>
    <w:p>
      <w:pPr>
        <w:pStyle w:val="Heading1"/>
        <w:spacing w:after="120" w:before="240"/>
      </w:pPr>
      <w:r>
        <w:rPr>
          <w:b/>
          <w:bCs/>
        </w:rPr>
        <w:t xml:space="preserve">12. Типовые проблемы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Под не переходит в Ready — проверить доступность MLflow и корректность стадии Production у версии модели.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Рост p95 latency после выката — проверить лимиты CPU и число реплик, при необходимости расширить HPA.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Ошибки 5xx при старте — проверить startupProbe и время загрузки весов модели.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DOC-02 Runbook развёртывания онлайн-модели в OpenShift</dc:title>
  <dc:creator>MLOps AI-environment team (training)</dc:creator>
  <cp:lastModifiedBy>Un-named</cp:lastModifiedBy>
  <cp:revision>1</cp:revision>
  <dcterms:created xsi:type="dcterms:W3CDTF">2026-08-29T13:34:50.872Z</dcterms:created>
  <dcterms:modified xsi:type="dcterms:W3CDTF">2026-08-29T13:34:50.872Z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