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0"/>
          <w:szCs w:val="30"/>
        </w:rPr>
        <w:t xml:space="preserve">DOC-03 — Runbook батч-инференса в Apache Airflow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Идентификатор</w:t>
            </w:r>
          </w:p>
        </w:tc>
        <w:tc>
          <w:tcPr>
            <w:tcW w:type="dxa" w:w="6400"/>
          </w:tcPr>
          <w:p>
            <w:r>
              <w:t xml:space="preserve">DOC-03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Наименование</w:t>
            </w:r>
          </w:p>
        </w:tc>
        <w:tc>
          <w:tcPr>
            <w:tcW w:type="dxa" w:w="6400"/>
          </w:tcPr>
          <w:p>
            <w:r>
              <w:t xml:space="preserve">Runbook батч-инференса в Apache Airflow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400"/>
          </w:tcPr>
          <w:p>
            <w:r>
              <w:t xml:space="preserve">2.1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Дата вступления в силу</w:t>
            </w:r>
          </w:p>
        </w:tc>
        <w:tc>
          <w:tcPr>
            <w:tcW w:type="dxa" w:w="6400"/>
          </w:tcPr>
          <w:p>
            <w:r>
              <w:t xml:space="preserve">2026-04-15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Дата планового пересмотра</w:t>
            </w:r>
          </w:p>
        </w:tc>
        <w:tc>
          <w:tcPr>
            <w:tcW w:type="dxa" w:w="6400"/>
          </w:tcPr>
          <w:p>
            <w:r>
              <w:t xml:space="preserve">2027-04-15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Владелец документа</w:t>
            </w:r>
          </w:p>
        </w:tc>
        <w:tc>
          <w:tcPr>
            <w:tcW w:type="dxa" w:w="6400"/>
          </w:tcPr>
          <w:p>
            <w:r>
              <w:t xml:space="preserve">Команда развития ИИ-среды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Класс данных</w:t>
            </w:r>
          </w:p>
        </w:tc>
        <w:tc>
          <w:tcPr>
            <w:tcW w:type="dxa" w:w="6400"/>
          </w:tcPr>
          <w:p>
            <w:r>
              <w:t xml:space="preserve">К2 — внутренний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400"/>
          </w:tcPr>
          <w:p>
            <w:r>
              <w:t xml:space="preserve">Действует</w:t>
            </w:r>
          </w:p>
        </w:tc>
      </w:tr>
    </w:tbl>
    <w:p>
      <w:pPr>
        <w:spacing w:after="120"/>
      </w:pPr>
      <w:r>
        <w:rPr>
          <w:i/>
          <w:iCs/>
          <w:color w:val="555555"/>
        </w:rPr>
        <w:t xml:space="preserve">Учебный синтетический документ. Все наименования систем, доменов, контуров, ролей и числовые значения условны и не относятся к реальной организации. Персональные данные, пароли, ключи, коммерческая тайна в тексте отсутствуют.</w:t>
      </w:r>
    </w:p>
    <w:p>
      <w:pPr>
        <w:pBdr>
          <w:bottom w:val="single" w:color="999999" w:sz="6"/>
        </w:pBdr>
        <w:spacing w:after="120"/>
      </w:pPr>
    </w:p>
    <w:p>
      <w:pPr>
        <w:pStyle w:val="Heading1"/>
        <w:spacing w:after="120" w:before="240"/>
      </w:pPr>
      <w:r>
        <w:rPr>
          <w:b/>
          <w:bCs/>
        </w:rPr>
        <w:t xml:space="preserve">1. Область применения</w:t>
      </w:r>
    </w:p>
    <w:p>
      <w:pPr>
        <w:spacing w:after="60"/>
        <w:jc w:val="both"/>
      </w:pPr>
      <w:r>
        <w:rPr>
          <w:b/>
          <w:bCs/>
        </w:rPr>
        <w:t xml:space="preserve">1.1. </w:t>
      </w:r>
      <w:r>
        <w:t xml:space="preserve">Runbook описывает порядок реализации и вывода в ПЭ пакетного инференса ИИ-модели по расписанию в Apache Airflow в закрытом контуре.</w:t>
      </w:r>
    </w:p>
    <w:p>
      <w:pPr>
        <w:spacing w:after="60"/>
        <w:jc w:val="both"/>
      </w:pPr>
      <w:r>
        <w:rPr>
          <w:b/>
          <w:bCs/>
        </w:rPr>
        <w:t xml:space="preserve">1.2. </w:t>
      </w:r>
      <w:r>
        <w:t xml:space="preserve">Runbook применяется совместно с DOC-01, DOC-04, DOC-05, DOC-06, DOC-07.</w:t>
      </w:r>
    </w:p>
    <w:p>
      <w:pPr>
        <w:pStyle w:val="Heading1"/>
        <w:spacing w:after="120" w:before="240"/>
      </w:pPr>
      <w:r>
        <w:rPr>
          <w:b/>
          <w:bCs/>
        </w:rPr>
        <w:t xml:space="preserve">2. Предусловия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Модель зарегистрирована в MLflow Model Registry в стадии Production (DOC-04).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Заявка на вывод в ПЭ согласована по DOC-01, раздел 5.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Чек-лист DOC-05 заполнен, применимые пункты в статусе «Да».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Определены источник входных данных и витрина для записи результатов во внутреннем контуре.</w:t>
      </w:r>
    </w:p>
    <w:p>
      <w:pPr>
        <w:pStyle w:val="Heading1"/>
        <w:spacing w:after="120" w:before="240"/>
      </w:pPr>
      <w:r>
        <w:rPr>
          <w:b/>
          <w:bCs/>
        </w:rPr>
        <w:t xml:space="preserve">3. Размещение DAG</w:t>
      </w:r>
    </w:p>
    <w:p>
      <w:pPr>
        <w:spacing w:after="60"/>
        <w:jc w:val="both"/>
      </w:pPr>
      <w:r>
        <w:rPr>
          <w:b/>
          <w:bCs/>
        </w:rPr>
        <w:t xml:space="preserve">3.1. </w:t>
      </w:r>
      <w:r>
        <w:t xml:space="preserve">Код DAG размещается в репозитории ai-dags, каталог dags/&lt;домен&gt;/.</w:t>
      </w:r>
    </w:p>
    <w:p>
      <w:pPr>
        <w:spacing w:after="60"/>
        <w:jc w:val="both"/>
      </w:pPr>
      <w:r>
        <w:rPr>
          <w:b/>
          <w:bCs/>
        </w:rPr>
        <w:t xml:space="preserve">3.2. </w:t>
      </w:r>
      <w:r>
        <w:t xml:space="preserve">Идентификатор DAG — bat_&lt;домен&gt;_&lt;сервис&gt;_infer (DOC-06, п. 6).</w:t>
      </w:r>
    </w:p>
    <w:p>
      <w:pPr>
        <w:spacing w:after="60"/>
        <w:jc w:val="both"/>
      </w:pPr>
      <w:r>
        <w:rPr>
          <w:b/>
          <w:bCs/>
        </w:rPr>
        <w:t xml:space="preserve">3.3. </w:t>
      </w:r>
      <w:r>
        <w:t xml:space="preserve">DAG снабжается тегами: домен, тип «batch-inference», имя сервиса.</w:t>
      </w:r>
    </w:p>
    <w:p>
      <w:pPr>
        <w:pStyle w:val="Heading1"/>
        <w:spacing w:after="120" w:before="240"/>
      </w:pPr>
      <w:r>
        <w:rPr>
          <w:b/>
          <w:bCs/>
        </w:rPr>
        <w:t xml:space="preserve">4. Обязательная структура DAG</w:t>
      </w:r>
    </w:p>
    <w:p>
      <w:pPr>
        <w:spacing w:after="60"/>
        <w:jc w:val="both"/>
      </w:pPr>
      <w:r>
        <w:rPr>
          <w:b/>
          <w:bCs/>
        </w:rPr>
        <w:t xml:space="preserve">4.1. </w:t>
      </w:r>
      <w:r>
        <w:t xml:space="preserve">Последовательность задач: (1) сенсор доступности источника; (2) извлечение входных данных; (3) валидация входа — проверка схемы, типов и объёма; (4) загрузка модели из MLflow по фиксированной версии; (5) инференс; (6) валидация выхода; (7) запись результатов; (8) публикация метрик; (9) уведомление.</w:t>
      </w:r>
    </w:p>
    <w:p>
      <w:pPr>
        <w:spacing w:after="60"/>
        <w:jc w:val="both"/>
      </w:pPr>
      <w:r>
        <w:rPr>
          <w:b/>
          <w:bCs/>
        </w:rPr>
        <w:t xml:space="preserve">4.2. </w:t>
      </w:r>
      <w:r>
        <w:t xml:space="preserve">Модель загружается по номеру версии, а не по стадии, чтобы прогон был воспроизводим (DOC-04, п. 7).</w:t>
      </w:r>
    </w:p>
    <w:p>
      <w:pPr>
        <w:spacing w:after="60"/>
        <w:jc w:val="both"/>
      </w:pPr>
      <w:r>
        <w:rPr>
          <w:b/>
          <w:bCs/>
        </w:rPr>
        <w:t xml:space="preserve">4.3. </w:t>
      </w:r>
      <w:r>
        <w:t xml:space="preserve">Каждая задача выполняется в отдельном поде через KubernetesPodOperator с заданными requests и limits.</w:t>
      </w:r>
    </w:p>
    <w:p>
      <w:pPr>
        <w:pStyle w:val="Heading1"/>
        <w:spacing w:after="120" w:before="240"/>
      </w:pPr>
      <w:r>
        <w:rPr>
          <w:b/>
          <w:bCs/>
        </w:rPr>
        <w:t xml:space="preserve">5. Параметры расписания</w:t>
      </w:r>
    </w:p>
    <w:p>
      <w:pPr>
        <w:spacing w:after="60"/>
        <w:jc w:val="both"/>
      </w:pPr>
      <w:r>
        <w:rPr>
          <w:b/>
          <w:bCs/>
        </w:rPr>
        <w:t xml:space="preserve">5.1. </w:t>
      </w:r>
      <w:r>
        <w:t xml:space="preserve">Расписание задаётся cron-выражением в UTC.</w:t>
      </w:r>
    </w:p>
    <w:p>
      <w:pPr>
        <w:spacing w:after="60"/>
        <w:jc w:val="both"/>
      </w:pPr>
      <w:r>
        <w:rPr>
          <w:b/>
          <w:bCs/>
        </w:rPr>
        <w:t xml:space="preserve">5.2. </w:t>
      </w:r>
      <w:r>
        <w:t xml:space="preserve">catchup = false; max_active_runs = 1.</w:t>
      </w:r>
    </w:p>
    <w:p>
      <w:pPr>
        <w:spacing w:after="60"/>
        <w:jc w:val="both"/>
      </w:pPr>
      <w:r>
        <w:rPr>
          <w:b/>
          <w:bCs/>
        </w:rPr>
        <w:t xml:space="preserve">5.3. </w:t>
      </w:r>
      <w:r>
        <w:t xml:space="preserve">depends_on_past = false, если бизнес-логика не требует строгой последовательности прогонов.</w:t>
      </w:r>
    </w:p>
    <w:p>
      <w:pPr>
        <w:pStyle w:val="Heading1"/>
        <w:spacing w:after="120" w:before="240"/>
      </w:pPr>
      <w:r>
        <w:rPr>
          <w:b/>
          <w:bCs/>
        </w:rPr>
        <w:t xml:space="preserve">6. Надёжность выполнения</w:t>
      </w:r>
    </w:p>
    <w:p>
      <w:pPr>
        <w:spacing w:after="60"/>
        <w:jc w:val="both"/>
      </w:pPr>
      <w:r>
        <w:rPr>
          <w:b/>
          <w:bCs/>
        </w:rPr>
        <w:t xml:space="preserve">6.1. </w:t>
      </w:r>
      <w:r>
        <w:t xml:space="preserve">retries = 2, retry_delay = 10 минут.</w:t>
      </w:r>
    </w:p>
    <w:p>
      <w:pPr>
        <w:spacing w:after="60"/>
        <w:jc w:val="both"/>
      </w:pPr>
      <w:r>
        <w:rPr>
          <w:b/>
          <w:bCs/>
        </w:rPr>
        <w:t xml:space="preserve">6.2. </w:t>
      </w:r>
      <w:r>
        <w:t xml:space="preserve">Для каждой задачи задаётся execution_timeout.</w:t>
      </w:r>
    </w:p>
    <w:p>
      <w:pPr>
        <w:spacing w:after="60"/>
        <w:jc w:val="both"/>
      </w:pPr>
      <w:r>
        <w:rPr>
          <w:b/>
          <w:bCs/>
        </w:rPr>
        <w:t xml:space="preserve">6.3. </w:t>
      </w:r>
      <w:r>
        <w:t xml:space="preserve">На DAG задаётся SLA завершения; при нарушении формируется оповещение (п. 10.3).</w:t>
      </w:r>
    </w:p>
    <w:p>
      <w:pPr>
        <w:pStyle w:val="Heading1"/>
        <w:spacing w:after="120" w:before="240"/>
      </w:pPr>
      <w:r>
        <w:rPr>
          <w:b/>
          <w:bCs/>
        </w:rPr>
        <w:t xml:space="preserve">7. Нефункциональные требования батч-сервиса</w:t>
      </w:r>
    </w:p>
    <w:p>
      <w:pPr>
        <w:spacing w:after="60"/>
        <w:jc w:val="both"/>
      </w:pPr>
      <w:r>
        <w:rPr>
          <w:b/>
          <w:bCs/>
        </w:rPr>
        <w:t xml:space="preserve">7.1. </w:t>
      </w:r>
      <w:r>
        <w:t xml:space="preserve">Окно выполнения прогона — не более 4 часов.</w:t>
      </w:r>
    </w:p>
    <w:p>
      <w:pPr>
        <w:spacing w:after="60"/>
        <w:jc w:val="both"/>
      </w:pPr>
      <w:r>
        <w:rPr>
          <w:b/>
          <w:bCs/>
        </w:rPr>
        <w:t xml:space="preserve">7.2. </w:t>
      </w:r>
      <w:r>
        <w:t xml:space="preserve">Прогон за отчётные сутки должен завершаться до 06:00 UTC.</w:t>
      </w:r>
    </w:p>
    <w:p>
      <w:pPr>
        <w:spacing w:after="60"/>
        <w:jc w:val="both"/>
      </w:pPr>
      <w:r>
        <w:rPr>
          <w:b/>
          <w:bCs/>
        </w:rPr>
        <w:t xml:space="preserve">7.3. </w:t>
      </w:r>
      <w:r>
        <w:t xml:space="preserve">Идемпотентность: повторный запуск за ту же дату не создаёт дублей; запись выполняется с ключом партиции по дате прогона (перезапись партиции).</w:t>
      </w:r>
    </w:p>
    <w:p>
      <w:pPr>
        <w:spacing w:after="60"/>
        <w:jc w:val="both"/>
      </w:pPr>
      <w:r>
        <w:rPr>
          <w:b/>
          <w:bCs/>
        </w:rPr>
        <w:t xml:space="preserve">7.4. </w:t>
      </w:r>
      <w:r>
        <w:t xml:space="preserve">В таблице результатов обязательна колонка с номером версии модели.</w:t>
      </w:r>
    </w:p>
    <w:p>
      <w:pPr>
        <w:pStyle w:val="Heading1"/>
        <w:spacing w:after="120" w:before="240"/>
      </w:pPr>
      <w:r>
        <w:rPr>
          <w:b/>
          <w:bCs/>
        </w:rPr>
        <w:t xml:space="preserve">8. Данные</w:t>
      </w:r>
    </w:p>
    <w:p>
      <w:pPr>
        <w:spacing w:after="60"/>
        <w:jc w:val="both"/>
      </w:pPr>
      <w:r>
        <w:rPr>
          <w:b/>
          <w:bCs/>
        </w:rPr>
        <w:t xml:space="preserve">8.1. </w:t>
      </w:r>
      <w:r>
        <w:t xml:space="preserve">Источники и приёмники данных — только во внутреннем контуре (корпоративное хранилище данных и внутреннее объектное хранилище).</w:t>
      </w:r>
    </w:p>
    <w:p>
      <w:pPr>
        <w:spacing w:after="60"/>
        <w:jc w:val="both"/>
      </w:pPr>
      <w:r>
        <w:rPr>
          <w:b/>
          <w:bCs/>
        </w:rPr>
        <w:t xml:space="preserve">8.2. </w:t>
      </w:r>
      <w:r>
        <w:t xml:space="preserve">Результаты записываются в отдельную витрину слоя публикации; перезапись «сырых» источников запрещена.</w:t>
      </w:r>
    </w:p>
    <w:p>
      <w:pPr>
        <w:spacing w:after="60"/>
        <w:jc w:val="both"/>
      </w:pPr>
      <w:r>
        <w:rPr>
          <w:b/>
          <w:bCs/>
        </w:rPr>
        <w:t xml:space="preserve">8.3. </w:t>
      </w:r>
      <w:r>
        <w:t xml:space="preserve">Данные классов К3 и К4 не выгружаются в среды dev и test (DOC-07, п. 2).</w:t>
      </w:r>
    </w:p>
    <w:p>
      <w:pPr>
        <w:pStyle w:val="Heading1"/>
        <w:spacing w:after="120" w:before="240"/>
      </w:pPr>
      <w:r>
        <w:rPr>
          <w:b/>
          <w:bCs/>
        </w:rPr>
        <w:t xml:space="preserve">9. Ресурсы</w:t>
      </w:r>
    </w:p>
    <w:p>
      <w:pPr>
        <w:spacing w:after="60"/>
        <w:jc w:val="both"/>
      </w:pPr>
      <w:r>
        <w:rPr>
          <w:b/>
          <w:bCs/>
        </w:rPr>
        <w:t xml:space="preserve">9.1. </w:t>
      </w:r>
      <w:r>
        <w:t xml:space="preserve">Для тяжёлых прогонов используется отдельная очередь (queue) и пул воркеров.</w:t>
      </w:r>
    </w:p>
    <w:p>
      <w:pPr>
        <w:spacing w:after="60"/>
        <w:jc w:val="both"/>
      </w:pPr>
      <w:r>
        <w:rPr>
          <w:b/>
          <w:bCs/>
        </w:rPr>
        <w:t xml:space="preserve">9.2. </w:t>
      </w:r>
      <w:r>
        <w:t xml:space="preserve">requests и limits задаются на уровне пода каждой задачи; значения подтверждаются пробным прогоном на репрезентативном объёме.</w:t>
      </w:r>
    </w:p>
    <w:p>
      <w:pPr>
        <w:pStyle w:val="Heading1"/>
        <w:spacing w:after="120" w:before="240"/>
      </w:pPr>
      <w:r>
        <w:rPr>
          <w:b/>
          <w:bCs/>
        </w:rPr>
        <w:t xml:space="preserve">10. Наблюдаемость</w:t>
      </w:r>
    </w:p>
    <w:p>
      <w:pPr>
        <w:spacing w:after="60"/>
        <w:jc w:val="both"/>
      </w:pPr>
      <w:r>
        <w:rPr>
          <w:b/>
          <w:bCs/>
        </w:rPr>
        <w:t xml:space="preserve">10.1. </w:t>
      </w:r>
      <w:r>
        <w:t xml:space="preserve">Метрики прогона публикуются через pushgateway: число обработанных строк, доля строк, не прошедших валидацию, длительность каждой задачи.</w:t>
      </w:r>
    </w:p>
    <w:p>
      <w:pPr>
        <w:spacing w:after="60"/>
        <w:jc w:val="both"/>
      </w:pPr>
      <w:r>
        <w:rPr>
          <w:b/>
          <w:bCs/>
        </w:rPr>
        <w:t xml:space="preserve">10.2. </w:t>
      </w:r>
      <w:r>
        <w:t xml:space="preserve">Логи задач собираются в Loki.</w:t>
      </w:r>
    </w:p>
    <w:p>
      <w:pPr>
        <w:spacing w:after="60"/>
        <w:jc w:val="both"/>
      </w:pPr>
      <w:r>
        <w:rPr>
          <w:b/>
          <w:bCs/>
        </w:rPr>
        <w:t xml:space="preserve">10.3. </w:t>
      </w:r>
      <w:r>
        <w:t xml:space="preserve">Оповещения формируются при нарушении SLA завершения и при доле отбраковки на валидации входа выше 5%.</w:t>
      </w:r>
    </w:p>
    <w:p>
      <w:pPr>
        <w:pStyle w:val="Heading1"/>
        <w:spacing w:after="120" w:before="240"/>
      </w:pPr>
      <w:r>
        <w:rPr>
          <w:b/>
          <w:bCs/>
        </w:rPr>
        <w:t xml:space="preserve">11. Мониторинг качества и дрейфа</w:t>
      </w:r>
    </w:p>
    <w:p>
      <w:pPr>
        <w:spacing w:after="60"/>
        <w:jc w:val="both"/>
      </w:pPr>
      <w:r>
        <w:rPr>
          <w:b/>
          <w:bCs/>
        </w:rPr>
        <w:t xml:space="preserve">11.1. </w:t>
      </w:r>
      <w:r>
        <w:t xml:space="preserve">Метрики качества рассчитываются при поступлении фактических меток с задержкой, определённой в паспорте сервиса.</w:t>
      </w:r>
    </w:p>
    <w:p>
      <w:pPr>
        <w:spacing w:after="60"/>
        <w:jc w:val="both"/>
      </w:pPr>
      <w:r>
        <w:rPr>
          <w:b/>
          <w:bCs/>
        </w:rPr>
        <w:t xml:space="preserve">11.2. </w:t>
      </w:r>
      <w:r>
        <w:t xml:space="preserve">По завершении каждого прогона формируется отчёт о дрейфе входных данных относительно обучающей выборки.</w:t>
      </w:r>
    </w:p>
    <w:p>
      <w:pPr>
        <w:pStyle w:val="Heading1"/>
        <w:spacing w:after="120" w:before="240"/>
      </w:pPr>
      <w:r>
        <w:rPr>
          <w:b/>
          <w:bCs/>
        </w:rPr>
        <w:t xml:space="preserve">12. Обработка сбоев</w:t>
      </w:r>
    </w:p>
    <w:p>
      <w:pPr>
        <w:spacing w:after="60"/>
        <w:jc w:val="both"/>
      </w:pPr>
      <w:r>
        <w:rPr>
          <w:b/>
          <w:bCs/>
        </w:rPr>
        <w:t xml:space="preserve">12.1. </w:t>
      </w:r>
      <w:r>
        <w:t xml:space="preserve">При частичном сбое допускается ручной перезапуск DAG с конкретной даты прогона (backfill) после устранения причины.</w:t>
      </w:r>
    </w:p>
    <w:p>
      <w:pPr>
        <w:spacing w:after="60"/>
        <w:jc w:val="both"/>
      </w:pPr>
      <w:r>
        <w:rPr>
          <w:b/>
          <w:bCs/>
        </w:rPr>
        <w:t xml:space="preserve">12.2. </w:t>
      </w:r>
      <w:r>
        <w:t xml:space="preserve">Партиции входных данных, не прошедшие валидацию, помещаются в карантинный каталог и не подаются на инференс.</w:t>
      </w:r>
    </w:p>
    <w:p>
      <w:pPr>
        <w:spacing w:after="60"/>
        <w:jc w:val="both"/>
      </w:pPr>
      <w:r>
        <w:rPr>
          <w:b/>
          <w:bCs/>
        </w:rPr>
        <w:t xml:space="preserve">12.3. </w:t>
      </w:r>
      <w:r>
        <w:t xml:space="preserve">Сообщение об инциденте направляется в канал поддержки платформы (DOC-08, часть C).</w:t>
      </w:r>
    </w:p>
    <w:p>
      <w:pPr>
        <w:pStyle w:val="Heading1"/>
        <w:spacing w:after="120" w:before="240"/>
      </w:pPr>
      <w:r>
        <w:rPr>
          <w:b/>
          <w:bCs/>
        </w:rPr>
        <w:t xml:space="preserve">13. Типовые проблемы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Сенсор источника не срабатывает — проверить расписание поставки данных и права сервисного аккаунта.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Прогон не укладывается в окно — увеличить параллелизм задач или ресурсы пода, разбить на партиции.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Расхождение результатов между прогонами — убедиться, что модель грузится по фиксированной версии, а не по стадии.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</w:pPr>
    <w:rPr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DOC-03 Runbook батч-инференса в Apache Airflow</dc:title>
  <dc:creator>MLOps AI-environment team (training)</dc:creator>
  <cp:lastModifiedBy>Un-named</cp:lastModifiedBy>
  <cp:revision>1</cp:revision>
  <dcterms:created xsi:type="dcterms:W3CDTF">2026-08-29T13:34:50.883Z</dcterms:created>
  <dcterms:modified xsi:type="dcterms:W3CDTF">2026-08-29T13:34:50.883Z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