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DOC-04 — Стандарт упаковки и регистрации моделей в MLflow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Стандарт упаковки и регистрации моделей в MLflow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1.8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2026-02-10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2027-02-10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Область применения</w:t>
      </w:r>
    </w:p>
    <w:p>
      <w:pPr>
        <w:spacing w:after="60"/>
        <w:jc w:val="both"/>
      </w:pPr>
      <w:r>
        <w:rPr>
          <w:b/>
          <w:bCs/>
        </w:rPr>
        <w:t xml:space="preserve">1.1. </w:t>
      </w:r>
      <w:r>
        <w:t xml:space="preserve">Стандарт определяет требования к упаковке, регистрации и версионированию ИИ-моделей в MLflow Model Registry перед выводом в ПЭ.</w:t>
      </w:r>
    </w:p>
    <w:p>
      <w:pPr>
        <w:spacing w:after="60"/>
        <w:jc w:val="both"/>
      </w:pPr>
      <w:r>
        <w:rPr>
          <w:b/>
          <w:bCs/>
        </w:rPr>
        <w:t xml:space="preserve">1.2. </w:t>
      </w:r>
      <w:r>
        <w:t xml:space="preserve">Стандарт обязателен для онлайн-сервисов (DOC-02) и батч-сервисов (DOC-03).</w:t>
      </w:r>
    </w:p>
    <w:p>
      <w:pPr>
        <w:pStyle w:val="Heading1"/>
        <w:spacing w:after="120" w:before="240"/>
      </w:pPr>
      <w:r>
        <w:rPr>
          <w:b/>
          <w:bCs/>
        </w:rPr>
        <w:t xml:space="preserve">2. Model Registry</w:t>
      </w:r>
    </w:p>
    <w:p>
      <w:pPr>
        <w:spacing w:after="60"/>
        <w:jc w:val="both"/>
      </w:pPr>
      <w:r>
        <w:rPr>
          <w:b/>
          <w:bCs/>
        </w:rPr>
        <w:t xml:space="preserve">2.1. </w:t>
      </w:r>
      <w:r>
        <w:t xml:space="preserve">Используется единый внутренний экземпляр MLflow: mlflow.bank.local.</w:t>
      </w:r>
    </w:p>
    <w:p>
      <w:pPr>
        <w:spacing w:after="60"/>
        <w:jc w:val="both"/>
      </w:pPr>
      <w:r>
        <w:rPr>
          <w:b/>
          <w:bCs/>
        </w:rPr>
        <w:t xml:space="preserve">2.2. </w:t>
      </w:r>
      <w:r>
        <w:t xml:space="preserve">Имя зарегистрированной модели формируется как &lt;домен&gt;.&lt;задача&gt;.&lt;алгоритм&gt;, латиница, строчными буквами (DOC-06, п. 7).</w:t>
      </w:r>
    </w:p>
    <w:p>
      <w:pPr>
        <w:spacing w:after="60"/>
        <w:jc w:val="both"/>
      </w:pPr>
      <w:r>
        <w:rPr>
          <w:b/>
          <w:bCs/>
        </w:rPr>
        <w:t xml:space="preserve">2.3. </w:t>
      </w:r>
      <w:r>
        <w:t xml:space="preserve">Эксперименты именуются как &lt;домен&gt;/&lt;сервис&gt;.</w:t>
      </w:r>
    </w:p>
    <w:p>
      <w:pPr>
        <w:pStyle w:val="Heading1"/>
        <w:spacing w:after="120" w:before="240"/>
      </w:pPr>
      <w:r>
        <w:rPr>
          <w:b/>
          <w:bCs/>
        </w:rPr>
        <w:t xml:space="preserve">3. Стадии жизненного цикла</w:t>
      </w:r>
    </w:p>
    <w:p>
      <w:pPr>
        <w:spacing w:after="60"/>
        <w:jc w:val="both"/>
      </w:pPr>
      <w:r>
        <w:rPr>
          <w:b/>
          <w:bCs/>
        </w:rPr>
        <w:t xml:space="preserve">3.1. </w:t>
      </w:r>
      <w:r>
        <w:t xml:space="preserve">Допустимые стадии версии модели: None, Staging, Production, Archived.</w:t>
      </w:r>
    </w:p>
    <w:p>
      <w:pPr>
        <w:spacing w:after="60"/>
        <w:jc w:val="both"/>
      </w:pPr>
      <w:r>
        <w:rPr>
          <w:b/>
          <w:bCs/>
        </w:rPr>
        <w:t xml:space="preserve">3.2. </w:t>
      </w:r>
      <w:r>
        <w:t xml:space="preserve">В ПЭ допускается использование только версий в стадии Production.</w:t>
      </w:r>
    </w:p>
    <w:p>
      <w:pPr>
        <w:spacing w:after="60"/>
        <w:jc w:val="both"/>
      </w:pPr>
      <w:r>
        <w:rPr>
          <w:b/>
          <w:bCs/>
        </w:rPr>
        <w:t xml:space="preserve">3.3. </w:t>
      </w:r>
      <w:r>
        <w:t xml:space="preserve">Перевод версии в Production выполняет релиз-менеджер после согласования заявки по DOC-01, раздел 5. Самостоятельный перевод разработчиком запрещён.</w:t>
      </w:r>
    </w:p>
    <w:p>
      <w:pPr>
        <w:spacing w:after="60"/>
        <w:jc w:val="both"/>
      </w:pPr>
      <w:r>
        <w:rPr>
          <w:b/>
          <w:bCs/>
        </w:rPr>
        <w:t xml:space="preserve">3.4. </w:t>
      </w:r>
      <w:r>
        <w:t xml:space="preserve">При выводе новой версии предыдущая Production-версия переводится в Archived не ранее чем через 14 дней (окно быстрого отката).</w:t>
      </w:r>
    </w:p>
    <w:p>
      <w:pPr>
        <w:pStyle w:val="Heading1"/>
        <w:spacing w:after="120" w:before="240"/>
      </w:pPr>
      <w:r>
        <w:rPr>
          <w:b/>
          <w:bCs/>
        </w:rPr>
        <w:t xml:space="preserve">4. Обязательное содержимое MLflow-модели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Сериализованная модель в одном из поддерживаемых форматов (flavor).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Файл зависимостей (conda.yaml или requirements.txt) с зафиксированными точными версиями пакетов.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Сигнатура модели (signature) — схема входа и выхода.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Пример входных данных (input_example).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Теги: owner, data_source, training_dataset_version, git_commit, service_type (online или batch).</w:t>
      </w:r>
    </w:p>
    <w:p>
      <w:pPr>
        <w:pStyle w:val="Heading1"/>
        <w:spacing w:after="120" w:before="240"/>
      </w:pPr>
      <w:r>
        <w:rPr>
          <w:b/>
          <w:bCs/>
        </w:rPr>
        <w:t xml:space="preserve">5. Карточка модели</w:t>
      </w:r>
    </w:p>
    <w:p>
      <w:pPr>
        <w:spacing w:after="60"/>
        <w:jc w:val="both"/>
      </w:pPr>
      <w:r>
        <w:rPr>
          <w:b/>
          <w:bCs/>
        </w:rPr>
        <w:t xml:space="preserve">5.1. </w:t>
      </w:r>
      <w:r>
        <w:t xml:space="preserve">К версии модели прикладывается карточка модели (Model Card) как артефакт в формате Markdown.</w:t>
      </w:r>
    </w:p>
    <w:p>
      <w:pPr>
        <w:spacing w:after="60"/>
        <w:jc w:val="both"/>
      </w:pPr>
      <w:r>
        <w:rPr>
          <w:b/>
          <w:bCs/>
        </w:rPr>
        <w:t xml:space="preserve">5.2. </w:t>
      </w:r>
      <w:r>
        <w:t xml:space="preserve">Карточка содержит: назначение и границы применения; известные ограничения; значения метрик качества с датой расчёта и описанием тестовой выборки; класс данных по DOC-07; контактный канал владельца.</w:t>
      </w:r>
    </w:p>
    <w:p>
      <w:pPr>
        <w:spacing w:after="60"/>
        <w:jc w:val="both"/>
      </w:pPr>
      <w:r>
        <w:rPr>
          <w:b/>
          <w:bCs/>
        </w:rPr>
        <w:t xml:space="preserve">5.3. </w:t>
      </w:r>
      <w:r>
        <w:t xml:space="preserve">Карточка не содержит персональных данных, секретов и фрагментов защищаемых данных.</w:t>
      </w:r>
    </w:p>
    <w:p>
      <w:pPr>
        <w:pStyle w:val="Heading1"/>
        <w:spacing w:after="120" w:before="240"/>
      </w:pPr>
      <w:r>
        <w:rPr>
          <w:b/>
          <w:bCs/>
        </w:rPr>
        <w:t xml:space="preserve">6. Требования к зависимостям</w:t>
      </w:r>
    </w:p>
    <w:p>
      <w:pPr>
        <w:spacing w:after="60"/>
        <w:jc w:val="both"/>
      </w:pPr>
      <w:r>
        <w:rPr>
          <w:b/>
          <w:bCs/>
        </w:rPr>
        <w:t xml:space="preserve">6.1. </w:t>
      </w:r>
      <w:r>
        <w:t xml:space="preserve">Пакеты устанавливаются только из внутреннего прокси PyPI.</w:t>
      </w:r>
    </w:p>
    <w:p>
      <w:pPr>
        <w:spacing w:after="60"/>
        <w:jc w:val="both"/>
      </w:pPr>
      <w:r>
        <w:rPr>
          <w:b/>
          <w:bCs/>
        </w:rPr>
        <w:t xml:space="preserve">6.2. </w:t>
      </w:r>
      <w:r>
        <w:t xml:space="preserve">Запрещены пакеты и код, загружающие веса моделей или иные артефакты из интернета во время сборки или исполнения.</w:t>
      </w:r>
    </w:p>
    <w:p>
      <w:pPr>
        <w:spacing w:after="60"/>
        <w:jc w:val="both"/>
      </w:pPr>
      <w:r>
        <w:rPr>
          <w:b/>
          <w:bCs/>
        </w:rPr>
        <w:t xml:space="preserve">6.3. </w:t>
      </w:r>
      <w:r>
        <w:t xml:space="preserve">Предобученные веса подключаются из внутреннего артефакт-хранилища и логируются как артефакт версии модели.</w:t>
      </w:r>
    </w:p>
    <w:p>
      <w:pPr>
        <w:pStyle w:val="Heading1"/>
        <w:spacing w:after="120" w:before="240"/>
      </w:pPr>
      <w:r>
        <w:rPr>
          <w:b/>
          <w:bCs/>
        </w:rPr>
        <w:t xml:space="preserve">7. Версионирование</w:t>
      </w:r>
    </w:p>
    <w:p>
      <w:pPr>
        <w:spacing w:after="60"/>
        <w:jc w:val="both"/>
      </w:pPr>
      <w:r>
        <w:rPr>
          <w:b/>
          <w:bCs/>
        </w:rPr>
        <w:t xml:space="preserve">7.1. </w:t>
      </w:r>
      <w:r>
        <w:t xml:space="preserve">Для каждой версии модели фиксируется связка: номер версии — git_commit — training_dataset_version.</w:t>
      </w:r>
    </w:p>
    <w:p>
      <w:pPr>
        <w:spacing w:after="60"/>
        <w:jc w:val="both"/>
      </w:pPr>
      <w:r>
        <w:rPr>
          <w:b/>
          <w:bCs/>
        </w:rPr>
        <w:t xml:space="preserve">7.2. </w:t>
      </w:r>
      <w:r>
        <w:t xml:space="preserve">Онлайн-сервис загружает модель по стадии Production; батч-сервис — по фиксированному номеру версии (DOC-03, п. 4.2).</w:t>
      </w:r>
    </w:p>
    <w:p>
      <w:pPr>
        <w:spacing w:after="60"/>
        <w:jc w:val="both"/>
      </w:pPr>
      <w:r>
        <w:rPr>
          <w:b/>
          <w:bCs/>
        </w:rPr>
        <w:t xml:space="preserve">7.3. </w:t>
      </w:r>
      <w:r>
        <w:t xml:space="preserve">Изменение весов модели без изменения номера версии запрещено.</w:t>
      </w:r>
    </w:p>
    <w:p>
      <w:pPr>
        <w:pStyle w:val="Heading1"/>
        <w:spacing w:after="120" w:before="240"/>
      </w:pPr>
      <w:r>
        <w:rPr>
          <w:b/>
          <w:bCs/>
        </w:rPr>
        <w:t xml:space="preserve">8. Валидация перед регистрацией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Подтверждена воспроизводимость обучения на зафиксированной версии датасета.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Пройдены тесты качества; достигнутые метрики не ниже порогов, указанных в паспорте сервиса.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Сигнатура проверена на тестовой выборке: типы и состав полей входа и выхода соответствуют объявленным.</w:t>
      </w:r>
    </w:p>
    <w:p>
      <w:pPr>
        <w:pStyle w:val="Heading1"/>
        <w:spacing w:after="120" w:before="240"/>
      </w:pPr>
      <w:r>
        <w:rPr>
          <w:b/>
          <w:bCs/>
        </w:rPr>
        <w:t xml:space="preserve">9. Хранение и сроки</w:t>
      </w:r>
    </w:p>
    <w:p>
      <w:pPr>
        <w:spacing w:after="60"/>
        <w:jc w:val="both"/>
      </w:pPr>
      <w:r>
        <w:rPr>
          <w:b/>
          <w:bCs/>
        </w:rPr>
        <w:t xml:space="preserve">9.1. </w:t>
      </w:r>
      <w:r>
        <w:t xml:space="preserve">Артефакты моделей хранятся во внутреннем объектном хранилище.</w:t>
      </w:r>
    </w:p>
    <w:p>
      <w:pPr>
        <w:spacing w:after="60"/>
        <w:jc w:val="both"/>
      </w:pPr>
      <w:r>
        <w:rPr>
          <w:b/>
          <w:bCs/>
        </w:rPr>
        <w:t xml:space="preserve">9.2. </w:t>
      </w:r>
      <w:r>
        <w:t xml:space="preserve">Production-версии и связанные артефакты хранятся не менее 1 года после вывода сервиса из эксплуатации.</w:t>
      </w:r>
    </w:p>
    <w:p>
      <w:pPr>
        <w:pStyle w:val="Heading1"/>
        <w:spacing w:after="120" w:before="240"/>
      </w:pPr>
      <w:r>
        <w:rPr>
          <w:b/>
          <w:bCs/>
        </w:rPr>
        <w:t xml:space="preserve">10. Запреты</w:t>
      </w:r>
    </w:p>
    <w:p>
      <w:pPr>
        <w:spacing w:after="60"/>
        <w:jc w:val="both"/>
      </w:pPr>
      <w:r>
        <w:rPr>
          <w:b/>
          <w:bCs/>
        </w:rPr>
        <w:t xml:space="preserve">10.1. </w:t>
      </w:r>
      <w:r>
        <w:t xml:space="preserve">Логирование персональных данных, секретов и защищаемых данных в параметры, метрики или артефакты MLflow.</w:t>
      </w:r>
    </w:p>
    <w:p>
      <w:pPr>
        <w:spacing w:after="60"/>
        <w:jc w:val="both"/>
      </w:pPr>
      <w:r>
        <w:rPr>
          <w:b/>
          <w:bCs/>
        </w:rPr>
        <w:t xml:space="preserve">10.2. </w:t>
      </w:r>
      <w:r>
        <w:t xml:space="preserve">Регистрация версии модели без сигнатуры и без зафиксированных версий зависимостей.</w:t>
      </w:r>
    </w:p>
    <w:p>
      <w:pPr>
        <w:spacing w:after="60"/>
        <w:jc w:val="both"/>
      </w:pPr>
      <w:r>
        <w:rPr>
          <w:b/>
          <w:bCs/>
        </w:rPr>
        <w:t xml:space="preserve">10.3. </w:t>
      </w:r>
      <w:r>
        <w:t xml:space="preserve">Использование в ПЭ версий в стадиях None и Staging.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DOC-04 Стандарт упаковки и регистрации моделей в MLflow</dc:title>
  <dc:creator>MLOps AI-environment team (training)</dc:creator>
  <cp:lastModifiedBy>Un-named</cp:lastModifiedBy>
  <cp:revision>1</cp:revision>
  <dcterms:created xsi:type="dcterms:W3CDTF">2026-08-29T13:34:50.892Z</dcterms:created>
  <dcterms:modified xsi:type="dcterms:W3CDTF">2026-08-29T13:34:50.892Z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