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DOC-05 — Чек-лист готовности ИИ-сервиса к промышленной эксплуатации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Чек-лист готовности ИИ-сервиса к промышленной эксплуатации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4.0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2026-05-01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2027-05-01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Команда развития ИИ-среды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1. Назначение</w:t>
      </w:r>
    </w:p>
    <w:p>
      <w:pPr>
        <w:spacing w:after="80"/>
        <w:jc w:val="both"/>
      </w:pPr>
      <w:r>
        <w:t xml:space="preserve">Чек-лист используется как критерий допуска ИИ-сервиса к промышленной эксплуатации (Definition of Ready) согласно DOC-01, раздел 4. Заполняется владельцем продукта и проверяется на техническом ревью и ревью ИБ.</w:t>
      </w:r>
    </w:p>
    <w:p>
      <w:pPr>
        <w:pStyle w:val="Heading1"/>
        <w:spacing w:after="120" w:before="240"/>
      </w:pPr>
      <w:r>
        <w:rPr>
          <w:b/>
          <w:bCs/>
        </w:rPr>
        <w:t xml:space="preserve">2. Правила заполнения и прохождения</w:t>
      </w:r>
    </w:p>
    <w:p>
      <w:pPr>
        <w:spacing w:after="60"/>
        <w:jc w:val="both"/>
      </w:pPr>
      <w:r>
        <w:rPr>
          <w:b/>
          <w:bCs/>
        </w:rPr>
        <w:t xml:space="preserve">2.1. </w:t>
      </w:r>
      <w:r>
        <w:t xml:space="preserve">Столбцы «Онлайн» и «Батч» показывают применимость пункта к типу сервиса: «Да» — применим, «Нет» — не применим, «Если К4» / «Если К3» — применим при соответствующем классе данных.</w:t>
      </w:r>
    </w:p>
    <w:p>
      <w:pPr>
        <w:spacing w:after="60"/>
        <w:jc w:val="both"/>
      </w:pPr>
      <w:r>
        <w:rPr>
          <w:b/>
          <w:bCs/>
        </w:rPr>
        <w:t xml:space="preserve">2.2. </w:t>
      </w:r>
      <w:r>
        <w:t xml:space="preserve">Сервис допускается к ПЭ, если по всем применимым пунктам получен статус «Да» с приложенным подтверждающим артефактом.</w:t>
      </w:r>
    </w:p>
    <w:p>
      <w:pPr>
        <w:spacing w:after="60"/>
        <w:jc w:val="both"/>
      </w:pPr>
      <w:r>
        <w:rPr>
          <w:b/>
          <w:bCs/>
        </w:rPr>
        <w:t xml:space="preserve">2.3. </w:t>
      </w:r>
      <w:r>
        <w:t xml:space="preserve">Отклонение по отдельному пункту оформляется риск-акцептом архитектора платформы с указанием срока устранения (DOC-01, п. 4.2).</w:t>
      </w:r>
    </w:p>
    <w:p>
      <w:pPr>
        <w:pStyle w:val="Heading1"/>
        <w:spacing w:after="120" w:before="240"/>
      </w:pPr>
      <w:r>
        <w:rPr>
          <w:b/>
          <w:bCs/>
        </w:rPr>
        <w:t xml:space="preserve">3. Пункты проверки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00"/>
        <w:gridCol w:w="1100"/>
        <w:gridCol w:w="1100"/>
        <w:gridCol w:w="3400"/>
        <w:gridCol w:w="2400"/>
      </w:tblGrid>
      <w:tr>
        <w:trPr>
          <w:tblHeader/>
        </w:trPr>
        <w:tc>
          <w:tcPr>
            <w:tcW w:type="dxa" w:w="7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4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Пункт проверки</w:t>
            </w:r>
          </w:p>
        </w:tc>
        <w:tc>
          <w:tcPr>
            <w:tcW w:type="dxa" w:w="11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Онлайн</w:t>
            </w:r>
          </w:p>
        </w:tc>
        <w:tc>
          <w:tcPr>
            <w:tcW w:type="dxa" w:w="11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Батч</w:t>
            </w:r>
          </w:p>
        </w:tc>
        <w:tc>
          <w:tcPr>
            <w:tcW w:type="dxa" w:w="34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Подтверждающий артефакт</w:t>
            </w:r>
          </w:p>
        </w:tc>
        <w:tc>
          <w:tcPr>
            <w:tcW w:type="dxa" w:w="24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Паспорт сервиса оформлен: назначение, пользователи, границы применения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Паспорт сервиса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Владелец продукта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Карточка модели приложена к версии в MLflow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Model Card в MLflow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Определён класс данных сервиса по DOC-07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DPIA-lite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Инженер по данным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Правовое основание обработки для данных К4 подтверждено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Если К4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Если К4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Заключение ИБ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Служба ИБ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Версия модели в MLflow Model Registry в стадии Production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MLflow Registry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Релиз-менеджер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Зафиксированы версии зависимостей (requirements/conda)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Артефакт версии модели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Сигнатура модели проверена на тестовой выборке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Отчёт валидации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Метрики качества не ниже порогов паспорта, дата расчёта указана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Отчёт об оценке качества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Источники и приёмники данных находятся во внутреннем контуре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Схема потоков данных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Инженер по данным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Данные К3/К4 не используются в средах dev и test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Настройки доступа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Инженер по данным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Тег релиза v&lt;semver&gt; создан в GitLab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GitLab release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Пайплайн CI зелёный: линтеры, модульные, интеграционные тесты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CI pipeline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Сканирование образа пройдено, нет уязвимостей Critical/High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Отчёт сканера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Служба ИБ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Код DAG размещён в репозитории ai-dags, id вида bat_&lt;домен&gt;_&lt;сервис&gt;_infer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Репозиторий ai-dags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Манифесты Deployment/Service/Route подготовлены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Каталог манифестов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Число реплик не менее 2, задан PodDisruptionBudget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Deployment, PDB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Заданы requests и limits по CPU и памяти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Манифест / под-спека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Настроен HorizontalPodAutoscaler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HPA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Пробы readiness и liveness настроены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Манифест Deployment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4.6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Проведён нагрузочный тест, p95 latency &lt;= 300 мс при целевом RPS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Протокол нагрузочного теста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Расписание cron в UTC, catchup=false, max_active_runs=1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Код DAG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Заданы retries, retry_delay, execution_timeout, SLA завершения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Код DAG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4.9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Подтверждена идемпотентность записи (перезапись партиции по дате)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Описание витрины + тест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Инженер по данным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4.10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Прогон укладывается в окно &lt;= 4 ч и завершается до 06:00 UTC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Протокол пробного прогона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5.1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Секреты вынесены в хранилище секретов, отсутствуют в коде и образе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Конфигурация Vault/CSI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Служба ИБ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Egress закрыт, внешние сетевые вызовы отсутствуют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NetworkPolicy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Служба ИБ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Контейнер запускается от non-root, базовый образ внутренний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Dockerfile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Служба ИБ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Ревью ИБ пройдено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Заключение ИБ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Служба ИБ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Метрики публикуются (Prometheus /metrics или pushgateway)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Дашборд мониторинга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SRE / эксплуатация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6.2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Логи в JSON собираются в Loki, данные К3/К4 маскируются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Пример лога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SRE / эксплуатация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Настроен мониторинг дрейфа, задан порог оповещения (PSI &gt; 0.2)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Конфигурация отчёта о дрейфе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6.4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Настроены оповещения (латентность/ошибки или срыв SLA/отбраковка)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Правила алертинга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SRE / эксплуатация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7.1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Описаны стратегия выката и процедура отката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Раздел runbook сервиса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DS/ML-инженер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7.2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Определён дежурный канал поддержки и владелец на время ПЭ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DOC-08, часть C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Владелец продукта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7.3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Согласовано окно релиза с релиз-менеджером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План релиза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Релиз-менеджер</w:t>
            </w:r>
          </w:p>
        </w:tc>
      </w:tr>
    </w:tbl>
    <w:p>
      <w:pPr>
        <w:spacing w:before="160"/>
      </w:pPr>
      <w:r>
        <w:rPr>
          <w:i/>
          <w:iCs/>
        </w:rPr>
        <w:t xml:space="preserve">Итог: применимых пунктов ____ ; в статусе «Да» ____ ; риск-акцептов ____ . Решение о допуске: ________________________.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DOC-05 Чек-лист готовности ИИ-сервиса к промышленной эксплуатации</dc:title>
  <dc:creator>MLOps AI-environment team (training)</dc:creator>
  <cp:lastModifiedBy>Un-named</cp:lastModifiedBy>
  <cp:revision>1</cp:revision>
  <dcterms:created xsi:type="dcterms:W3CDTF">2026-08-29T13:34:50.899Z</dcterms:created>
  <dcterms:modified xsi:type="dcterms:W3CDTF">2026-08-29T13:34:50.899Z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