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0"/>
          <w:szCs w:val="30"/>
        </w:rPr>
        <w:t xml:space="preserve">DOC-06 — Стандарт именования и размещения ресурсов ИИ-сервисов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Идентификатор</w:t>
            </w:r>
          </w:p>
        </w:tc>
        <w:tc>
          <w:tcPr>
            <w:tcW w:type="dxa" w:w="6400"/>
          </w:tcPr>
          <w:p>
            <w:r>
              <w:t xml:space="preserve">DOC-06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Наименование</w:t>
            </w:r>
          </w:p>
        </w:tc>
        <w:tc>
          <w:tcPr>
            <w:tcW w:type="dxa" w:w="6400"/>
          </w:tcPr>
          <w:p>
            <w:r>
              <w:t xml:space="preserve">Стандарт именования и размещения ресурсов ИИ-сервисов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400"/>
          </w:tcPr>
          <w:p>
            <w:r>
              <w:t xml:space="preserve">2.0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Дата вступления в силу</w:t>
            </w:r>
          </w:p>
        </w:tc>
        <w:tc>
          <w:tcPr>
            <w:tcW w:type="dxa" w:w="6400"/>
          </w:tcPr>
          <w:p>
            <w:r>
              <w:t xml:space="preserve">2026-01-20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Дата планового пересмотра</w:t>
            </w:r>
          </w:p>
        </w:tc>
        <w:tc>
          <w:tcPr>
            <w:tcW w:type="dxa" w:w="6400"/>
          </w:tcPr>
          <w:p>
            <w:r>
              <w:t xml:space="preserve">2027-01-20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Владелец документа</w:t>
            </w:r>
          </w:p>
        </w:tc>
        <w:tc>
          <w:tcPr>
            <w:tcW w:type="dxa" w:w="6400"/>
          </w:tcPr>
          <w:p>
            <w:r>
              <w:t xml:space="preserve">Команда развития ИИ-среды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Класс данных</w:t>
            </w:r>
          </w:p>
        </w:tc>
        <w:tc>
          <w:tcPr>
            <w:tcW w:type="dxa" w:w="6400"/>
          </w:tcPr>
          <w:p>
            <w:r>
              <w:t xml:space="preserve">К2 — внутренний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400"/>
          </w:tcPr>
          <w:p>
            <w:r>
              <w:t xml:space="preserve">Действует</w:t>
            </w:r>
          </w:p>
        </w:tc>
      </w:tr>
    </w:tbl>
    <w:p>
      <w:pPr>
        <w:spacing w:after="120"/>
      </w:pPr>
      <w:r>
        <w:rPr>
          <w:i/>
          <w:iCs/>
          <w:color w:val="555555"/>
        </w:rPr>
        <w:t xml:space="preserve">Учебный синтетический документ. Все наименования систем, доменов, контуров, ролей и числовые значения условны и не относятся к реальной организации. Персональные данные, пароли, ключи, коммерческая тайна в тексте отсутствуют.</w:t>
      </w:r>
    </w:p>
    <w:p>
      <w:pPr>
        <w:pBdr>
          <w:bottom w:val="single" w:color="999999" w:sz="6"/>
        </w:pBdr>
        <w:spacing w:after="120"/>
      </w:pPr>
    </w:p>
    <w:p>
      <w:pPr>
        <w:pStyle w:val="Heading1"/>
        <w:spacing w:after="120" w:before="240"/>
      </w:pPr>
      <w:r>
        <w:rPr>
          <w:b/>
          <w:bCs/>
        </w:rPr>
        <w:t xml:space="preserve">1. Область применения</w:t>
      </w:r>
    </w:p>
    <w:p>
      <w:pPr>
        <w:spacing w:after="60"/>
        <w:jc w:val="both"/>
      </w:pPr>
      <w:r>
        <w:rPr>
          <w:b/>
          <w:bCs/>
        </w:rPr>
        <w:t xml:space="preserve">1.1. </w:t>
      </w:r>
      <w:r>
        <w:t xml:space="preserve">Стандарт устанавливает правила именования и размещения ресурсов ИИ-сервисов в OpenShift, Airflow, MLflow, GitLab и во внутреннем реестре контейнеров.</w:t>
      </w:r>
    </w:p>
    <w:p>
      <w:pPr>
        <w:spacing w:after="60"/>
        <w:jc w:val="both"/>
      </w:pPr>
      <w:r>
        <w:rPr>
          <w:b/>
          <w:bCs/>
        </w:rPr>
        <w:t xml:space="preserve">1.2. </w:t>
      </w:r>
      <w:r>
        <w:t xml:space="preserve">Соблюдение стандарта проверяется на техническом ревью (DOC-01, п. 5.1) и по чек-листу DOC-05.</w:t>
      </w:r>
    </w:p>
    <w:p>
      <w:pPr>
        <w:pStyle w:val="Heading1"/>
        <w:spacing w:after="120" w:before="240"/>
      </w:pPr>
      <w:r>
        <w:rPr>
          <w:b/>
          <w:bCs/>
        </w:rPr>
        <w:t xml:space="preserve">2. Бизнес-домены</w:t>
      </w:r>
    </w:p>
    <w:p>
      <w:pPr>
        <w:spacing w:after="60"/>
        <w:jc w:val="both"/>
      </w:pPr>
      <w:r>
        <w:rPr>
          <w:b/>
          <w:bCs/>
        </w:rPr>
        <w:t xml:space="preserve">2.1. </w:t>
      </w:r>
      <w:r>
        <w:t xml:space="preserve">Допустимые коды доменов: retail, corp, risk, ops, antifraud, hr. Новые коды заводятся по согласованию с архитектором платформы.</w:t>
      </w:r>
    </w:p>
    <w:p>
      <w:pPr>
        <w:pStyle w:val="Heading1"/>
        <w:spacing w:after="120" w:before="240"/>
      </w:pPr>
      <w:r>
        <w:rPr>
          <w:b/>
          <w:bCs/>
        </w:rPr>
        <w:t xml:space="preserve">3. Среды</w:t>
      </w:r>
    </w:p>
    <w:p>
      <w:pPr>
        <w:spacing w:after="60"/>
        <w:jc w:val="both"/>
      </w:pPr>
      <w:r>
        <w:rPr>
          <w:b/>
          <w:bCs/>
        </w:rPr>
        <w:t xml:space="preserve">3.1. </w:t>
      </w:r>
      <w:r>
        <w:t xml:space="preserve">Коды сред: dev, test, stage, prod.</w:t>
      </w:r>
    </w:p>
    <w:p>
      <w:pPr>
        <w:spacing w:after="60"/>
        <w:jc w:val="both"/>
      </w:pPr>
      <w:r>
        <w:rPr>
          <w:b/>
          <w:bCs/>
        </w:rPr>
        <w:t xml:space="preserve">3.2. </w:t>
      </w:r>
      <w:r>
        <w:t xml:space="preserve">Промышленная эксплуатация — только среда prod.</w:t>
      </w:r>
    </w:p>
    <w:p>
      <w:pPr>
        <w:pStyle w:val="Heading1"/>
        <w:spacing w:after="120" w:before="240"/>
      </w:pPr>
      <w:r>
        <w:rPr>
          <w:b/>
          <w:bCs/>
        </w:rPr>
        <w:t xml:space="preserve">4. OpenShift</w:t>
      </w:r>
    </w:p>
    <w:p>
      <w:pPr>
        <w:spacing w:after="60"/>
        <w:jc w:val="both"/>
      </w:pPr>
      <w:r>
        <w:rPr>
          <w:b/>
          <w:bCs/>
        </w:rPr>
        <w:t xml:space="preserve">4.1. </w:t>
      </w:r>
      <w:r>
        <w:t xml:space="preserve">Имя namespace: ai-&lt;домен&gt;-&lt;среда&gt; (пример: ai-risk-prod).</w:t>
      </w:r>
    </w:p>
    <w:p>
      <w:pPr>
        <w:spacing w:after="60"/>
        <w:jc w:val="both"/>
      </w:pPr>
      <w:r>
        <w:rPr>
          <w:b/>
          <w:bCs/>
        </w:rPr>
        <w:t xml:space="preserve">4.2. </w:t>
      </w:r>
      <w:r>
        <w:t xml:space="preserve">Обязательные лейблы всех объектов: app, owner, service-type (online|batch), cost-center, data-class (k1|k2|k3|k4).</w:t>
      </w:r>
    </w:p>
    <w:p>
      <w:pPr>
        <w:spacing w:after="60"/>
        <w:jc w:val="both"/>
      </w:pPr>
      <w:r>
        <w:rPr>
          <w:b/>
          <w:bCs/>
        </w:rPr>
        <w:t xml:space="preserve">4.3. </w:t>
      </w:r>
      <w:r>
        <w:t xml:space="preserve">Имена объектов: Deployment — &lt;сервис&gt;-api; Service — &lt;сервис&gt;-svc; Route — &lt;сервис&gt;-&lt;домен&gt;.apps.ocp.bank.local.</w:t>
      </w:r>
    </w:p>
    <w:p>
      <w:pPr>
        <w:pStyle w:val="Heading1"/>
        <w:spacing w:after="120" w:before="240"/>
      </w:pPr>
      <w:r>
        <w:rPr>
          <w:b/>
          <w:bCs/>
        </w:rPr>
        <w:t xml:space="preserve">5. Apache Airflow</w:t>
      </w:r>
    </w:p>
    <w:p>
      <w:pPr>
        <w:spacing w:after="60"/>
        <w:jc w:val="both"/>
      </w:pPr>
      <w:r>
        <w:rPr>
          <w:b/>
          <w:bCs/>
        </w:rPr>
        <w:t xml:space="preserve">5.1. </w:t>
      </w:r>
      <w:r>
        <w:t xml:space="preserve">Идентификатор DAG: bat_&lt;домен&gt;_&lt;сервис&gt;_infer (пример: bat_risk_pd_scoring_infer).</w:t>
      </w:r>
    </w:p>
    <w:p>
      <w:pPr>
        <w:spacing w:after="60"/>
        <w:jc w:val="both"/>
      </w:pPr>
      <w:r>
        <w:rPr>
          <w:b/>
          <w:bCs/>
        </w:rPr>
        <w:t xml:space="preserve">5.2. </w:t>
      </w:r>
      <w:r>
        <w:t xml:space="preserve">Обязательные теги DAG: &lt;домен&gt;, batch-inference, &lt;сервис&gt;.</w:t>
      </w:r>
    </w:p>
    <w:p>
      <w:pPr>
        <w:spacing w:after="60"/>
        <w:jc w:val="both"/>
      </w:pPr>
      <w:r>
        <w:rPr>
          <w:b/>
          <w:bCs/>
        </w:rPr>
        <w:t xml:space="preserve">5.3. </w:t>
      </w:r>
      <w:r>
        <w:t xml:space="preserve">Каталог размещения: dags/&lt;домен&gt;/ в репозитории ai-dags.</w:t>
      </w:r>
    </w:p>
    <w:p>
      <w:pPr>
        <w:pStyle w:val="Heading1"/>
        <w:spacing w:after="120" w:before="240"/>
      </w:pPr>
      <w:r>
        <w:rPr>
          <w:b/>
          <w:bCs/>
        </w:rPr>
        <w:t xml:space="preserve">6. MLflow</w:t>
      </w:r>
    </w:p>
    <w:p>
      <w:pPr>
        <w:spacing w:after="60"/>
        <w:jc w:val="both"/>
      </w:pPr>
      <w:r>
        <w:rPr>
          <w:b/>
          <w:bCs/>
        </w:rPr>
        <w:t xml:space="preserve">6.1. </w:t>
      </w:r>
      <w:r>
        <w:t xml:space="preserve">Имя зарегистрированной модели: &lt;домен&gt;.&lt;задача&gt;.&lt;алгоритм&gt; (пример: risk.pd_scoring.gbm).</w:t>
      </w:r>
    </w:p>
    <w:p>
      <w:pPr>
        <w:spacing w:after="60"/>
        <w:jc w:val="both"/>
      </w:pPr>
      <w:r>
        <w:rPr>
          <w:b/>
          <w:bCs/>
        </w:rPr>
        <w:t xml:space="preserve">6.2. </w:t>
      </w:r>
      <w:r>
        <w:t xml:space="preserve">Имя эксперимента: &lt;домен&gt;/&lt;сервис&gt;.</w:t>
      </w:r>
    </w:p>
    <w:p>
      <w:pPr>
        <w:pStyle w:val="Heading1"/>
        <w:spacing w:after="120" w:before="240"/>
      </w:pPr>
      <w:r>
        <w:rPr>
          <w:b/>
          <w:bCs/>
        </w:rPr>
        <w:t xml:space="preserve">7. GitLab</w:t>
      </w:r>
    </w:p>
    <w:p>
      <w:pPr>
        <w:spacing w:after="60"/>
        <w:jc w:val="both"/>
      </w:pPr>
      <w:r>
        <w:rPr>
          <w:b/>
          <w:bCs/>
        </w:rPr>
        <w:t xml:space="preserve">7.1. </w:t>
      </w:r>
      <w:r>
        <w:t xml:space="preserve">Группа: ai/&lt;домен&gt;; репозиторий сервиса: &lt;сервис&gt;.</w:t>
      </w:r>
    </w:p>
    <w:p>
      <w:pPr>
        <w:spacing w:after="60"/>
        <w:jc w:val="both"/>
      </w:pPr>
      <w:r>
        <w:rPr>
          <w:b/>
          <w:bCs/>
        </w:rPr>
        <w:t xml:space="preserve">7.2. </w:t>
      </w:r>
      <w:r>
        <w:t xml:space="preserve">Ветки: main (защищённая), release/&lt;semver&gt;; тег релиза: v&lt;semver&gt; (пример: v1.4.0).</w:t>
      </w:r>
    </w:p>
    <w:p>
      <w:pPr>
        <w:pStyle w:val="Heading1"/>
        <w:spacing w:after="120" w:before="240"/>
      </w:pPr>
      <w:r>
        <w:rPr>
          <w:b/>
          <w:bCs/>
        </w:rPr>
        <w:t xml:space="preserve">8. Реестр контейнеров</w:t>
      </w:r>
    </w:p>
    <w:p>
      <w:pPr>
        <w:spacing w:after="60"/>
        <w:jc w:val="both"/>
      </w:pPr>
      <w:r>
        <w:rPr>
          <w:b/>
          <w:bCs/>
        </w:rPr>
        <w:t xml:space="preserve">8.1. </w:t>
      </w:r>
      <w:r>
        <w:t xml:space="preserve">Полное имя образа: registry.bank.local/ai/&lt;домен&gt;/&lt;сервис&gt;:&lt;git_sha&gt;.</w:t>
      </w:r>
    </w:p>
    <w:p>
      <w:pPr>
        <w:spacing w:after="60"/>
        <w:jc w:val="both"/>
      </w:pPr>
      <w:r>
        <w:rPr>
          <w:b/>
          <w:bCs/>
        </w:rPr>
        <w:t xml:space="preserve">8.2. </w:t>
      </w:r>
      <w:r>
        <w:t xml:space="preserve">Тег latest в ПЭ не используется.</w:t>
      </w:r>
    </w:p>
    <w:p>
      <w:pPr>
        <w:pStyle w:val="Heading1"/>
        <w:spacing w:after="120" w:before="240"/>
      </w:pPr>
      <w:r>
        <w:rPr>
          <w:b/>
          <w:bCs/>
        </w:rPr>
        <w:t xml:space="preserve">9. Хранилище секретов</w:t>
      </w:r>
    </w:p>
    <w:p>
      <w:pPr>
        <w:spacing w:after="60"/>
        <w:jc w:val="both"/>
      </w:pPr>
      <w:r>
        <w:rPr>
          <w:b/>
          <w:bCs/>
        </w:rPr>
        <w:t xml:space="preserve">9.1. </w:t>
      </w:r>
      <w:r>
        <w:t xml:space="preserve">Путь секретов сервиса: ai/&lt;домен&gt;/&lt;сервис&gt;/&lt;среда&gt; (пример: ai/retail/nba/prod).</w:t>
      </w:r>
    </w:p>
    <w:p>
      <w:pPr>
        <w:pStyle w:val="Heading1"/>
        <w:spacing w:after="120" w:before="240"/>
      </w:pPr>
      <w:r>
        <w:rPr>
          <w:b/>
          <w:bCs/>
        </w:rPr>
        <w:t xml:space="preserve">10. Запрещённые практики именования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Кириллица, пробелы и специальные символы в идентификаторах ресурсов.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Персональные имена сотрудников в именах namespace, репозиториев и DAG.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Использование тегов образов latest и test в среде prod.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</w:pPr>
    <w:rPr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DOC-06 Стандарт именования и размещения ресурсов ИИ-сервисов</dc:title>
  <dc:creator>MLOps AI-environment team (training)</dc:creator>
  <cp:lastModifiedBy>Un-named</cp:lastModifiedBy>
  <cp:revision>1</cp:revision>
  <dcterms:created xsi:type="dcterms:W3CDTF">2026-08-29T13:34:50.914Z</dcterms:created>
  <dcterms:modified xsi:type="dcterms:W3CDTF">2026-08-29T13:34:50.914Z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