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BRD: Онлайн-скоринг кредитного риска заявок на кредитные карты (предодобрение в мобильном приложении)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0. Метаданные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Поле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Название задачи/проекта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Онлайн-скоринг кредитного риска заявок на кредитные карты физлиц (предодобрение в мобильном приложении)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ID задачи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 (n8n) по итогам интервью с eval: продакт кредитных карт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Дата создания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Версия документа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Статус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Заказчик / Product Owner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eval: продакт кредитных карт (продакт-менеджер кредитных карт)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Согласующие (Approvers)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(уточняется при согласовании)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Резюме (Executive Summary)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Необходимо вывести в промышленную эксплуатацию онлайн-сервис оценки кредитного риска по заявкам физических лиц на кредитные карты. Сервис вызывается бэкендом мобильного приложения синхронно и отдаёт решение по заявке в реальном времени, что позволяет сразу формировать предодобрение. При неуверенности модели или недоступности сервиса заявка уходит на ручное рассмотрение, как в текущем процессе. Ожидаемый эффект — рост доли автоматических предодобрений с 0% до 40% без роста дефолтности относительно текущего уровня.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Бизнес-контекст и проблема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Проблема / боль: заявки на кредитные карты не оцениваются автоматически в реальном времени, из-за чего клиент не получает предодобрение сразу в мобильном приложении.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Текущее состояние (as-is): заявки рассматриваются вручную (обычное ручное рассмотрение).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Целевое состояние (to-be): бэкенд мобильного приложения синхронно вызывает сервис кредитного скоринга; по каждой заявке сервис возвращает решение (предодобрение/отказ) с объяснением причин отказа при необходимости; при отсутствии уверенного ответа заявка возвращается на ручное рассмотрение.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Связь со стратегией продукта/компании: повышение скорости выдачи решения по кредитным картам физлицам в мобильном приложении и рост автоматизации предодобрений.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Цели и метрики успеха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Метрика (KPI)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Baseline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Рост автоматизации предодобрения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Доля автоматических предодобрений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40%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Удержание кредитного риска в текущих границах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Дефолтность портфеля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Текущий уровень (значение TBD)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выше текущего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Отдельно для ML-задач: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Бизнес-метрика: доля автоматических предодобрений (0% → 40%); дефолтность портфеля (не выше текущего уровня).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Продуктовая метрика: время получения решения по заявке в мобильном приложении (latency to value) — p95 ≤ 300 мс (сказано инициатором).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Модельная метрика: TBD (precision/recall/AUC, порог уверенности и пороги качества для деплоя — уточняются у DS).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Стейкхолдеры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Роль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Имя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Интерес/ответственность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инициатор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(инициатор: eval: продакт кредитных карт)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Формулирует бизнес-требования, целевые метрики, отвечает за продукт кредитных карт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 — команда развития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Деплой, поддержка, контроль GPU, перенос кода в GitLab, эксплуатация сервиса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Инфраструктура — DevOps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Поддержка кластеров OpenShift, инфраструктура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Безопасность —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и мер защиты, ревью по DOC-07, заключение ИБ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 (уточняется; ресурсы и модельные метрики — открытый вопрос к DS)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Модель, ресурсы инференса, модельные метрики и пороги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Scope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5.1 In Scope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Онлайн-сервис (синхронный) оценки кредитного риска заявок физлиц на кредитные карты.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Синхронный вызов сервиса бэкендом мобильного приложения с ожиданием ответа по каждой заявке.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Возврат решения о предодобрении/отказе; объяснение основных причин отказа.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Fallback: при отсутствии ответа вовремя или неуверенности модели заявка уходит на обычное ручное рассмотрение.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Использование данных: анкета заявителя и кредитная история из кредитного бюро.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 кредитного скоринга (уже обучена, находится в MLflow) и код инференса.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Вывод сервиса в промышленную эксплуатацию в закрытом контуре банка.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5.2 Out of Scope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Антифрод-скоринг: SRV-011 «Антифрод-скоринг заявок на потребкредит» остаётся и используется отдельно.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Разработка/обучение новой модели: модель уже обучена и находится в MLflow.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Разработка мобильного приложения и его UI.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Автоматизация самого ручного рассмотрения (остаётся как fallback-процесс).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5.3 Допущения (Assumptions)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 кредитного скоринга уже обучена и доступна в MLflow.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Код инференса, написанный подрядчиком, может быть восстановлен из архива на сетевом диске и перенесён в GitLab (требуется подтверждение; открытый пункт до деплоя).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Сервис будет опубликован как REST-приложение в OpenShift в закрытом контуре банка (DOC-01 п. 2.1).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Пороговые значения модели для предодобрения/отказа настраиваются DS-командой (ресурсы и модельные метрики уточняются у DS).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5.4 Ограничения (Constraints)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Бюджет: TBD (в интервью не обсуждался).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Сроки: TBD (в интервью не обсуждались).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Закрытый контур банка: внешние вызовы моделей и API запрещены (DOC-01 п. 6.1; DOC-07 п. 1.2).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Онлайн-сервис — синхронный REST-инференс в OpenShift (DOC-01 п. 2.1).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Модель на момент выката должна быть в MLflow Model Registry в стадии Production (DOC-01 п. 4.3).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Онлайн-сервис разворачивается минимум в 2 репликах (DOC-01 п. 3.2).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Регуляторные: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Данные — ПДн, банковская тайна, класс К4 (DOC-07 п. 2.4).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данных К4 требуется правовое основание обработки, подтверждённое заключением ИБ (DOC-05 п. 1.4).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Запрещена запись данных классов К3/К4 в журналы приложения в открытом виде (DOC-07 п. 8.1).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Функциональные требования (Functional Requirements)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Приоритет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Критерий приёмки (Given/When/Then)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Онлайн-скоринг кредитного риска заявок на кредитные карты физлиц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бэкенд мобильного приложения подаёт заявку на кредитную карту, When сервис получает анкету заявителя и кредитную историю, Then сервис возвращает синхронный ответ с решением о предодобрении (одобрение/отказ).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Синхронный вызов из бэкенда мобильного приложения с ожиданием ответа по каждой заявке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Given поступила заявка, When бэкенд мобильного приложения вызывает сервис, Then бэкенд дожидается ответа сервиса по этой заявке в пределах p95 ≤ 300 мс.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Оценивается именно кредитный риск, а не антифрод; SRV-011 «Антифрод-скоринг заявок на потребкредит» не затрагивается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задача скоринга заявки, When выполняется оценка, Then используется модель кредитного риска; SRV-011 продолжает использоваться отдельно и не модифицируется.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Fallback на ручное рассмотрение при отсутствии своевременного ответа или неуверенности модели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сервис не ответил вовремя ИЛИ модель не уверена в решении, When истекает таймаут или срабатывает порог неуверенности, Then заявка уходит на обычное ручное рассмотрение, как в текущем процессе.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Объяснимость отказа: при отказе сервис возвращает основные причины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по заявке вынесен отказ, When клиенту/оператору требуется объяснение, Then сервис предоставляет перечень основных причин отказа.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FR-06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Входные данные сервиса — анкета заявителя и кредитная история из бюро кредитных историй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Must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Given обрабатывается заявка, When сервис формирует вход модели, Then используются анкета заявителя и кредитная история из БКИ (ПДн, банковская тайна, класс К4).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 Пользовательские сценарии / User Stories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продакт-менеджер кредитных карт, я хочу, чтобы бэкенд мобильного приложения получал онлайн-решение о предодобрении по заявке, чтобы клиент сразу видел предложение, а доля автоматических предодобрений росла.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клиент мобильного приложения, я хочу получать предодобрение по кредитной карте в момент подачи заявки, чтобы не ждать ручного рассмотрения.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кредитный специалист (оператор ручного рассмотрения), я хочу, чтобы при таймауте или неуверенности модели заявка попадала в привычный поток ручного рассмотрения, чтобы заявки не терялись.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Как сотрудник, объясняющий решение клиенту, и как ответственное за регуляторную прозрачность лицо, я хочу видеть основные причины отказа, чтобы объяснить решение по заявке.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 Функциональные требования к ML-компоненту (если применимо)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Вход модели: анкета заявителя + кредитная история из БКИ. Выход модели: решение о предодобрении/отказе (с уверенностью модели) и, при отказе, основные причины. Точная схема данных/формат — TBD.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Тип задачи: скоринг кредитного риска (оценка уровня кредитного риска по заявке). Конкретный тип модели и форма выходного скора — TBD.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Логика инференса: real-time, синхронный вызов на каждую заявку.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Поведение при неопределённости модели: fallback — заявка направляется на обычное ручное рассмотрение.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Explainability/интерпретируемость: при отказе требуется перечень основных причин отказа (механизм объяснения — TBD).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Персонализация/сегментация: N/A (не звучало в интервью).</w:t>
      </w:r>
    </w:p>
    <w:p w:rsidR="00000000" w:rsidDel="00000000" w:rsidP="00000000" w:rsidRDefault="00000000" w:rsidRPr="00000000" w14:paraId="0000008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Нефункциональные требования (Non-Functional Requirements)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7.1 Производительность и масштабируемость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Целевое 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Latency (p50/p95/p99)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vertAlign w:val="baseline"/>
                <w:rtl w:val="0"/>
              </w:rPr>
              <w:t xml:space="preserve">p95 ≤ 300 мс (из интервью; DOC-02 п. 7.1). p50, p99 — 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Throughput (RPS/QPS)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~20 RPS в обычное время; пик до 60 RPS во время акций (из интервью)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Объём данных (текущий/прогноз роста)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Пиковая нагрузка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до 60 RPS (во время промоакций)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Горизонтальное масштабирование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TBD; обязательны не менее 2 реплик и PodDisruptionBudget (DOC-01 п. 3.2; DOC-05 п. 4.2)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7.2 Доступность и надёжность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SLA/uptime: целевая доступность 99,5% в месяц (DOC-02 п. 7.2).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RTO/RPO: TBD.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Disaster recovery план: TBD.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деградации: при таймауте ответа или неуверенности модели заявка уходит на обычное ручное рассмотрение (подтверждено инициатором).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Время холодного старта пода: не более 60 секунд (DOC-02 п. 7.3).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Retry/timeout policy: таймаут ответа должен обеспечивать p95 ≤ 300 мс; конкретные значения retry/timeout — TBD.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7.3 Данные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Источники данных и владельцы: анкета заявителя (поступает через бэкенд мобильного приложения) и кредитная история из бюро кредитных историй. Владельцы источников — TBD.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Объём, скорость поступления, свежесть: скорость ~20 RPS, пик до 60 RPS; объём данных и требования к свежести — TBD.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Качество данных: критерии валидации, обработка пропусков/выбросов — TBD.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lineage и версионирование: модель версионируется в MLflow (модель есть в MLflow); data lineage/feature store — TBD.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Схема данных / контракт данных: вход — анкета + кредитная история; точная схема и контракт — TBD.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Retention policy: TBD (для журналов приложения действует требование хранения ≥ 1 года — DOC-07 п. 8.2).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7.4 ML-специфичные требования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обучающим данным (объём, баланс классов, разметка): TBD.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Частота переобучения (retraining cadence) и триггеры: TBD.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Мониторинг дрейфа данных и модели: распределения входных признаков и выходных предсказаний выгружаются во внутреннее хранилище для анализа (DOC-02 п. 9.1); конкретные пороги и алерты дрейфа — TBD.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Стратегия A/B-тестирования / shadow-деплой перед полным релизом: TBD.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Версионирование моделей и воспроизводимость экспериментов: модель в MLflow; воспроизводимость ограничена — код инференса отсутствует в GitLab (открытый пункт до деплоя).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Требования к offline/online метрикам и порогам качества для деплоя: TBD.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Champion/challenger стратегия: TBD.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7.5 Безопасность и приватность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Данные: ПДн, банковская тайна; класс данных К4 (подтверждено инициатором). Класс определяется по DOC-07 и фиксируется в паспорте сервиса (DOC-07 п. 2.5).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Потоки данных: бэкенд мобильного приложения → сервис онлайн-скоринга (OpenShift, синхронно) → бэкенд мобильного приложения. Источники: анкета заявителя и кредитная история из БКИ.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Применимые требования для К4: правовое основание обработки, запрет использования данных К4 в средах dev/test, маскирование при отображении и в логах, аудит доступа (DOC-07 п. 2.4); минимизация данных — использование только необходимых признаков, псевдонимизация где возможно (DOC-07 п. 7.2).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Закрытый контур: любые исходящие взаимодействия за пределы контура запрещены, включая внешние API и внешние модели (DOC-07 пп. 1.2, 3.3).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Аутентификация/авторизация, шифрование: TBD.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Конкретные меры безопасности согласовываются отдельно с ИБ.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7.6 Наблюдаемость (Observability)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Логирование: JSON в stdout, сбор в Loki, сквозной идентификатор запроса X-Request-Id (DOC-02 п. 8.2). Данные классов К3/К4 в логах маскируются (DOC-07 п. 8.1; DOC-02 п. 8.3). Хранение журналов — не менее 1 года (DOC-07 п. 8.2).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Метрики: Prometheus-метрики на /metrics — число запросов, время ответа по перцентилям, доля ошибок, длина очереди (DOC-02 п. 8.1). Бизнес-метрики: доля автоматических предодобрений (цель 40%) и уровень дефолтности (не выше текущего). Модельные метрики и дашборды — TBD.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Алертинг: пороги, каналы оповещения, ответственные — TBD.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Критерии приёмки задачи (Definition of Done)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Обязательный чек-лист для закрытия задачи: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☑ Модель зарегистрирована в MLflow (инициатор подтвердил: модель есть в MLflow)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Модель переведена в MLflow Model Registry в стадии Production — не выполнено, требуется до деплоя (DOC-04 пп. 3.2–3.3; DOC-01 п. 3.1)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Код инференса размещён в GitLab с тегом релиза v&lt;semver&gt; — не выполнено, требуется до деплоя: код подрядчика находится на сетевом диске, в GitLab его нет (DOC-01 п. 3.1)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Согласование архитектуры с ИБ и архитекторами (следующий шаг после BRD)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FR из раздела 6 реализованы и покрыты тестами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Все NFR из раздела 7 выполнены и измерены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Целевые метрики из раздела 3 достигнуты (или зафиксирован план их достижения): доля автоматических предодобрений выросла с 0 до 40%, дефолтность не выше текущей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Проведено код-ревью / модель-ревью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Написана и пройдена документация (README, runbook)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Настроены мониторинг и алерты в проде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☐ Проведено нагрузочное тестирование: p95 latency ≤ 300 мс, ~20 RPS, пики до 60 RPS, поведение при пиковой нагрузке (DOC-01 п. 3.2)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Проведена проверка безопасности/приватности данных (класс К4: ПДн, банковская тайна)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Получено согласование от всех approvers из раздела 0/4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План отката/rollback описан и проверен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Чек-лист готовности DOC-05 заполнен, все применимые пункты в статусе «Да» (DOC-01 п. 4.1; DOC-05 п. 2.2)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Риски и зависимости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Риск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Вероятность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Влияние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Митигация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Код инференса написан подрядчиком и находится только на сетевом диске; в GitLab отсутствует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Команда ИИ-среды переносит код в GitLab, прогоняет CI и создаёт тег релиза v&lt;semver&gt; до согласования заявки на ПЭ (DOC-01 п. 3.1)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Модель есть в MLflow, но не подтверждены стадия Production и достигнутые метрики качества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Высокая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DS/ML инициатора подтверждает регистрацию версии в Production и предоставляет отчёт об оценке качества (DOC-01 п. 3.1; DOC-04 п. 3.2)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Обработка данных класса К4 (ПДн, банковская тайна) в онлайн-режиме несёт ИБ-риски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Высокое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и мер защиты с ИБ отдельно; минимизация признаков, маскирование чувствительных полей в логах (DOC-07 пп. 7.2, 8.1)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Превышение latency или недоступность сервиса увеличивают долю ручного рассмотрения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Fallback на ручное рассмотрение; не менее 2 реплик, readiness/liveness-пробы, HPA (DOC-05 пп. 4.2; DOC-01 п. 3.2)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Не зафиксированы ресурсы сервиса (CPU/GPU/память)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Средняя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Запросить у DS требуемые requests/limits и число реплик до деплоя (DOC-01 п. 3.2)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Зависимость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Владелец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Подтверждение ресурсов сервиса, метрик качества модели и стадии Production в MLflow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 (инициатор или его команда)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Перенос кода в GitLab, сборка, CI и деплой в OpenShift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 — команда развития ИИ-среды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Выделение и поддержка инфраструктуры кластеров OpenShift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Инфраструктура — DevOps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и мер защиты для данных класса К4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Безопасность — ИБ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использования источников данных (анкета заявителя, кредитная история из бюро) с владельцами данных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Product Owner / владельцы данных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Открыто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Сроки и вехи (Timeline)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Веха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BRD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Перенос кода в GitLab и прогон CI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 — команда развития ИИ-среды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Подтверждение метрик качества и стадии Production в MLflow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Data Science / 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Согласование архитектуры с ИБ и архитекторами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Безопасность — ИБ / архитекторы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MVP / прототип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Нагрузочное тестирование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Инженерия — команда развития ИИ-среды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Тестирование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Релиз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TBD</w:t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Открытые вопросы (Open Questions)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Требуемые ресурсы сервиса: CPU/GPU, память, число реплик — TBD (запросить у DS)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Достигнутые метрики качества модели и пороги для деплоя (precision/recall/AUC и т.п.) — TBD (запросить у DS)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Зарегистрирована ли текущая версия модели в MLflow Model Registry в стадии Production — TBD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Кто, в какие сроки и каким составом переносит код подрядчика с сетевого диска в GitLab — TBD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Правовое основание обработки данных класса К4 и заключение ИБ (DPIA-lite) — TBD (уточняется с ИБ)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Формат и состав объяснений причин отказа (какие top-причины, в каком виде передаются бэкенду) — TBD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Частота переобучения и требования к мониторингу дрейфа данных/модели — TBD (запросить у DS)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Окно релиза и дежурный владелец поддержки на время ПЭ — TBD</w:t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История изменений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Версия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Автор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ef7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Изменения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2026-10-14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BRD-агент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Первая версия по итогам интервью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