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C3E50"/>
          <w:sz w:val="48"/>
        </w:rPr>
        <w:t>"Find Your Floor"</w:t>
      </w:r>
    </w:p>
    <w:p>
      <w:pPr>
        <w:spacing w:after="160"/>
      </w:pPr>
      <w:r>
        <w:rPr>
          <w:rFonts w:ascii="Calibri" w:hAnsi="Calibri"/>
          <w:color w:val="8C6A43"/>
          <w:sz w:val="24"/>
        </w:rPr>
        <w:t>Site Assistant Spec  ·  v1 Design</w:t>
      </w:r>
    </w:p>
    <w:p>
      <w:pPr>
        <w:spacing w:after="40"/>
      </w:pPr>
      <w:r>
        <w:rPr>
          <w:rFonts w:ascii="Calibri" w:hAnsi="Calibri"/>
          <w:b/>
          <w:color w:val="8C6A43"/>
          <w:sz w:val="20"/>
        </w:rPr>
        <w:t xml:space="preserve">Date:  </w:t>
      </w:r>
      <w:r>
        <w:rPr>
          <w:rFonts w:ascii="Calibri" w:hAnsi="Calibri"/>
          <w:color w:val="2B2B2B"/>
          <w:sz w:val="20"/>
        </w:rPr>
        <w:t>2026-06-08</w:t>
      </w:r>
    </w:p>
    <w:p>
      <w:pPr>
        <w:spacing w:after="40"/>
      </w:pPr>
      <w:r>
        <w:rPr>
          <w:rFonts w:ascii="Calibri" w:hAnsi="Calibri"/>
          <w:b/>
          <w:color w:val="8C6A43"/>
          <w:sz w:val="20"/>
        </w:rPr>
        <w:t xml:space="preserve">Status:  </w:t>
      </w:r>
      <w:r>
        <w:rPr>
          <w:rFonts w:ascii="Calibri" w:hAnsi="Calibri"/>
          <w:color w:val="2B2B2B"/>
          <w:sz w:val="20"/>
        </w:rPr>
        <w:t>Draft for review (revisit 2026-06-09 AM to scope the build)</w:t>
      </w:r>
    </w:p>
    <w:p>
      <w:pPr>
        <w:spacing w:after="40"/>
      </w:pPr>
      <w:r>
        <w:rPr>
          <w:rFonts w:ascii="Calibri" w:hAnsi="Calibri"/>
          <w:b/>
          <w:color w:val="8C6A43"/>
          <w:sz w:val="20"/>
        </w:rPr>
        <w:t xml:space="preserve">Inputs:  </w:t>
      </w:r>
      <w:r>
        <w:rPr>
          <w:rFonts w:ascii="Calibri" w:hAnsi="Calibri"/>
          <w:color w:val="2B2B2B"/>
          <w:sz w:val="20"/>
        </w:rPr>
        <w:t>Ilya's 4-step qualification flow + scraped site FAQ + CONTEXT.md</w:t>
      </w:r>
    </w:p>
    <w:p>
      <w:pPr>
        <w:spacing w:after="40"/>
      </w:pPr>
      <w:r>
        <w:rPr>
          <w:rFonts w:ascii="Calibri" w:hAnsi="Calibri"/>
          <w:b/>
          <w:color w:val="8C6A43"/>
          <w:sz w:val="20"/>
        </w:rPr>
        <w:t xml:space="preserve">Gate:  </w:t>
      </w:r>
      <w:r>
        <w:rPr>
          <w:rFonts w:ascii="Calibri" w:hAnsi="Calibri"/>
          <w:color w:val="2B2B2B"/>
          <w:sz w:val="20"/>
        </w:rPr>
        <w:t>Ilya confirms the cleaned 4-step flow matches how he sells, before any build plan</w:t>
      </w:r>
    </w:p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9746"/>
      </w:tblGrid>
      <w:tr>
        <w:tc>
          <w:tcPr>
            <w:tcW w:type="dxa" w:w="9746"/>
            <w:shd w:val="clear" w:color="auto" w:fill="F5F2EE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8C6A43"/>
                <w:sz w:val="20"/>
              </w:rPr>
              <w:t xml:space="preserve">What this is:  </w:t>
            </w:r>
            <w:r>
              <w:rPr>
                <w:rFonts w:ascii="Calibri" w:hAnsi="Calibri"/>
                <w:color w:val="2B2B2B"/>
                <w:sz w:val="20"/>
              </w:rPr>
              <w:t>the design for Lux-Floor's site assistant. Not a support bot. A guiding, selling assistant that qualifies a buyer the way Ilya does, explains trade-offs from the FAQ, narrows to products, and captures the lead into the CRM.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9746"/>
      </w:tblGrid>
      <w:tr>
        <w:tc>
          <w:tcPr>
            <w:tcW w:type="dxa" w:w="9746"/>
            <w:shd w:val="clear" w:color="auto" w:fill="F5F2EE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8C6A43"/>
                <w:sz w:val="20"/>
              </w:rPr>
              <w:t xml:space="preserve">What this is not:  </w:t>
            </w:r>
            <w:r>
              <w:rPr>
                <w:rFonts w:ascii="Calibri" w:hAnsi="Calibri"/>
                <w:color w:val="2B2B2B"/>
                <w:sz w:val="20"/>
              </w:rPr>
              <w:t>a build plan or a stack decision. Those come next, off this spec.</w:t>
            </w:r>
          </w:p>
        </w:tc>
      </w:tr>
    </w:tbl>
    <w:p>
      <w:pPr>
        <w:spacing w:after="80"/>
      </w:pPr>
    </w:p>
    <w:p>
      <w:pPr>
        <w:spacing w:before="320" w:after="120"/>
        <w:pBdr>
          <w:bottom w:val="single" w:sz="6" w:space="4" w:color="8C6A43"/>
        </w:pBdr>
      </w:pPr>
      <w:r>
        <w:rPr>
          <w:rFonts w:ascii="Calibri" w:hAnsi="Calibri"/>
          <w:b/>
          <w:color w:val="2C3E50"/>
          <w:sz w:val="28"/>
        </w:rPr>
        <w:t>1. The core idea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B2B2B"/>
          <w:sz w:val="21"/>
        </w:rPr>
        <w:t>Ilya's document revealed the real vision: the assistant should sell, not just answer. It is built as three layers that lock together. The flow asks the question; the FAQ supplies the answer; the output captures the lead.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49"/>
        <w:gridCol w:w="3249"/>
        <w:gridCol w:w="3249"/>
      </w:tblGrid>
      <w:tr>
        <w:tc>
          <w:tcPr>
            <w:tcW w:type="dxa" w:w="1814"/>
            <w:shd w:val="clear" w:color="auto" w:fill="2C3E5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268"/>
            <w:shd w:val="clear" w:color="auto" w:fill="2C3E5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5272"/>
            <w:shd w:val="clear" w:color="auto" w:fill="2C3E5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1. Spine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Ilya's 4-step flow</w:t>
            </w:r>
          </w:p>
        </w:tc>
        <w:tc>
          <w:tcPr>
            <w:tcW w:type="dxa" w:w="527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Leads the customer through Look, Material, Constraints, Urgency</w:t>
            </w:r>
          </w:p>
        </w:tc>
      </w:tr>
      <w:tr>
        <w:tc>
          <w:tcPr>
            <w:tcW w:type="dxa" w:w="1814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2. Answer bank</w:t>
            </w:r>
          </w:p>
        </w:tc>
        <w:tc>
          <w:tcPr>
            <w:tcW w:type="dxa" w:w="2268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The site FAQ</w:t>
            </w:r>
          </w:p>
        </w:tc>
        <w:tc>
          <w:tcPr>
            <w:tcW w:type="dxa" w:w="5272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Explains every trade-off the flow raises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3. Output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Catalog + Bitrix24</w:t>
            </w:r>
          </w:p>
        </w:tc>
        <w:tc>
          <w:tcPr>
            <w:tcW w:type="dxa" w:w="527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Recommends products, captures a scored lead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rPr>
          <w:rFonts w:ascii="Calibri" w:hAnsi="Calibri"/>
          <w:b w:val="0"/>
          <w:i/>
          <w:color w:val="6B6B6B"/>
          <w:sz w:val="19"/>
        </w:rPr>
        <w:t>The two source documents are not competing versions of one thing. They are two different layers of the same assistant.</w:t>
      </w:r>
    </w:p>
    <w:p>
      <w:pPr>
        <w:spacing w:before="320" w:after="120"/>
        <w:pBdr>
          <w:bottom w:val="single" w:sz="6" w:space="4" w:color="8C6A43"/>
        </w:pBdr>
      </w:pPr>
      <w:r>
        <w:rPr>
          <w:rFonts w:ascii="Calibri" w:hAnsi="Calibri"/>
          <w:b/>
          <w:color w:val="2C3E50"/>
          <w:sz w:val="28"/>
        </w:rPr>
        <w:t>2. Layer 1: the qualification flow (the spine)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B2B2B"/>
          <w:sz w:val="21"/>
        </w:rPr>
        <w:t>Ilya's four steps, cleaned up: duplicates removed, options structured. German is customer-facing; English is for our reference.</w:t>
      </w:r>
    </w:p>
    <w:p>
      <w:pPr>
        <w:spacing w:before="160" w:after="60"/>
      </w:pPr>
      <w:r>
        <w:rPr>
          <w:rFonts w:ascii="Calibri" w:hAnsi="Calibri"/>
          <w:b/>
          <w:color w:val="8C6A43"/>
          <w:sz w:val="22"/>
        </w:rPr>
        <w:t>Step 1: Optik (the look) · soft preferences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2C3E5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3685"/>
            <w:shd w:val="clear" w:color="auto" w:fill="2C3E5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Options (DE)</w:t>
            </w:r>
          </w:p>
        </w:tc>
        <w:tc>
          <w:tcPr>
            <w:tcW w:type="dxa" w:w="3402"/>
            <w:shd w:val="clear" w:color="auto" w:fill="2C3E5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English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Farbe (Color)</w:t>
            </w:r>
          </w:p>
        </w:tc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hell, dunkel, braun, grau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light, dark, brown, grey</w:t>
            </w:r>
          </w:p>
        </w:tc>
      </w:tr>
      <w:tr>
        <w:tc>
          <w:tcPr>
            <w:tcW w:type="dxa" w:w="2268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Design</w:t>
            </w:r>
          </w:p>
        </w:tc>
        <w:tc>
          <w:tcPr>
            <w:tcW w:type="dxa" w:w="3685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Holzoptik, Steinoptik, Marmoroptik</w:t>
            </w:r>
          </w:p>
        </w:tc>
        <w:tc>
          <w:tcPr>
            <w:tcW w:type="dxa" w:w="3402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wood, stone, marble look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Oberfläche (Surface)</w:t>
            </w:r>
          </w:p>
        </w:tc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matt, Hochglanz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matte, high-gloss</w:t>
            </w:r>
          </w:p>
        </w:tc>
      </w:tr>
      <w:tr>
        <w:tc>
          <w:tcPr>
            <w:tcW w:type="dxa" w:w="2268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Kante (Edge)</w:t>
            </w:r>
          </w:p>
        </w:tc>
        <w:tc>
          <w:tcPr>
            <w:tcW w:type="dxa" w:w="3685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mit Fuge, mit Fase, ohne</w:t>
            </w:r>
          </w:p>
        </w:tc>
        <w:tc>
          <w:tcPr>
            <w:tcW w:type="dxa" w:w="3402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with joint, with bevel, none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Muster (Pattern)</w:t>
            </w:r>
          </w:p>
        </w:tc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Diele, Fischgrät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plank, herringbone</w:t>
            </w:r>
          </w:p>
        </w:tc>
      </w:tr>
      <w:tr>
        <w:tc>
          <w:tcPr>
            <w:tcW w:type="dxa" w:w="2268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 if herringbone</w:t>
            </w:r>
          </w:p>
        </w:tc>
        <w:tc>
          <w:tcPr>
            <w:tcW w:type="dxa" w:w="3685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Chevron, Englisch</w:t>
            </w:r>
          </w:p>
        </w:tc>
        <w:tc>
          <w:tcPr>
            <w:tcW w:type="dxa" w:w="3402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chevron (45° V), english (90° blocks)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rFonts w:ascii="Calibri" w:hAnsi="Calibri"/>
          <w:b/>
          <w:color w:val="8C6A43"/>
          <w:sz w:val="22"/>
        </w:rPr>
        <w:t>Step 2: Material · type leaning + budget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2C3E5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3685"/>
            <w:shd w:val="clear" w:color="auto" w:fill="2C3E5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Options (DE)</w:t>
            </w:r>
          </w:p>
        </w:tc>
        <w:tc>
          <w:tcPr>
            <w:tcW w:type="dxa" w:w="3402"/>
            <w:shd w:val="clear" w:color="auto" w:fill="2C3E5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Typ-Tendenz (Type)</w:t>
            </w:r>
          </w:p>
        </w:tc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dünn, Klick, Echt Holz, wasserfest, robust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thin / low height, click, real wood, waterproof, durable</w:t>
            </w:r>
          </w:p>
        </w:tc>
      </w:tr>
      <w:tr>
        <w:tc>
          <w:tcPr>
            <w:tcW w:type="dxa" w:w="2268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Preis (Budget)</w:t>
            </w:r>
          </w:p>
        </w:tc>
        <w:tc>
          <w:tcPr>
            <w:tcW w:type="dxa" w:w="3685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range or sensitivity</w:t>
            </w:r>
          </w:p>
        </w:tc>
        <w:tc>
          <w:tcPr>
            <w:tcW w:type="dxa" w:w="3402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which collections to show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rFonts w:ascii="Calibri" w:hAnsi="Calibri"/>
          <w:b/>
          <w:color w:val="8C6A43"/>
          <w:sz w:val="22"/>
        </w:rPr>
        <w:t>Step 3: Probleme nennen (the hard constraints)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B2B2B"/>
          <w:sz w:val="21"/>
        </w:rPr>
        <w:t>These rule options in or out. This is where the FAQ does the heavy lifting (see section 3).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873"/>
        <w:gridCol w:w="4873"/>
      </w:tblGrid>
      <w:tr>
        <w:tc>
          <w:tcPr>
            <w:tcW w:type="dxa" w:w="4819"/>
            <w:shd w:val="clear" w:color="auto" w:fill="2C3E5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Constraint (DE)</w:t>
            </w:r>
          </w:p>
        </w:tc>
        <w:tc>
          <w:tcPr>
            <w:tcW w:type="dxa" w:w="4535"/>
            <w:shd w:val="clear" w:color="auto" w:fill="2C3E5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English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Fußbodenheizung vorhanden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underfloor heating present</w:t>
            </w:r>
          </w:p>
        </w:tc>
      </w:tr>
      <w:tr>
        <w:tc>
          <w:tcPr>
            <w:tcW w:type="dxa" w:w="4819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Alter Belag darf nicht entfernt werden</w:t>
            </w:r>
          </w:p>
        </w:tc>
        <w:tc>
          <w:tcPr>
            <w:tcW w:type="dxa" w:w="4535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old floor stays, install on top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Belag darf nicht hoch sein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low build height required</w:t>
            </w:r>
          </w:p>
        </w:tc>
      </w:tr>
      <w:tr>
        <w:tc>
          <w:tcPr>
            <w:tcW w:type="dxa" w:w="4819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Muss hart sein</w:t>
            </w:r>
          </w:p>
        </w:tc>
        <w:tc>
          <w:tcPr>
            <w:tcW w:type="dxa" w:w="4535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must be hard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Muss strapazierfähig sein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must be durable / high traffic</w:t>
            </w:r>
          </w:p>
        </w:tc>
      </w:tr>
      <w:tr>
        <w:tc>
          <w:tcPr>
            <w:tcW w:type="dxa" w:w="4819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Muss wasserfest sein</w:t>
            </w:r>
          </w:p>
        </w:tc>
        <w:tc>
          <w:tcPr>
            <w:tcW w:type="dxa" w:w="4535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must be waterproof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Muss später leicht entfernbar sein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must be removable later</w:t>
            </w:r>
          </w:p>
        </w:tc>
      </w:tr>
      <w:tr>
        <w:tc>
          <w:tcPr>
            <w:tcW w:type="dxa" w:w="4819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Muss ein Bio-Material sein</w:t>
            </w:r>
          </w:p>
        </w:tc>
        <w:tc>
          <w:tcPr>
            <w:tcW w:type="dxa" w:w="4535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must be eco / natural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rPr>
          <w:rFonts w:ascii="Calibri" w:hAnsi="Calibri"/>
          <w:b w:val="0"/>
          <w:i/>
          <w:color w:val="6B6B6B"/>
          <w:sz w:val="19"/>
        </w:rPr>
        <w:t>Deduped from Ilya's notes: "wasserfest" appeared in Steps 2 and 3 (kept once, here). "Fußbodenheizung" and "für Fußbodenheizung geeignet" merged into one.</w:t>
      </w:r>
    </w:p>
    <w:p>
      <w:pPr>
        <w:spacing w:before="160" w:after="60"/>
      </w:pPr>
      <w:r>
        <w:rPr>
          <w:rFonts w:ascii="Calibri" w:hAnsi="Calibri"/>
          <w:b/>
          <w:color w:val="8C6A43"/>
          <w:sz w:val="22"/>
        </w:rPr>
        <w:t>Step 4: Verfügbarkeit (urgency = the lead signal)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551"/>
            <w:shd w:val="clear" w:color="auto" w:fill="2C3E5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Answer (DE)</w:t>
            </w:r>
          </w:p>
        </w:tc>
        <w:tc>
          <w:tcPr>
            <w:tcW w:type="dxa" w:w="1984"/>
            <w:shd w:val="clear" w:color="auto" w:fill="2C3E5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English</w:t>
            </w:r>
          </w:p>
        </w:tc>
        <w:tc>
          <w:tcPr>
            <w:tcW w:type="dxa" w:w="1701"/>
            <w:shd w:val="clear" w:color="auto" w:fill="2C3E5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Lead score</w:t>
            </w:r>
          </w:p>
        </w:tc>
        <w:tc>
          <w:tcPr>
            <w:tcW w:type="dxa" w:w="3118"/>
            <w:shd w:val="clear" w:color="auto" w:fill="2C3E5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Wird jetzt dringend benötigt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needed urgently now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HOT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real-time alert to Ilya / Alisa</w:t>
            </w:r>
          </w:p>
        </w:tc>
      </w:tr>
      <w:tr>
        <w:tc>
          <w:tcPr>
            <w:tcW w:type="dxa" w:w="2551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Hat Zeit</w:t>
            </w:r>
          </w:p>
        </w:tc>
        <w:tc>
          <w:tcPr>
            <w:tcW w:type="dxa" w:w="1984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has time</w:t>
            </w:r>
          </w:p>
        </w:tc>
        <w:tc>
          <w:tcPr>
            <w:tcW w:type="dxa" w:w="1701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Warm</w:t>
            </w:r>
          </w:p>
        </w:tc>
        <w:tc>
          <w:tcPr>
            <w:tcW w:type="dxa" w:w="3118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normal pipeline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Muss eingelagert werden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must be stored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Warm + logistics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note free 30-day storage (FAQ)</w:t>
            </w:r>
          </w:p>
        </w:tc>
      </w:tr>
    </w:tbl>
    <w:p>
      <w:pPr>
        <w:spacing w:after="80"/>
      </w:pPr>
    </w:p>
    <w:p>
      <w:pPr>
        <w:spacing w:before="320" w:after="120"/>
        <w:pBdr>
          <w:bottom w:val="single" w:sz="6" w:space="4" w:color="8C6A43"/>
        </w:pBdr>
      </w:pPr>
      <w:r>
        <w:rPr>
          <w:rFonts w:ascii="Calibri" w:hAnsi="Calibri"/>
          <w:b/>
          <w:color w:val="2C3E50"/>
          <w:sz w:val="28"/>
        </w:rPr>
        <w:t>3. Layer 2: constraint to FAQ to recommendation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B2B2B"/>
          <w:sz w:val="21"/>
        </w:rPr>
        <w:t>The assistant's reasoning table. Each Step-3 constraint resolves using the FAQ as the answer bank.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49"/>
        <w:gridCol w:w="3249"/>
        <w:gridCol w:w="3249"/>
      </w:tblGrid>
      <w:tr>
        <w:tc>
          <w:tcPr>
            <w:tcW w:type="dxa" w:w="2154"/>
            <w:shd w:val="clear" w:color="auto" w:fill="2C3E5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3798"/>
            <w:shd w:val="clear" w:color="auto" w:fill="2C3E5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FAQ fact</w:t>
            </w:r>
          </w:p>
        </w:tc>
        <w:tc>
          <w:tcPr>
            <w:tcW w:type="dxa" w:w="3402"/>
            <w:shd w:val="clear" w:color="auto" w:fill="2C3E5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Recommendation</w:t>
            </w:r>
          </w:p>
        </w:tc>
      </w:tr>
      <w:tr>
        <w:tc>
          <w:tcPr>
            <w:tcW w:type="dxa" w:w="215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Underfloor heating</w:t>
            </w:r>
          </w:p>
        </w:tc>
        <w:tc>
          <w:tcPr>
            <w:tcW w:type="dxa" w:w="379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PE-foam underlay OK; cork and polystyrene not for UFH; glue-vinyl ideal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Vinyl + correct underlay; avoid cork/polystyrene</w:t>
            </w:r>
          </w:p>
        </w:tc>
      </w:tr>
      <w:tr>
        <w:tc>
          <w:tcPr>
            <w:tcW w:type="dxa" w:w="2154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Low height / old floor stays</w:t>
            </w:r>
          </w:p>
        </w:tc>
        <w:tc>
          <w:tcPr>
            <w:tcW w:type="dxa" w:w="3798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Glue-down vinyl has the lowest build height</w:t>
            </w:r>
          </w:p>
        </w:tc>
        <w:tc>
          <w:tcPr>
            <w:tcW w:type="dxa" w:w="3402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Glue-down vinyl, or a thin click floor</w:t>
            </w:r>
          </w:p>
        </w:tc>
      </w:tr>
      <w:tr>
        <w:tc>
          <w:tcPr>
            <w:tcW w:type="dxa" w:w="215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Removable later</w:t>
            </w:r>
          </w:p>
        </w:tc>
        <w:tc>
          <w:tcPr>
            <w:tcW w:type="dxa" w:w="379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Glue removal destroys the plank; click is liftable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Click system, not glue</w:t>
            </w:r>
          </w:p>
        </w:tc>
      </w:tr>
      <w:tr>
        <w:tc>
          <w:tcPr>
            <w:tcW w:type="dxa" w:w="2154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Waterproof</w:t>
            </w:r>
          </w:p>
        </w:tc>
        <w:tc>
          <w:tcPr>
            <w:tcW w:type="dxa" w:w="3798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Vinyl is waterproof; laminate (HDF core) is not</w:t>
            </w:r>
          </w:p>
        </w:tc>
        <w:tc>
          <w:tcPr>
            <w:tcW w:type="dxa" w:w="3402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Vinyl over laminate</w:t>
            </w:r>
          </w:p>
        </w:tc>
      </w:tr>
      <w:tr>
        <w:tc>
          <w:tcPr>
            <w:tcW w:type="dxa" w:w="215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Durable / high traffic</w:t>
            </w:r>
          </w:p>
        </w:tc>
        <w:tc>
          <w:tcPr>
            <w:tcW w:type="dxa" w:w="379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Nutzungsklassen 21-43 by room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Match class to room: 22 living, 23 kitchen/hall, 31-33 commercial</w:t>
            </w:r>
          </w:p>
        </w:tc>
      </w:tr>
      <w:tr>
        <w:tc>
          <w:tcPr>
            <w:tcW w:type="dxa" w:w="2154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Eco / natural</w:t>
            </w:r>
          </w:p>
        </w:tc>
        <w:tc>
          <w:tcPr>
            <w:tcW w:type="dxa" w:w="3798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Cork is 100% recyclable; real wood is natural</w:t>
            </w:r>
          </w:p>
        </w:tc>
        <w:tc>
          <w:tcPr>
            <w:tcW w:type="dxa" w:w="3402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Cork underlay or real-wood parquet</w:t>
            </w:r>
          </w:p>
        </w:tc>
      </w:tr>
      <w:tr>
        <w:tc>
          <w:tcPr>
            <w:tcW w:type="dxa" w:w="215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Must be hard</w:t>
            </w:r>
          </w:p>
        </w:tc>
        <w:tc>
          <w:tcPr>
            <w:tcW w:type="dxa" w:w="379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gap</w:t>
            </w:r>
          </w:p>
        </w:tc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Confirm with Ilya: scratch resistance or rigidity?</w:t>
            </w:r>
          </w:p>
        </w:tc>
      </w:tr>
    </w:tbl>
    <w:p>
      <w:pPr>
        <w:spacing w:after="80"/>
      </w:pPr>
    </w:p>
    <w:p>
      <w:pPr>
        <w:spacing w:before="320" w:after="120"/>
        <w:pBdr>
          <w:bottom w:val="single" w:sz="6" w:space="4" w:color="8C6A43"/>
        </w:pBdr>
      </w:pPr>
      <w:r>
        <w:rPr>
          <w:rFonts w:ascii="Calibri" w:hAnsi="Calibri"/>
          <w:b/>
          <w:color w:val="2C3E50"/>
          <w:sz w:val="28"/>
        </w:rPr>
        <w:t>4. Layer 3: recommendation + lead capture (the output)</w:t>
      </w:r>
    </w:p>
    <w:p>
      <w:pPr>
        <w:spacing w:before="160" w:after="60"/>
      </w:pPr>
      <w:r>
        <w:rPr>
          <w:rFonts w:ascii="Calibri" w:hAnsi="Calibri"/>
          <w:b/>
          <w:color w:val="8C6A43"/>
          <w:sz w:val="22"/>
        </w:rPr>
        <w:t>4.1  Narrowing to products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B2B2B"/>
          <w:sz w:val="21"/>
        </w:rPr>
        <w:t>The customer profile maps directly onto filters that already exist on the shop: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873"/>
        <w:gridCol w:w="4873"/>
      </w:tblGrid>
      <w:tr>
        <w:tc>
          <w:tcPr>
            <w:tcW w:type="dxa" w:w="2268"/>
            <w:shd w:val="clear" w:color="auto" w:fill="2C3E5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Shop filter</w:t>
            </w:r>
          </w:p>
        </w:tc>
        <w:tc>
          <w:tcPr>
            <w:tcW w:type="dxa" w:w="7087"/>
            <w:shd w:val="clear" w:color="auto" w:fill="2C3E5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Values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Surface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Hochglanz, Matt, Strukturiert</w:t>
            </w:r>
          </w:p>
        </w:tc>
      </w:tr>
      <w:tr>
        <w:tc>
          <w:tcPr>
            <w:tcW w:type="dxa" w:w="2268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Format</w:t>
            </w:r>
          </w:p>
        </w:tc>
        <w:tc>
          <w:tcPr>
            <w:tcW w:type="dxa" w:w="7087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Diele, Breitdiele, Fliese, Herringbone, Quadratisch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Design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Holzoptik, Steinoptik, Uni, Marmoroptik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B2B2B"/>
          <w:sz w:val="21"/>
        </w:rPr>
        <w:t>So the assistant can hand back a filtered shop link (leanest), or list specific SKUs if connected to the catalog (799 products). Stack decision deferred; both viable.</w:t>
      </w:r>
    </w:p>
    <w:p>
      <w:pPr>
        <w:spacing w:before="160" w:after="60"/>
      </w:pPr>
      <w:r>
        <w:rPr>
          <w:rFonts w:ascii="Calibri" w:hAnsi="Calibri"/>
          <w:b/>
          <w:color w:val="8C6A43"/>
          <w:sz w:val="22"/>
        </w:rPr>
        <w:t>4.2  Lead capture (the kicker)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B2B2B"/>
          <w:sz w:val="21"/>
        </w:rPr>
        <w:t>At the end, the assistant collects name + contact, attaches the filled profile and urgency, and pushes a lead into Bitrix24 (via Alexey's inbound webhook). Urgency becomes the lead score (see Step 4). HOT leads trigger the real-time alert (the Smart Buzz hot-lead alert from the merged vision). Net effect: the assistant is a salesperson and a CRM feeder in one pass. It turns anonymous site traffic into qualified, scored leads.</w:t>
      </w:r>
    </w:p>
    <w:p>
      <w:pPr>
        <w:spacing w:before="160" w:after="60"/>
      </w:pPr>
      <w:r>
        <w:rPr>
          <w:rFonts w:ascii="Calibri" w:hAnsi="Calibri"/>
          <w:b/>
          <w:color w:val="8C6A43"/>
          <w:sz w:val="22"/>
        </w:rPr>
        <w:t>4.3  Escalation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B2B2B"/>
          <w:sz w:val="21"/>
        </w:rPr>
        <w:t>The 6 case-by-case FAQ items (shipping abroad, custom info) and anything outside the flow go to a graceful handoff to a human (phone, WhatsApp, email, showroom).</w:t>
      </w:r>
    </w:p>
    <w:p>
      <w:pPr>
        <w:spacing w:before="160" w:after="60"/>
      </w:pPr>
      <w:r>
        <w:rPr>
          <w:rFonts w:ascii="Calibri" w:hAnsi="Calibri"/>
          <w:b/>
          <w:color w:val="8C6A43"/>
          <w:sz w:val="22"/>
        </w:rPr>
        <w:t>4.4  Languages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B2B2B"/>
          <w:sz w:val="21"/>
        </w:rPr>
        <w:t>Site is German-only today. v1 ships German first. RU/EN later (logic is language-agnostic; only surface copy changes).</w:t>
      </w:r>
    </w:p>
    <w:p>
      <w:pPr>
        <w:spacing w:before="320" w:after="120"/>
        <w:pBdr>
          <w:bottom w:val="single" w:sz="6" w:space="4" w:color="8C6A43"/>
        </w:pBdr>
      </w:pPr>
      <w:r>
        <w:rPr>
          <w:rFonts w:ascii="Calibri" w:hAnsi="Calibri"/>
          <w:b/>
          <w:color w:val="2C3E50"/>
          <w:sz w:val="28"/>
        </w:rPr>
        <w:t>5. Decisions to make tomorrow (2026-06-09 AM)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49"/>
        <w:gridCol w:w="3249"/>
        <w:gridCol w:w="3249"/>
      </w:tblGrid>
      <w:tr>
        <w:tc>
          <w:tcPr>
            <w:tcW w:type="dxa" w:w="567"/>
            <w:shd w:val="clear" w:color="auto" w:fill="2C3E5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18"/>
            <w:shd w:val="clear" w:color="auto" w:fill="2C3E5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5669"/>
            <w:shd w:val="clear" w:color="auto" w:fill="2C3E5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Options / note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"Hard" (Step 3) meaning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scratch resistance vs rigidity (one-line confirm)</w:t>
            </w:r>
          </w:p>
        </w:tc>
      </w:tr>
      <w:tr>
        <w:tc>
          <w:tcPr>
            <w:tcW w:type="dxa" w:w="567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3118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Catalog connection</w:t>
            </w:r>
          </w:p>
        </w:tc>
        <w:tc>
          <w:tcPr>
            <w:tcW w:type="dxa" w:w="5669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filtered shop links (lean) vs live WooCommerce pull (rich) vs curated SKU map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Lead destination + alert channel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Bitrix24 webhook fields; where HOT alert lands (Telegram / Bitrix / WhatsApp)</w:t>
            </w:r>
          </w:p>
        </w:tc>
      </w:tr>
      <w:tr>
        <w:tc>
          <w:tcPr>
            <w:tcW w:type="dxa" w:w="567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4</w:t>
            </w:r>
          </w:p>
        </w:tc>
        <w:tc>
          <w:tcPr>
            <w:tcW w:type="dxa" w:w="3118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v1 actions</w:t>
            </w:r>
          </w:p>
        </w:tc>
        <w:tc>
          <w:tcPr>
            <w:tcW w:type="dxa" w:w="5669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recommend only, or also request free sample / book showroom visit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5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v1 channel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website widget first, WhatsApp second (confirm)</w:t>
            </w:r>
          </w:p>
        </w:tc>
      </w:tr>
      <w:tr>
        <w:tc>
          <w:tcPr>
            <w:tcW w:type="dxa" w:w="567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6</w:t>
            </w:r>
          </w:p>
        </w:tc>
        <w:tc>
          <w:tcPr>
            <w:tcW w:type="dxa" w:w="3118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Confirm the flow with Ilya</w:t>
            </w:r>
          </w:p>
        </w:tc>
        <w:tc>
          <w:tcPr>
            <w:tcW w:type="dxa" w:w="5669"/>
            <w:shd w:val="clear" w:color="auto" w:fill="F5F2EE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2B2B2B"/>
                <w:sz w:val="20"/>
              </w:rPr>
              <w:t>does the cleaned 4-step flow match how he sells (the gate)</w:t>
            </w:r>
          </w:p>
        </w:tc>
      </w:tr>
    </w:tbl>
    <w:p>
      <w:pPr>
        <w:spacing w:after="80"/>
      </w:pPr>
    </w:p>
    <w:p>
      <w:pPr>
        <w:spacing w:before="320" w:after="120"/>
        <w:pBdr>
          <w:bottom w:val="single" w:sz="6" w:space="4" w:color="8C6A43"/>
        </w:pBdr>
      </w:pPr>
      <w:r>
        <w:rPr>
          <w:rFonts w:ascii="Calibri" w:hAnsi="Calibri"/>
          <w:b/>
          <w:color w:val="2C3E50"/>
          <w:sz w:val="28"/>
        </w:rPr>
        <w:t>6. Open for the build plan (not decided here)</w:t>
      </w:r>
    </w:p>
    <w:p>
      <w:pPr>
        <w:pStyle w:val="ListBullet"/>
        <w:spacing w:after="40"/>
      </w:pPr>
      <w:r>
        <w:rPr>
          <w:rFonts w:ascii="Calibri" w:hAnsi="Calibri"/>
          <w:color w:val="2B2B2B"/>
          <w:sz w:val="21"/>
        </w:rPr>
        <w:t>The stack (Claude-powered widget, kept lean, decided at build).</w:t>
      </w:r>
    </w:p>
    <w:p>
      <w:pPr>
        <w:pStyle w:val="ListBullet"/>
        <w:spacing w:after="40"/>
      </w:pPr>
      <w:r>
        <w:rPr>
          <w:rFonts w:ascii="Calibri" w:hAnsi="Calibri"/>
          <w:color w:val="2B2B2B"/>
          <w:sz w:val="21"/>
        </w:rPr>
        <w:t>Hosting, embedding method, the knowledge-base format the widget reads.</w:t>
      </w:r>
    </w:p>
    <w:p>
      <w:pPr>
        <w:pStyle w:val="ListBullet"/>
        <w:spacing w:after="40"/>
      </w:pPr>
      <w:r>
        <w:rPr>
          <w:rFonts w:ascii="Calibri" w:hAnsi="Calibri"/>
          <w:color w:val="2B2B2B"/>
          <w:sz w:val="21"/>
        </w:rPr>
        <w:t>How the FAQ + flow are stored and kept current (single source of truth).</w:t>
      </w:r>
    </w:p>
    <w:p/>
    <w:p>
      <w:pPr>
        <w:spacing w:after="120" w:line="276" w:lineRule="auto"/>
      </w:pPr>
      <w:r>
        <w:rPr>
          <w:rFonts w:ascii="Calibri" w:hAnsi="Calibri"/>
          <w:b w:val="0"/>
          <w:i/>
          <w:color w:val="6B6B6B"/>
          <w:sz w:val="19"/>
        </w:rPr>
        <w:t>Next: revisit AM 2026-06-09, confirm with Ilya, then create-plan the build off this spec.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