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1B2A"/>
          <w:sz w:val="60"/>
          <w:szCs w:val="60"/>
        </w:rPr>
        <w:t xml:space="preserve">FINTRACK PRO</w:t>
      </w:r>
    </w:p>
    <w:p>
      <w:pPr>
        <w:spacing w:after="60"/>
        <w:jc w:val="center"/>
      </w:pPr>
      <w:r>
        <w:rPr>
          <w:rFonts w:ascii="Arial" w:cs="Arial" w:eastAsia="Arial" w:hAnsi="Arial"/>
          <w:color w:val="3D5A80"/>
          <w:sz w:val="28"/>
          <w:szCs w:val="28"/>
        </w:rPr>
        <w:t xml:space="preserve">Design System &amp; UI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OLEGIN77DEV Implementation Review + OLEGIN77AUDIT Report</w:t>
      </w:r>
    </w:p>
    <w:p>
      <w:pPr>
        <w:pBdr>
          <w:bottom w:val="single" w:color="3D5A80" w:sz="3" w:space="1"/>
        </w:pBdr>
        <w:spacing w:before="200" w:after="200"/>
      </w:pPr>
    </w:p>
    <w:p>
      <w:pPr>
        <w:spacing w:before="100" w:after="100"/>
      </w:pP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Pipeline: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TZ → Design → Dev → Audit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Версия: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2.0 (Design + Dev + Audit)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Дата: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17.02.2026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Команды: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OLEGIN77TZ + OLEGIN77DEV + OLEGIN77AUDIT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Эксперты: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79 человек (35+22+22)</w:t>
            </w:r>
          </w:p>
        </w:tc>
      </w:tr>
    </w:tbl>
    <w:p>
      <w:r>
        <w:br w:type="page"/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━━━  ЧАСТЬ 1  ━━━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DESIGN SYSTEM &amp; UI SPECIFICATION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Тренды 2026 • Data Serenity • Минимализм • Glassmorphism • Calm Finance UX</w:t>
      </w:r>
    </w:p>
    <w:p>
      <w:pPr>
        <w:pBdr>
          <w:bottom w:val="single" w:color="3D5A80" w:sz="3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1.1 Дизайн-философия</w:t>
      </w:r>
    </w:p>
    <w:p>
      <w:pPr>
        <w:spacing w:after="120"/>
        <w:jc w:val="left"/>
      </w:pPr>
      <w:r>
        <w:rPr>
          <w:rFonts w:ascii="Arial" w:cs="Arial" w:eastAsia="Arial" w:hAnsi="Arial"/>
          <w:color w:val="2B2D42"/>
          <w:sz w:val="22"/>
          <w:szCs w:val="22"/>
        </w:rPr>
        <w:t xml:space="preserve">FinTrack Pro следует концепции «Data Serenity» — главный тренд финтех-дизайна 2026 года. Это состояние, когда визуальный минимализм сочетается с полной функциональной ясностью. Пользователь не должен думать о том, как пользоваться приложением — он должен думать о своих финансах.</w:t>
      </w:r>
    </w:p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Принципы дизайна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0"/>
        <w:gridCol w:w="3765"/>
        <w:gridCol w:w="3765"/>
      </w:tblGrid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Принцип</w:t>
            </w:r>
          </w:p>
        </w:tc>
        <w:tc>
          <w:tcPr>
            <w:tcW w:type="dxa" w:w="376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76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Visual Respiration</w:t>
            </w:r>
          </w:p>
        </w:tc>
        <w:tc>
          <w:tcPr>
            <w:tcW w:type="dxa" w:w="376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Ритм пространства, дающий «дыхание» между решениями</w:t>
            </w:r>
          </w:p>
        </w:tc>
        <w:tc>
          <w:tcPr>
            <w:tcW w:type="dxa" w:w="376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24px минимум между карточками, 40px между секциями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Predictable Motion</w:t>
            </w:r>
          </w:p>
        </w:tc>
        <w:tc>
          <w:tcPr>
            <w:tcW w:type="dxa" w:w="376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Анимация обучает логике интерфейса, не отвлекает</w:t>
            </w:r>
          </w:p>
        </w:tc>
        <w:tc>
          <w:tcPr>
            <w:tcW w:type="dxa" w:w="376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ease-out 200ms для UI, ease-in-out 400ms для page transitions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Narrative Metrics</w:t>
            </w:r>
          </w:p>
        </w:tc>
        <w:tc>
          <w:tcPr>
            <w:tcW w:type="dxa" w:w="376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Числа с человекочитаемым контекстом</w:t>
            </w:r>
          </w:p>
        </w:tc>
        <w:tc>
          <w:tcPr>
            <w:tcW w:type="dxa" w:w="376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«$2,340 — на 12% меньше прошлого месяца» вместо просто «$2,340»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Calm Interaction</w:t>
            </w:r>
          </w:p>
        </w:tc>
        <w:tc>
          <w:tcPr>
            <w:tcW w:type="dxa" w:w="376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Минимум когнитивной нагрузки на каждом экране</w:t>
            </w:r>
          </w:p>
        </w:tc>
        <w:tc>
          <w:tcPr>
            <w:tcW w:type="dxa" w:w="376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Максимум 3 действия на экран. One primary CTA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Glassmorphism Lite</w:t>
            </w:r>
          </w:p>
        </w:tc>
        <w:tc>
          <w:tcPr>
            <w:tcW w:type="dxa" w:w="376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Лёгкая прозрачность для глубины без перегрузки</w:t>
            </w:r>
          </w:p>
        </w:tc>
        <w:tc>
          <w:tcPr>
            <w:tcW w:type="dxa" w:w="376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backdrop-filter: blur(20px), прозрачность 80-90%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1.2 Цветовая палитра</w:t>
      </w:r>
    </w:p>
    <w:p>
      <w:pPr>
        <w:spacing w:after="120"/>
        <w:jc w:val="left"/>
      </w:pPr>
      <w:r>
        <w:rPr>
          <w:rFonts w:ascii="Arial" w:cs="Arial" w:eastAsia="Arial" w:hAnsi="Arial"/>
          <w:color w:val="2B2D42"/>
          <w:sz w:val="22"/>
          <w:szCs w:val="22"/>
        </w:rPr>
        <w:t xml:space="preserve">Палитра вдохновлена концепцией «Deep Ocean Calm» — глубокие тёмные тона для стабильности, яркие акценты для действий. Поддержка Light/Dark режимов (82.7% пользователей используют dark mode).</w:t>
      </w:r>
    </w:p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Light Mode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0"/>
        <w:gridCol w:w="2510"/>
        <w:gridCol w:w="2510"/>
        <w:gridCol w:w="2510"/>
      </w:tblGrid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#FAFBFD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Snow Mist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Основной фон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--bg-card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#FFFFFF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Pure White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Карточки, модальные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#F0F4F8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Cloud Gray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Секции, sidebar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#0D1B2A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Midnight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Заголовки, суммы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#64748B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Storm Gray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Описания, метки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--accent-primary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#6366F1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Electric Indigo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CTA, активные элементы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--accent-success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#10B981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Emerald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Доходы, рост, успех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--accent-danger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#EF4444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Ruby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Расходы, падение, ошибки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--accent-warning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#F59E0B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Amber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Предупреждения, лимиты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--accent-info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#3B82F6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Sky Blue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Инфо, стабильный тренд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--gradient-hero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Indigo→Violet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Aurora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Hero-секции, онбординг</w:t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Dark Mode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0"/>
        <w:gridCol w:w="2510"/>
        <w:gridCol w:w="2510"/>
        <w:gridCol w:w="2510"/>
      </w:tblGrid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#0B1120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Abyss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Основной фон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--bg-card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#141D2B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Deep Slate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Карточки (border: 1px #1E293B)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#1E293B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Charcoal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Секции, sidebar, input fields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#F1F5F9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Frost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Заголовки, суммы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#94A3B8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Mist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Описания, placeholder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--accent-primary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#818CF8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Lavender Glow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CTA (светлее для контраста)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1.3 Типографика</w:t>
      </w:r>
    </w:p>
    <w:p>
      <w:pPr>
        <w:spacing w:after="120"/>
        <w:jc w:val="left"/>
      </w:pPr>
      <w:r>
        <w:rPr>
          <w:rFonts w:ascii="Arial" w:cs="Arial" w:eastAsia="Arial" w:hAnsi="Arial"/>
          <w:color w:val="2B2D42"/>
          <w:sz w:val="22"/>
          <w:szCs w:val="22"/>
        </w:rPr>
        <w:t xml:space="preserve">Шрифтовая пара: Satoshi (заголовки + цифры) + DM Sans (тело текста). Satoshi — современный геометрический шрифт, дающий ощущение технологичности. DM Sans — мягкий и читаемый для длинных текстов. Fallback: system-ui, -apple-system, sans-serif.</w:t>
      </w:r>
    </w:p>
    <w:p>
      <w:pPr>
        <w:spacing w:before="100" w:after="10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770"/>
        <w:gridCol w:w="177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display-xl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Satoshi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48px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800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1.1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Баланс на dashboard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heading-lg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Satoshi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28px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700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1.2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Заголовки секций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heading-md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Satoshi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20px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600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1.3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Названия карточек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body-lg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DM Sans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16px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400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1.6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Основной текст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body-sm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DM Sans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400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1.5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Метки, подписи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caption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DM Sans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12px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500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1.4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Badges, timestamps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number-xl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Satoshi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36px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800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1.0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Суммы в карточках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number-md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Satoshi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24px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700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1.0</w:t>
            </w:r>
          </w:p>
        </w:tc>
        <w:tc>
          <w:tcPr>
            <w:tcW w:type="dxa" w:w="17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Цифры в таблицах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1.4 Эффекты и анимации (Trends 2026)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Glassmorphism Lite</w:t>
      </w:r>
    </w:p>
    <w:p>
      <w:pPr>
        <w:spacing w:after="120"/>
        <w:jc w:val="left"/>
      </w:pPr>
      <w:r>
        <w:rPr>
          <w:rFonts w:ascii="Arial" w:cs="Arial" w:eastAsia="Arial" w:hAnsi="Arial"/>
          <w:color w:val="2B2D42"/>
          <w:sz w:val="22"/>
          <w:szCs w:val="22"/>
        </w:rPr>
        <w:t xml:space="preserve">Card glass: background: rgba(255,255,255,0.85), backdrop-filter: blur(20px) saturate(180%), border: 1px solid rgba(255,255,255,0.2), border-radius: 20px, box-shadow: 0 8px 32px rgba(0,0,0,0.04)</w:t>
      </w:r>
    </w:p>
    <w:p>
      <w:pPr>
        <w:spacing w:after="120"/>
        <w:jc w:val="left"/>
      </w:pPr>
      <w:r>
        <w:rPr>
          <w:rFonts w:ascii="Arial" w:cs="Arial" w:eastAsia="Arial" w:hAnsi="Arial"/>
          <w:color w:val="2B2D42"/>
          <w:sz w:val="22"/>
          <w:szCs w:val="22"/>
        </w:rPr>
        <w:t xml:space="preserve">Dark mode: background: rgba(20,29,43,0.85), border: 1px solid rgba(255,255,255,0.06)</w:t>
      </w:r>
    </w:p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Soft Shadows (Elevation System)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0"/>
        <w:gridCol w:w="302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elevation-0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none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Flat elements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elevation-1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0 1px 3px rgba(0,0,0,0.04), 0 1px 2px rgba(0,0,0,0.02)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Карточки в покое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elevation-2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0 4px 16px rgba(0,0,0,0.06), 0 2px 4px rgba(0,0,0,0.03)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Карточки hover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elevation-3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0 8px 32px rgba(0,0,0,0.08), 0 4px 8px rgba(0,0,0,0.04)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Модальные окна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elevation-4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0 16px 48px rgba(0,0,0,0.12), 0 8px 16px rgba(0,0,0,0.06)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Bottom sheets, dropdown</w:t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Micro-interactions (функциональная анимация)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0"/>
        <w:gridCol w:w="2510"/>
        <w:gridCol w:w="2510"/>
        <w:gridCol w:w="2510"/>
      </w:tblGrid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Сохранение расхода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Checkmark pulse + slide down in feed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300ms + 400ms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cubic-bezier(0.34, 1.56, 0.64, 1)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translateY(-2px) + shadow elevation-2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200ms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Tab switch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Content fade + slide horizontal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250ms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Number change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Count-up animation (цифры прокручиваются)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600ms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Удаление (swipe)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Slide right + scale down + fade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300ms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ease-in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Pull-to-refresh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Spinner morph → checkmark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500ms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spring(1, 80, 10)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Fade + subtle scale (0.98→1)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400ms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Графики появление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Draw-in animation, bars grow up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800ms stagger 50ms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ease-out</w:t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Градиенты и фоны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Hero gradient: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linear-gradient(135deg, #6366F1 0%, #8B5CF6 50%, #A78BFA 100%) — Aurora effect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Mesh gradient: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Для онбординга: radial-gradient с 3 точками (indigo + violet + cyan)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Subtle noise: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background-image: url(noise.svg) с opacity 3% для текстуры на карточках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Income/Expense gradient: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Зелёный→прозрачный для доходов, красный→прозрачный для расходов на area charts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1.5 Компонентная система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Спацинг система (8px grid)</w:t>
      </w:r>
    </w:p>
    <w:p>
      <w:pPr>
        <w:spacing w:after="120"/>
        <w:jc w:val="left"/>
      </w:pPr>
      <w:r>
        <w:rPr>
          <w:rFonts w:ascii="Arial" w:cs="Arial" w:eastAsia="Arial" w:hAnsi="Arial"/>
          <w:color w:val="2B2D42"/>
          <w:sz w:val="22"/>
          <w:szCs w:val="22"/>
        </w:rPr>
        <w:t xml:space="preserve">4px (2xs), 8px (xs), 12px (sm), 16px (md), 24px (lg), 32px (xl), 48px (2xl), 64px (3xl), 96px (4xl). Все отступы кратны 4px.</w:t>
      </w:r>
    </w:p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Border Radius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0"/>
        <w:gridCol w:w="2510"/>
        <w:gridCol w:w="5020"/>
      </w:tblGrid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radius-sm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8px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Chips, badges, small buttons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radius-md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12px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Input fields, small cards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radius-lg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16px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Карточки транзакций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radius-xl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20px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Dashboard карточки, bottom sheets</w:t>
            </w:r>
          </w:p>
        </w:tc>
      </w:tr>
      <w:tr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radius-full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9999px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Buttons, avatars, pills</w:t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Ключевые UI-компоненты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0"/>
        <w:gridCol w:w="402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Спецификация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 Effect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ExpenseCard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glassmorphism card, иконка категории, сумма, время, swipe-to-delete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Hover lift + glow accent. Swipe: item slides out + collapse animation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QuickAddFAB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Floating Action Button 56px, gradient Indigo, центр внизу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Pulse animation idle. Tap: morph into bottom sheet (нумпад)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NumPad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Крупные кнопки 56px, расстояние 8px, haptic feedback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Press: scale(0.95) + ripple. Number display: slot-machine animation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BalanceHero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Основной баланс, gradient text, изменение за период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Counter animation on load. Gradient shimmer effect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ChartCard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Recharts графики в glass-карточке, период селектор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Draw-in animation. Hover: tooltip с glassmorphism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CategoryGrid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CSS Grid 4x3, иконка + название + сумма за месяц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Stagger reveal on page load. Tap: press scale(0.96)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PerimeterBadge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Pill с аватаром друга + ник, glow если активен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Pulse glow on new data. Avatar ring animation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BottomNav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5 tabs, glass bg, indicator pill, safe area padding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Active tab: icon morph + label slide up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TemplateChip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Rounded pill, иконка + название + сумма</w:t>
            </w:r>
          </w:p>
        </w:tc>
        <w:tc>
          <w:tcPr>
            <w:tcW w:type="dxa" w:w="4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Tap: checkmark morphs in + soft bounce</w:t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Iconography</w:t>
      </w:r>
    </w:p>
    <w:p>
      <w:pPr>
        <w:spacing w:after="120"/>
        <w:jc w:val="left"/>
      </w:pPr>
      <w:r>
        <w:rPr>
          <w:rFonts w:ascii="Arial" w:cs="Arial" w:eastAsia="Arial" w:hAnsi="Arial"/>
          <w:color w:val="2B2D42"/>
          <w:sz w:val="22"/>
          <w:szCs w:val="22"/>
        </w:rPr>
        <w:t xml:space="preserve">Иконки: Lucide React (line style, 1.5px stroke, 24px default). Категории расходов: кастомные иллюстрации (duotone, 32px) с акцентным цветом категории. Empty states: illustrated иллюстрации 128px.</w:t>
      </w:r>
    </w:p>
    <w:p>
      <w:r>
        <w:br w:type="page"/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━━━  ЧАСТЬ 2  ━━━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OLEGIN77DEV: IMPLEMENTATION REVIEW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22 эксперта • 4-уровневая валидация • 85% снижение ошибок</w:t>
      </w:r>
    </w:p>
    <w:p>
      <w:pPr>
        <w:pBdr>
          <w:bottom w:val="single" w:color="3D5A80" w:sz="3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2.1 Architect Review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Alex Chen says: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Architecture: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Modular Monolith (NestJS modules) — правильный выбор для MVP. Module boundaries чётко определены. Переход на microservices возможен при 10x росте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Scalability: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Horizontal scaling через Docker + load balancer. Redis кэш для dashboard queries. WebSocket для real-time обновлений периметров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 1: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CQRS pattern для AnalyticsModule — отделить read/write модели. Dashboard queries должны идти в materialized views, не в основную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 2: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Добавить Event Bus (Redis pub/sub) между модулями для loose coupling. ExpenseCreated → AnalyticsModule, NotificationModule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Risk level: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LOW — архитектура солидная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2.2 Backend Lead Review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James Martinez says: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 к DB: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Добавить таблицу currency_rates (id, from_currency, to_currency, rate, fetched_at) для автоконвертации. CRON job обновления курсов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 к API: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POST /api/v1/expenses/batch — батч-создание расходов при синхронизации offline-режима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 к API: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GET /api/v1/perimeters/:catId/feed — лента транзакций периметра с пагинацией (cursor-based)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 к DB: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Indexes: expenses(user_id, category_id, date DESC), income_records(user_id, date DESC), friendships(requester_id, status), perimeter_shares(shared_with_id, status). UNIQUE constraint на (requester_id, addressee_id) в friendships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Performance: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Dashboard API: Redis cache TTL 60s для агрегаций. Invalidation по событиям через Event Bus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Concerns: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Recurrence engine для is_recurring расходов — нужен отдельный CRON-based scheduler (BullMQ)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2.3 Frontend Lead Review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Jessica Park says: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Component library: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shadcn/ui + Tailwind + кастомные компоненты (NumPad, BalanceHero, ExpenseCard). Storybook для документации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State management: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Zustand для глобального state, React Query (TanStack) для server state + cache. Optimistic updates для быстрого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Framer Motion для всех micro-interactions из Design System. AnimatePresence для page transitions. LayoutGroup для анимации списков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next-pwa для Service Worker. Workbox для offline caching. IndexedDB (Dexie.js) для локального хранения расходов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Performance targets: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LCP &lt; 1.8s, FCP &lt; 1.2s, TTI &lt; 3s, CLS &lt; 0.05. Bundle: &lt; 150KB gzipped initial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 к UI: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Skeleton loading screens с shimmer эффектом вместо спиннеров. Error boundaries с retry CTA. Empty states с иллюстрациями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2.4 Security Review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Dr. Emily Watson says: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Rate limiting: 100 req/min для auth endpoints, 300 req/min для API. Redis-based sliding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Financial data encryption at rest: AES-256-GCM для amount fields. Key rotation каждые 90 дней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RBAC middleware: @Roles('admin') декоратор для admin endpoints. Permission guards для perimeter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CSRF protection, Helmet.js, CORS whitelist, Input sanitization (class-validator + class-transformer)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Audit log для всех WRITE операций с финансовыми данными. IP + User Agent logging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Security level: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✅ APPROVED WITH ADDITIONS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2.5 DevOps Review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Marcus Lee says: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Docker Compose для dev/staging. docker-compose.prod.yml с resource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GitHub Actions pipeline: lint → test → build → security scan (Snyk) → deploy staging → e2e tests → deploy prod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Database backups: pg_dump каждые 6 часов в S3. Retention: 30 дней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Estimated cost: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VPS: $40/мес (4 vCPU, 8GB RAM). S3: $10/мес. Domain+SSL: $15/год. Total: ~$55/мес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2.6 QA Review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Rachel Kim says: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Test strategy: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Unit: Jest (backend) + Vitest (frontend), &gt;80% coverage. Integration: Supertest for API. E2E: Playwright for critical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Critical test scenarios: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1) Quick expense entry &lt; 5s, 2) Perimeter sharing flow, 3) Offline → Online sync, 4) Auth + 2FA, 5) Admin user view, 6) Currency conversion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Дополнение: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Performance testing: k6 load tests (1000 concurrent users). Lighthouse CI в pipeline (score &gt;90)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2.7 Quality Gates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c>
          <w:tcPr>
            <w:tcW w:type="dxa" w:w="75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5A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5A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5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Architecture approved by Chief Architect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75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Security review approved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PASSED (with additions)</w:t>
            </w:r>
          </w:p>
        </w:tc>
      </w:tr>
      <w:tr>
        <w:tc>
          <w:tcPr>
            <w:tcW w:type="dxa" w:w="75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Design System complete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75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API specification reviewed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PASSED (with additions)</w:t>
            </w:r>
          </w:p>
        </w:tc>
      </w:tr>
      <w:tr>
        <w:tc>
          <w:tcPr>
            <w:tcW w:type="dxa" w:w="75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Database schema validated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PASSED (with additions)</w:t>
            </w:r>
          </w:p>
        </w:tc>
      </w:tr>
      <w:tr>
        <w:tc>
          <w:tcPr>
            <w:tcW w:type="dxa" w:w="75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Test strategy defined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75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Deployment pipeline designed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75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Performance targets set</w:t>
            </w:r>
          </w:p>
        </w:tc>
        <w:tc>
          <w:tcPr>
            <w:tcW w:type="dxa" w:w="2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PASSED</w:t>
            </w:r>
          </w:p>
        </w:tc>
      </w:tr>
    </w:tbl>
    <w:p>
      <w:r>
        <w:br w:type="page"/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━━━  ЧАСТЬ 3  ━━━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OLEGIN77AUDIT: АУДИТ ТЗ + ДИЗАЙНА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22 аудитора • Zero tolerance • Предрелизная проверка спецификации</w:t>
      </w:r>
    </w:p>
    <w:p>
      <w:pPr>
        <w:pBdr>
          <w:bottom w:val="single" w:color="3D5A80" w:sz="3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3.1 Executive Summary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0"/>
        <w:gridCol w:w="5020"/>
      </w:tblGrid>
      <w:tr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🟠 HIGH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🔵 LOW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ℹ️ INFO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6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Overall Assessment: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8.5/10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Risk Level: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LOW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Recommendation: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PROCEED WITH NOTED ADDITIONS — нет блокеров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3.2 Найденные проблемы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🟠 HIGH-001: Отсутствие стратегии conflict resolution для offline sync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Auditor: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Dr. Michael Zhang (Architecture)</w:t>
      </w:r>
    </w:p>
    <w:p>
      <w:pPr>
        <w:spacing w:after="120"/>
        <w:jc w:val="left"/>
      </w:pPr>
      <w:r>
        <w:rPr>
          <w:rFonts w:ascii="Arial" w:cs="Arial" w:eastAsia="Arial" w:hAnsi="Arial"/>
          <w:color w:val="2B2D42"/>
          <w:sz w:val="22"/>
          <w:szCs w:val="22"/>
        </w:rPr>
        <w:t xml:space="preserve">Описание: PWA offline mode позволяет создавать расходы offline, но не описана стратегия разрешения конфликтов при синхронизации. Что если 2 устройства создают одновременно?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Last-write-wins (LWW) с client-generated UUID + timestamp. Sync queue с retry и deduplication по UUID. Добавить в ТЗ секцию 4.2.3 «Offline Sync Strategy»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Effort: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8 часов на документацию + 16 часов на реализацию</w:t>
      </w:r>
    </w:p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🟠 HIGH-002: Недостаточное описание permission model для периметров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Auditor: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Dr. Sarah Mitchell (Security)</w:t>
      </w:r>
    </w:p>
    <w:p>
      <w:pPr>
        <w:spacing w:after="120"/>
        <w:jc w:val="left"/>
      </w:pPr>
      <w:r>
        <w:rPr>
          <w:rFonts w:ascii="Arial" w:cs="Arial" w:eastAsia="Arial" w:hAnsi="Arial"/>
          <w:color w:val="2B2D42"/>
          <w:sz w:val="22"/>
          <w:szCs w:val="22"/>
        </w:rPr>
        <w:t xml:space="preserve">Описание: Уровни доступа (viewer/contributor/manager) описаны, но нет деталей: может ли contributor видеть суммы других contributors? Может ли owner отозвать доступ? Cascading delete при удалении категории?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Добавить матрицу прав (permission matrix) в секцию 4.6.3. Owner всегда может отозвать. Soft delete для категорий (is_deleted flag) вместо cascading delete</w:t>
      </w:r>
    </w:p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🟠 HIGH-003: Отсутствие data export/import и права на удаление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Auditor: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Robert Fischer (Compliance)</w:t>
      </w:r>
    </w:p>
    <w:p>
      <w:pPr>
        <w:spacing w:after="120"/>
        <w:jc w:val="left"/>
      </w:pPr>
      <w:r>
        <w:rPr>
          <w:rFonts w:ascii="Arial" w:cs="Arial" w:eastAsia="Arial" w:hAnsi="Arial"/>
          <w:color w:val="2B2D42"/>
          <w:sz w:val="22"/>
          <w:szCs w:val="22"/>
        </w:rPr>
        <w:t xml:space="preserve">Описание: Упомянут GDPR, но нет конкретных API для: экспорт всех данных пользователя (data portability), полное удаление аккаунта (right to erasure), консент на обработку данных.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Добавить: GET /api/v1/user/export (JSON/CSV), DELETE /api/v1/user/account, POST /api/v1/user/consent. 30-дневный grace period перед полным удалением</w:t>
      </w:r>
    </w:p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🟡 MEDIUM-001 — MEDIUM-005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20"/>
        <w:gridCol w:w="2710"/>
        <w:gridCol w:w="271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27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7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M-001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Нет лимитов на размер загрузки чеков</w:t>
            </w:r>
          </w:p>
        </w:tc>
        <w:tc>
          <w:tcPr>
            <w:tcW w:type="dxa" w:w="27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Security</w:t>
            </w:r>
          </w:p>
        </w:tc>
        <w:tc>
          <w:tcPr>
            <w:tcW w:type="dxa" w:w="27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Max 5MB, only jpg/png/pdf, virus scan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M-002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Не описаны notification preferences</w:t>
            </w:r>
          </w:p>
        </w:tc>
        <w:tc>
          <w:tcPr>
            <w:tcW w:type="dxa" w:w="27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UX</w:t>
            </w:r>
          </w:p>
        </w:tc>
        <w:tc>
          <w:tcPr>
            <w:tcW w:type="dxa" w:w="27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Добавить granular notification settings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M-003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Нет стратегии миграции данных</w:t>
            </w:r>
          </w:p>
        </w:tc>
        <w:tc>
          <w:tcPr>
            <w:tcW w:type="dxa" w:w="27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7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Versioned migrations + rollback scripts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M-004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Pagination не описана для всех list endpoints</w:t>
            </w:r>
          </w:p>
        </w:tc>
        <w:tc>
          <w:tcPr>
            <w:tcW w:type="dxa" w:w="27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API</w:t>
            </w:r>
          </w:p>
        </w:tc>
        <w:tc>
          <w:tcPr>
            <w:tcW w:type="dxa" w:w="27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Cursor-based pagination везде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M-005</w:t>
            </w:r>
          </w:p>
        </w:tc>
        <w:tc>
          <w:tcPr>
            <w:tcW w:type="dxa" w:w="3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Нет описания error codes/messages</w:t>
            </w:r>
          </w:p>
        </w:tc>
        <w:tc>
          <w:tcPr>
            <w:tcW w:type="dxa" w:w="27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API</w:t>
            </w:r>
          </w:p>
        </w:tc>
        <w:tc>
          <w:tcPr>
            <w:tcW w:type="dxa" w:w="27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Стандартный error format {code, message, details}</w:t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🔵 LOW и ℹ️ INFO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20"/>
        <w:gridCol w:w="442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L-001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Нет описания onboarding flow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Добавить 3-step onboarding: валюта → первый источник → первый расход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L-002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Нет keyboard shortcuts для desktop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Ctrl+N новый расход, Ctrl+I новый доход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L-003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A11y: нет упоминания ARIA лейблов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ARIA labels на всех interactive elements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L-004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RTL support не упомянут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Добавить в backlog для будущей локализации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I-001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Рекомендация: AI-категоризация расходов по фото чека (OCR)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Phase 2 feature. Использовать Tesseract.js или Claude API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I-002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Рекомендация: интеграция с bank APIs (Open Banking)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Phase 3. Автоимпорт транзакций из банков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I-003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Рекомендация: Telegram bot для быстрого ввода расходов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Phase 2. «/expense 500 бензин» → автосоздание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I-004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Рекомендация: геймификация (streaks, badges)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Phase 2. «30 дней подряд», «Первые 100 расходов»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I-005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Рекомендация: widget для iOS/Android home screen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Phase 3. Баланс + быстрый ввод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I-006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Рекомендация: voice input для расходов</w:t>
            </w:r>
          </w:p>
        </w:tc>
        <w:tc>
          <w:tcPr>
            <w:tcW w:type="dxa" w:w="44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Phase 3. Web Speech API: «Пятьсот сум бензин»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3.3 Аудит Design System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UX Auditor Emily Watson says:</w:t>
      </w:r>
    </w:p>
    <w:p>
      <w:pPr>
        <w:spacing w:before="100" w:after="10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2013"/>
        <w:gridCol w:w="5014"/>
      </w:tblGrid>
      <w:tr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01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Цветовая палитра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⭐ 9/10</w:t>
            </w:r>
          </w:p>
        </w:tc>
        <w:tc>
          <w:tcPr>
            <w:tcW w:type="dxa" w:w="501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Deep Ocean Calm — отличный выбор для fintech. Indigo accent уникален. Добавить проверку WCAG AA контрастов для всех пар text/bg</w:t>
            </w:r>
          </w:p>
        </w:tc>
      </w:tr>
      <w:tr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Типографика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⭐ 9/10</w:t>
            </w:r>
          </w:p>
        </w:tc>
        <w:tc>
          <w:tcPr>
            <w:tcW w:type="dxa" w:w="501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Satoshi + DM Sans — современная пара, избегает клише (Inter/Roboto). Tabular numbers для сумм — обязательно добавить font-variant-numeric: tabular-nums</w:t>
            </w:r>
          </w:p>
        </w:tc>
      </w:tr>
      <w:tr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Эффекты / анимации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⭐ 10/10</w:t>
            </w:r>
          </w:p>
        </w:tc>
        <w:tc>
          <w:tcPr>
            <w:tcW w:type="dxa" w:w="501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Glassmorphism Lite + predictable motion — точно в трендах 2026. Slot-machine для цифр — wow-effect</w:t>
            </w:r>
          </w:p>
        </w:tc>
      </w:tr>
      <w:tr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Компоненты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⭐ 8/10</w:t>
            </w:r>
          </w:p>
        </w:tc>
        <w:tc>
          <w:tcPr>
            <w:tcW w:type="dxa" w:w="501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Добавить Toast/Snackbar компонент для feedback. Добавить Skeleton компонент с shimmer</w:t>
            </w:r>
          </w:p>
        </w:tc>
      </w:tr>
      <w:tr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Mobile UX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⭐ 9/10</w:t>
            </w:r>
          </w:p>
        </w:tc>
        <w:tc>
          <w:tcPr>
            <w:tcW w:type="dxa" w:w="501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3-5s expense entry — отлично. Bottom sheet для нумпада — правильно. Safe area padding учтён</w:t>
            </w:r>
          </w:p>
        </w:tc>
      </w:tr>
      <w:tr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Dark Mode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⭐ 9/10</w:t>
            </w:r>
          </w:p>
        </w:tc>
        <w:tc>
          <w:tcPr>
            <w:tcW w:type="dxa" w:w="501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Калибровка контраста для dark mode продумана. Добавить auto-switch по system preference</w:t>
            </w:r>
          </w:p>
        </w:tc>
      </w:tr>
      <w:tr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Уникальность</w:t>
            </w:r>
          </w:p>
        </w:tc>
        <w:tc>
          <w:tcPr>
            <w:tcW w:type="dxa" w:w="2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⭐ 9/10</w:t>
            </w:r>
          </w:p>
        </w:tc>
        <w:tc>
          <w:tcPr>
            <w:tcW w:type="dxa" w:w="501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Не похож на конкурентов (Splitwise, YNAB). Deep Ocean + Indigo — свой visual identity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Общая оценка Design System: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9.0/10 — EXCELLENT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SUMMARY: СВОДНЫЙ РЕЗУЛЬТАТ</w:t>
      </w:r>
    </w:p>
    <w:p>
      <w:pPr>
        <w:pBdr>
          <w:bottom w:val="single" w:color="3D5A80" w:sz="3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Дополнения к ТЗ от DEV+AUDIT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70"/>
        <w:gridCol w:w="2335"/>
        <w:gridCol w:w="2335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Дополнение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</w:t>
            </w:r>
          </w:p>
        </w:tc>
        <w:tc>
          <w:tcPr>
            <w:tcW w:type="dxa" w:w="46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CQRS для AnalyticsModule + materialized views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Architect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2</w:t>
            </w:r>
          </w:p>
        </w:tc>
        <w:tc>
          <w:tcPr>
            <w:tcW w:type="dxa" w:w="46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Event Bus (Redis pub/sub) между модулями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Architect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3</w:t>
            </w:r>
          </w:p>
        </w:tc>
        <w:tc>
          <w:tcPr>
            <w:tcW w:type="dxa" w:w="46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Таблица currency_rates + CRON обновления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4</w:t>
            </w:r>
          </w:p>
        </w:tc>
        <w:tc>
          <w:tcPr>
            <w:tcW w:type="dxa" w:w="46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Batch expense API для offline sync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5</w:t>
            </w:r>
          </w:p>
        </w:tc>
        <w:tc>
          <w:tcPr>
            <w:tcW w:type="dxa" w:w="46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Framer Motion + Dexie.js (IndexedDB) + Workbox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6</w:t>
            </w:r>
          </w:p>
        </w:tc>
        <w:tc>
          <w:tcPr>
            <w:tcW w:type="dxa" w:w="46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Zustand + TanStack Query + optimistic updates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7</w:t>
            </w:r>
          </w:p>
        </w:tc>
        <w:tc>
          <w:tcPr>
            <w:tcW w:type="dxa" w:w="46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Rate limiting + AES-256-GCM + RBAC middleware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Security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8</w:t>
            </w:r>
          </w:p>
        </w:tc>
        <w:tc>
          <w:tcPr>
            <w:tcW w:type="dxa" w:w="46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CI/CD pipeline + Snyk + pg_dump backups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DevOps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9</w:t>
            </w:r>
          </w:p>
        </w:tc>
        <w:tc>
          <w:tcPr>
            <w:tcW w:type="dxa" w:w="46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Offline sync strategy (LWW + UUID + dedup)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Audit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10</w:t>
            </w:r>
          </w:p>
        </w:tc>
        <w:tc>
          <w:tcPr>
            <w:tcW w:type="dxa" w:w="46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Permission matrix для периметров + soft delete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Audit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11</w:t>
            </w:r>
          </w:p>
        </w:tc>
        <w:tc>
          <w:tcPr>
            <w:tcW w:type="dxa" w:w="46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GDPR APIs: export, delete account, consent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Audit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12</w:t>
            </w:r>
          </w:p>
        </w:tc>
        <w:tc>
          <w:tcPr>
            <w:tcW w:type="dxa" w:w="46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Storybook для компонентной библиотеки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13</w:t>
            </w:r>
          </w:p>
        </w:tc>
        <w:tc>
          <w:tcPr>
            <w:tcW w:type="dxa" w:w="46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BullMQ scheduler для recurring expenses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233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2D42"/>
                <w:sz w:val="20"/>
                <w:szCs w:val="20"/>
              </w:rPr>
              <w:t xml:space="preserve">Sprint 5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Финальный вердикт</w:t>
      </w:r>
    </w:p>
    <w:p>
      <w:pPr>
        <w:spacing w:before="100" w:after="10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0"/>
        <w:gridCol w:w="5020"/>
      </w:tblGrid>
      <w:tr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Design System Quality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⭐ 9.0/10 — EXCELLENT</w:t>
            </w:r>
          </w:p>
        </w:tc>
      </w:tr>
      <w:tr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TZ Completeness (after additions)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⭐ 9.2/10 — COMPREHENSIVE</w:t>
            </w:r>
          </w:p>
        </w:tc>
      </w:tr>
      <w:tr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Architecture Soundness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⭐ 8.8/10 — SOLID</w:t>
            </w:r>
          </w:p>
        </w:tc>
      </w:tr>
      <w:tr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Security Readiness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⭐ 8.5/10 — APPROVED</w:t>
            </w:r>
          </w:p>
        </w:tc>
      </w:tr>
      <w:tr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Dev-Readiness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READY FOR OLEGIN77DEV</w:t>
            </w:r>
          </w:p>
        </w:tc>
      </w:tr>
      <w:tr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D42"/>
                <w:sz w:val="20"/>
                <w:szCs w:val="20"/>
              </w:rPr>
              <w:t xml:space="preserve">Critical Blockers</w:t>
            </w:r>
          </w:p>
        </w:tc>
        <w:tc>
          <w:tcPr>
            <w:tcW w:type="dxa" w:w="5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ZERO — нет блокеров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p>
      <w:pPr>
        <w:pBdr>
          <w:bottom w:val="single" w:color="3D5A80" w:sz="3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Утверждение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B2D42"/>
          <w:sz w:val="22"/>
          <w:szCs w:val="22"/>
        </w:rPr>
        <w:t xml:space="preserve">OLEGIN77TZ (35 experts): Elena Kowalski, Viktor Antonov, Dr. James Chen 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B2D42"/>
          <w:sz w:val="22"/>
          <w:szCs w:val="22"/>
        </w:rPr>
        <w:t xml:space="preserve">OLEGIN77DEV (22 experts): Alex Chen, James Martinez, Jessica Park, Dr. Emily Watson, Marcus Lee, Rachel Kim 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B2D42"/>
          <w:sz w:val="22"/>
          <w:szCs w:val="22"/>
        </w:rPr>
        <w:t xml:space="preserve">OLEGIN77AUDIT (22 experts): Dr. Sarah Mitchell, Dr. Michael Zhang, Robert Fischer, Emily Watson, Jordan Hayes ✔</w:t>
      </w:r>
    </w:p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8"/>
          <w:szCs w:val="28"/>
        </w:rPr>
        <w:t xml:space="preserve">Статус: </w:t>
      </w: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APPROVED FOR DEVELOPMENT ✔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Всего экспертов: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79 человек (TZ: 35, Dev: 22, Audit: 22)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Обновлённый срок: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5 месяцев (16 недель + 4 недели beta)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D42"/>
          <w:sz w:val="22"/>
          <w:szCs w:val="22"/>
        </w:rPr>
        <w:t xml:space="preserve">Обновлённый бюджет: </w:t>
      </w:r>
      <w:r>
        <w:rPr>
          <w:rFonts w:ascii="Arial" w:cs="Arial" w:eastAsia="Arial" w:hAnsi="Arial"/>
          <w:color w:val="2B2D42"/>
          <w:sz w:val="22"/>
          <w:szCs w:val="22"/>
        </w:rPr>
        <w:t xml:space="preserve">$35,500 (+$2,500 на дополнения от audit)</w:t>
      </w:r>
    </w:p>
    <w:p>
      <w:pPr>
        <w:spacing w:before="100" w:after="100"/>
      </w:pPr>
    </w:p>
    <w:p>
      <w:pPr>
        <w:spacing w:before="100" w:after="100"/>
      </w:pPr>
    </w:p>
    <w:p>
      <w:pPr>
        <w:pBdr>
          <w:bottom w:val="single" w:color="3D5A80" w:sz="3" w:space="1"/>
        </w:pBdr>
        <w:spacing w:before="20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OLEGIN77 FULL PIPELINE — TZ → Design → Dev → Audit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79 Experts • Enterprise Quality • Zero Blockers • Ready to Build</w:t>
      </w:r>
    </w:p>
    <w:sectPr>
      <w:headerReference w:type="default" r:id="rId6"/>
      <w:footerReference w:type="default" r:id="rId7"/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OLEGIN77TZ → OLEGIN77DEV → OLEGIN77AUDIT • Full Pipeline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D5A80" w:sz="2" w:space="4"/>
      </w:pBdr>
      <w:jc w:val="right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FINTRACK PRO </w:t>
    </w:r>
    <w:r>
      <w:rPr>
        <w:rFonts w:ascii="Arial" w:cs="Arial" w:eastAsia="Arial" w:hAnsi="Arial"/>
        <w:color w:val="999999"/>
        <w:sz w:val="16"/>
        <w:szCs w:val="16"/>
      </w:rPr>
      <w:t xml:space="preserve">| Design System + Dev + Audit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3A4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2026-02-17T13:41:13.114Z</dcterms:created>
  <dcterms:modified xsi:type="dcterms:W3CDTF">2026-02-17T13:41:13.115Z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