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60"/>
        <w:jc w:val="center"/>
      </w:pPr>
      <w:r>
        <w:rPr>
          <w:b/>
          <w:color w:val="1F497D"/>
          <w:sz w:val="44"/>
        </w:rPr>
        <w:t>Исследование подходов к обучению GNN</w:t>
        <w:br/>
        <w:t>для задач объединения таблиц</w:t>
      </w:r>
    </w:p>
    <w:p>
      <w:pPr>
        <w:spacing w:after="80"/>
        <w:jc w:val="center"/>
      </w:pPr>
      <w:r>
        <w:rPr>
          <w:i/>
          <w:color w:val="595959"/>
          <w:sz w:val="24"/>
        </w:rPr>
        <w:t>Schema Matching · Entity Resolution · Metric Learning · GNN Training</w:t>
      </w:r>
    </w:p>
    <w:p>
      <w:pPr>
        <w:spacing w:after="480"/>
        <w:jc w:val="center"/>
      </w:pPr>
      <w:r>
        <w:rPr>
          <w:color w:val="7F7F7F"/>
        </w:rPr>
        <w:t>Март 2026</w:t>
      </w:r>
    </w:p>
    <w:p>
      <w:r>
        <w:br w:type="page"/>
      </w:r>
    </w:p>
    <w:p>
      <w:pPr>
        <w:pStyle w:val="Heading1"/>
        <w:spacing w:before="360" w:after="120"/>
      </w:pPr>
      <w:r>
        <w:t>1. Введение и контекст</w:t>
      </w:r>
    </w:p>
    <w:p>
      <w:pPr>
        <w:spacing w:after="80"/>
      </w:pPr>
      <w:r>
        <w:rPr>
          <w:b w:val="0"/>
          <w:i w:val="0"/>
        </w:rPr>
        <w:t>Данный ресёрч подготовлен для поддержки архитектурных решений в проекте TableUnifier — системе автоматического объединения таблиц на основе сопоставления схем (SchemaProjector, MLP + Triplet Loss) и разрешения сущностей (EntityResolutionGNN, гетерогенный GNN + косинусное сходство). Рассматриваются три ключевых блока: (1) практики обучения GNN из академической литературы, (2) современные архитектуры для entity resolution и schema matching, (3) альтернативы Triplet Loss и более современные loss-функции для метрического обучения.</w:t>
      </w:r>
    </w:p>
    <w:p>
      <w:pPr>
        <w:pStyle w:val="Heading1"/>
        <w:spacing w:before="360" w:after="120"/>
      </w:pPr>
      <w:r>
        <w:t>2. Обучение GNN: оптимизаторы, шедулеры, регуляризация</w:t>
      </w:r>
    </w:p>
    <w:p>
      <w:pPr>
        <w:pStyle w:val="Heading2"/>
        <w:spacing w:before="240" w:after="80"/>
      </w:pPr>
      <w:r>
        <w:t>2.1 Оптимизатор: Adam vs AdamW</w:t>
      </w:r>
    </w:p>
    <w:p>
      <w:pPr>
        <w:spacing w:after="80"/>
      </w:pPr>
      <w:r>
        <w:rPr>
          <w:b w:val="0"/>
          <w:i w:val="0"/>
        </w:rPr>
        <w:t>Стандартом де-факто в обучении GNN является оптимизатор Adam или AdamW. Ключевое отличие AdamW от Adam: weight decay применяется непосредственно к весам, а не через градиенты, что особенно важно при использовании адаптивных методов (Adam, RMSProp). Это снижает взаимодействие между weight decay и адаптивным шагом и улучшает обобщение.</w:t>
      </w:r>
    </w:p>
    <w:p>
      <w:pPr>
        <w:pStyle w:val="ListBullet"/>
        <w:spacing w:after="40"/>
        <w:ind w:left="340"/>
      </w:pPr>
      <w:r>
        <w:t>Adam: lr = 1e-3, weight_decay = 5e-4 — типичные значения для задач узловой классификации (PyG документация)</w:t>
      </w:r>
    </w:p>
    <w:p>
      <w:pPr>
        <w:pStyle w:val="ListBullet"/>
        <w:spacing w:after="40"/>
        <w:ind w:left="340"/>
      </w:pPr>
      <w:r>
        <w:t>AdamW: lr = 1e-3..1e-4, weight_decay = 1e-2..1e-4 — рекомендуется для fine-tuning и задач с contrastive learning</w:t>
      </w:r>
    </w:p>
    <w:p>
      <w:pPr>
        <w:pStyle w:val="ListBullet"/>
        <w:spacing w:after="40"/>
        <w:ind w:left="340"/>
      </w:pPr>
      <w:r>
        <w:t>Для Transformer-компонентов (BERT, sentence-transformers): lr = 2e-5..5e-5, AdamW</w:t>
      </w:r>
    </w:p>
    <w:p>
      <w:pPr>
        <w:spacing w:before="120" w:after="120"/>
        <w:ind w:left="283" w:right="283"/>
        <w:shd w:val="clear" w:color="auto" w:fill="EBF3FB"/>
      </w:pPr>
      <w:r>
        <w:rPr>
          <w:i/>
          <w:color w:val="1F497D"/>
        </w:rPr>
        <w:t>💡  Для SchemaProjector (MLP): AdamW с lr=1e-3 и weight_decay=1e-4 — хорошая отправная точка. Для EntityResolutionGNN: можно попробовать lr=5e-4, weight_decay=5e-4.</w:t>
      </w:r>
    </w:p>
    <w:p>
      <w:pPr>
        <w:pStyle w:val="Heading2"/>
        <w:spacing w:before="240" w:after="80"/>
      </w:pPr>
      <w:r>
        <w:t>2.2 Learning Rate Schedulers</w:t>
      </w:r>
    </w:p>
    <w:p>
      <w:pPr>
        <w:spacing w:after="80"/>
      </w:pPr>
      <w:r>
        <w:rPr>
          <w:b w:val="0"/>
          <w:i w:val="0"/>
        </w:rPr>
        <w:t>Современные практики однозначно указывают на связку Warmup + Cosine Annealing как лучший общий выбор. Warmup решает проблему нестабильности Adam в начале обучения (variance correction), а cosine decay плавно снижает lr до нуля.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97D"/>
          </w:tcPr>
          <w:p>
            <w:r>
              <w:rPr>
                <w:b/>
                <w:color w:val="FFFFFF"/>
              </w:rPr>
              <w:t>Шедулер</w:t>
            </w:r>
          </w:p>
        </w:tc>
        <w:tc>
          <w:tcPr>
            <w:tcW w:type="dxa" w:w="3685"/>
            <w:shd w:val="clear" w:color="auto" w:fill="1F497D"/>
          </w:tcPr>
          <w:p>
            <w:r>
              <w:rPr>
                <w:b/>
                <w:color w:val="FFFFFF"/>
              </w:rPr>
              <w:t>Формула / поведение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b/>
                <w:color w:val="FFFFFF"/>
              </w:rPr>
              <w:t>Когда применять</w:t>
            </w:r>
          </w:p>
        </w:tc>
      </w:tr>
      <w:tr>
        <w:tc>
          <w:tcPr>
            <w:tcW w:type="dxa" w:w="2551"/>
            <w:shd w:val="clear" w:color="auto" w:fill="F2F7FC"/>
          </w:tcPr>
          <w:p>
            <w:r>
              <w:rPr>
                <w:sz w:val="20"/>
              </w:rPr>
              <w:t>Cosine Annealing + Warmup</w:t>
            </w:r>
          </w:p>
        </w:tc>
        <w:tc>
          <w:tcPr>
            <w:tcW w:type="dxa" w:w="3685"/>
            <w:shd w:val="clear" w:color="auto" w:fill="F2F7FC"/>
          </w:tcPr>
          <w:p>
            <w:r>
              <w:rPr>
                <w:sz w:val="20"/>
              </w:rPr>
              <w:t>Линейный рост до peak_lr за warmup_steps, затем косинусный decay</w:t>
            </w:r>
          </w:p>
        </w:tc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Основной выбор (2024). Стабильно, нет резких скачков lr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StepLR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Умножение lr на γ каждые step_size эпох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Простые baseline-эксперименты, небольшие датасеты</w:t>
            </w:r>
          </w:p>
        </w:tc>
      </w:tr>
      <w:tr>
        <w:tc>
          <w:tcPr>
            <w:tcW w:type="dxa" w:w="2551"/>
            <w:shd w:val="clear" w:color="auto" w:fill="F2F7FC"/>
          </w:tcPr>
          <w:p>
            <w:r>
              <w:rPr>
                <w:sz w:val="20"/>
              </w:rPr>
              <w:t>ReduceLROnPlateau</w:t>
            </w:r>
          </w:p>
        </w:tc>
        <w:tc>
          <w:tcPr>
            <w:tcW w:type="dxa" w:w="3685"/>
            <w:shd w:val="clear" w:color="auto" w:fill="F2F7FC"/>
          </w:tcPr>
          <w:p>
            <w:r>
              <w:rPr>
                <w:sz w:val="20"/>
              </w:rPr>
              <w:t>Снижение lr при остановке улучшения val_loss</w:t>
            </w:r>
          </w:p>
        </w:tc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Когда неизвестно оптимальное число эпох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Cosine Annealing with Restarts (SGDR)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Периодические перезапуски cosine decay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Ансамблирование, exploration</w:t>
            </w:r>
          </w:p>
        </w:tc>
      </w:tr>
      <w:tr>
        <w:tc>
          <w:tcPr>
            <w:tcW w:type="dxa" w:w="2551"/>
            <w:shd w:val="clear" w:color="auto" w:fill="F2F7FC"/>
          </w:tcPr>
          <w:p>
            <w:r>
              <w:rPr>
                <w:sz w:val="20"/>
              </w:rPr>
              <w:t>Linear Decay + Warmup</w:t>
            </w:r>
          </w:p>
        </w:tc>
        <w:tc>
          <w:tcPr>
            <w:tcW w:type="dxa" w:w="3685"/>
            <w:shd w:val="clear" w:color="auto" w:fill="F2F7FC"/>
          </w:tcPr>
          <w:p>
            <w:r>
              <w:rPr>
                <w:sz w:val="20"/>
              </w:rPr>
              <w:t>Warmup → линейный спад до 0</w:t>
            </w:r>
          </w:p>
        </w:tc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Default в HuggingFace Transformers; хуже cosine на длинных прогонах</w:t>
            </w:r>
          </w:p>
        </w:tc>
      </w:tr>
    </w:tbl>
    <w:p/>
    <w:p>
      <w:pPr>
        <w:spacing w:before="120" w:after="120"/>
        <w:ind w:left="283" w:right="283"/>
        <w:shd w:val="clear" w:color="auto" w:fill="EBF3FB"/>
      </w:pPr>
      <w:r>
        <w:rPr>
          <w:i/>
          <w:color w:val="1F497D"/>
        </w:rPr>
        <w:t>💡  Рекомендация для TableUnifier: CosineAnnealingWarmRestarts из PyTorch или get_cosine_schedule_with_warmup из transformers. Warmup = 5–10% от total_steps. Peak LR = 1e-3. Пример: 100 эпох → 10 эпох warmup → cosine decay.</w:t>
      </w:r>
    </w:p>
    <w:p>
      <w:pPr>
        <w:pStyle w:val="Heading2"/>
        <w:spacing w:before="240" w:after="80"/>
      </w:pPr>
      <w:r>
        <w:t>2.3 Регуляризация</w:t>
      </w:r>
    </w:p>
    <w:p>
      <w:pPr>
        <w:spacing w:after="80"/>
      </w:pPr>
      <w:r>
        <w:rPr>
          <w:b w:val="0"/>
          <w:i w:val="0"/>
        </w:rPr>
        <w:t>Ключевые техники регуляризации для GNN, подтверждённые литературой:</w:t>
      </w:r>
    </w:p>
    <w:p>
      <w:pPr>
        <w:pStyle w:val="ListBullet"/>
        <w:spacing w:after="40"/>
        <w:ind w:left="340"/>
      </w:pPr>
      <w:r>
        <w:t>Dropout: 0.3–0.5 на признаках узлов и рёбер. Значение 0.5 — стандарт PyG.</w:t>
      </w:r>
    </w:p>
    <w:p>
      <w:pPr>
        <w:pStyle w:val="ListBullet"/>
        <w:spacing w:after="40"/>
        <w:ind w:left="340"/>
      </w:pPr>
      <w:r>
        <w:t>Weight Decay: 5e-4 в Adam или 1e-4 в AdamW — обе конфигурации встречаются в литературе.</w:t>
      </w:r>
    </w:p>
    <w:p>
      <w:pPr>
        <w:pStyle w:val="ListBullet"/>
        <w:spacing w:after="40"/>
        <w:ind w:left="340"/>
      </w:pPr>
      <w:r>
        <w:t>Early Stopping: мониторинг val_loss с patience=10–20 эпох; предотвращает переобучение при обучении на малых датасетах (Magellan benchmarks небольшие).</w:t>
      </w:r>
    </w:p>
    <w:p>
      <w:pPr>
        <w:pStyle w:val="ListBullet"/>
        <w:spacing w:after="40"/>
        <w:ind w:left="340"/>
      </w:pPr>
      <w:r>
        <w:t>Gradient Clipping: max_norm=1.0 — особенно актуально при глубоких GNN и edge features.</w:t>
      </w:r>
    </w:p>
    <w:p>
      <w:pPr>
        <w:pStyle w:val="Heading2"/>
        <w:spacing w:before="240" w:after="80"/>
      </w:pPr>
      <w:r>
        <w:t>2.4 Нормализация в GNN</w:t>
      </w:r>
    </w:p>
    <w:p>
      <w:pPr>
        <w:spacing w:after="80"/>
      </w:pPr>
      <w:r>
        <w:rPr>
          <w:b w:val="0"/>
          <w:i w:val="0"/>
        </w:rPr>
        <w:t>Выбор нормализации существенно влияет на сходимость GNN. В отличие от обычных нейросетей, BatchNorm имеет проблемы с переменным размером графов.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97D"/>
          </w:tcPr>
          <w:p>
            <w:r>
              <w:rPr>
                <w:b/>
                <w:color w:val="FFFFFF"/>
              </w:rPr>
              <w:t>Метод</w:t>
            </w:r>
          </w:p>
        </w:tc>
        <w:tc>
          <w:tcPr>
            <w:tcW w:type="dxa" w:w="4819"/>
            <w:shd w:val="clear" w:color="auto" w:fill="1F497D"/>
          </w:tcPr>
          <w:p>
            <w:r>
              <w:rPr>
                <w:b/>
                <w:color w:val="FFFFFF"/>
              </w:rPr>
              <w:t>Особенности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b/>
                <w:color w:val="FFFFFF"/>
              </w:rPr>
              <w:t>Рекомендация</w:t>
            </w:r>
          </w:p>
        </w:tc>
      </w:tr>
      <w:tr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BatchNorm</w:t>
            </w:r>
          </w:p>
        </w:tc>
        <w:tc>
          <w:tcPr>
            <w:tcW w:type="dxa" w:w="4819"/>
            <w:shd w:val="clear" w:color="auto" w:fill="F2F7FC"/>
          </w:tcPr>
          <w:p>
            <w:r>
              <w:rPr>
                <w:sz w:val="20"/>
              </w:rPr>
              <w:t>Нормирует по батчу; нестабильна при маленьких батчах графов</w:t>
            </w:r>
          </w:p>
        </w:tc>
        <w:tc>
          <w:tcPr>
            <w:tcW w:type="dxa" w:w="2551"/>
            <w:shd w:val="clear" w:color="auto" w:fill="F2F7FC"/>
          </w:tcPr>
          <w:p>
            <w:r>
              <w:rPr>
                <w:sz w:val="20"/>
              </w:rPr>
              <w:t>Избегать для GNN с маленькими батчами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LayerNorm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Нормирует по признакам узла; стабильна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Хорошо для Transformer-гибридов</w:t>
            </w:r>
          </w:p>
        </w:tc>
      </w:tr>
      <w:tr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GraphNorm</w:t>
            </w:r>
          </w:p>
        </w:tc>
        <w:tc>
          <w:tcPr>
            <w:tcW w:type="dxa" w:w="4819"/>
            <w:shd w:val="clear" w:color="auto" w:fill="F2F7FC"/>
          </w:tcPr>
          <w:p>
            <w:r>
              <w:rPr>
                <w:sz w:val="20"/>
              </w:rPr>
              <w:t>Специально для GNN; learnable shift сохраняет структурную информацию узла; ICML 2021. Быстрее сходится чем BatchNorm/LayerNorm</w:t>
            </w:r>
          </w:p>
        </w:tc>
        <w:tc>
          <w:tcPr>
            <w:tcW w:type="dxa" w:w="2551"/>
            <w:shd w:val="clear" w:color="auto" w:fill="F2F7FC"/>
          </w:tcPr>
          <w:p>
            <w:r>
              <w:rPr>
                <w:sz w:val="20"/>
              </w:rPr>
              <w:t>⭐ Лучший выбор для гетерогенных GNN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InstanceNorm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Нормирует каждый граф отдельно; теряет структурную информацию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Только если одиночные графы</w:t>
            </w:r>
          </w:p>
        </w:tc>
      </w:tr>
    </w:tbl>
    <w:p/>
    <w:p>
      <w:pPr>
        <w:pStyle w:val="Heading2"/>
        <w:spacing w:before="240" w:after="80"/>
      </w:pPr>
      <w:r>
        <w:t>2.5 Число слоёв GNN и over-smoothing</w:t>
      </w:r>
    </w:p>
    <w:p>
      <w:pPr>
        <w:spacing w:after="80"/>
      </w:pPr>
      <w:r>
        <w:rPr>
          <w:b w:val="0"/>
          <w:i w:val="0"/>
        </w:rPr>
        <w:t>Одна из главных проблем глубоких GNN — over-smoothing: с увеличением числа слоёв представления узлов становятся неразличимыми. CIKM 2023 доказал, что over-smoothing и over-squashing связаны со спектральным зазором графового лапласиана и не могут быть устранены одновременно.</w:t>
      </w:r>
    </w:p>
    <w:p>
      <w:pPr>
        <w:pStyle w:val="ListBullet"/>
        <w:spacing w:after="40"/>
        <w:ind w:left="340"/>
      </w:pPr>
      <w:r>
        <w:t>2–3 слоя GNN: оптимально в большинстве задач (PyG best practices, 2024)</w:t>
      </w:r>
    </w:p>
    <w:p>
      <w:pPr>
        <w:pStyle w:val="ListBullet"/>
        <w:spacing w:after="40"/>
        <w:ind w:left="340"/>
      </w:pPr>
      <w:r>
        <w:t>Residual connections: помогают, но смещают модель в сторону локальных neighbourhood</w:t>
      </w:r>
    </w:p>
    <w:p>
      <w:pPr>
        <w:pStyle w:val="ListBullet"/>
        <w:spacing w:after="40"/>
        <w:ind w:left="340"/>
      </w:pPr>
      <w:r>
        <w:t>Для глубоких GNN (&gt;3 слоёв): GraphNorm + residual + gradient clipping</w:t>
      </w:r>
    </w:p>
    <w:p>
      <w:pPr>
        <w:spacing w:before="120" w:after="120"/>
        <w:ind w:left="283" w:right="283"/>
        <w:shd w:val="clear" w:color="auto" w:fill="FFF2CC"/>
      </w:pPr>
      <w:r>
        <w:rPr>
          <w:i/>
          <w:color w:val="785100"/>
        </w:rPr>
        <w:t>⚠️  В EntityResolutionGNN: если используется L слоёв EdgeMeanConv, начните с L=2 и проверяйте валидационные метрики. Over-smoothing при L&gt;3 вероятен на небольших графах Magellan.</w:t>
      </w:r>
    </w:p>
    <w:p>
      <w:pPr>
        <w:pStyle w:val="Heading1"/>
        <w:spacing w:before="360" w:after="120"/>
      </w:pPr>
      <w:r>
        <w:t>3. Entity Resolution: современные подходы</w:t>
      </w:r>
    </w:p>
    <w:p>
      <w:pPr>
        <w:pStyle w:val="Heading2"/>
        <w:spacing w:before="240" w:after="80"/>
      </w:pPr>
      <w:r>
        <w:t>3.1 Обзор ключевых систем</w:t>
      </w:r>
    </w:p>
    <w:p>
      <w:pPr>
        <w:spacing w:after="80"/>
      </w:pPr>
      <w:r>
        <w:rPr>
          <w:b w:val="0"/>
          <w:i w:val="0"/>
        </w:rPr>
        <w:t>За последние 3 года в области entity resolution (ER) сформировались три основных направления: (a) fine-tuning предобученных LM (BERT, RoBERTa), (b) GNN-подходы, (c) LLM-based методы. Рассмотрим каждое применительно к задаче TableUnifier.</w:t>
      </w:r>
    </w:p>
    <w:p>
      <w:pPr>
        <w:pStyle w:val="Heading3"/>
        <w:spacing w:before="160" w:after="40"/>
      </w:pPr>
      <w:r>
        <w:t>3.1.1 Ditto (VLDB 2021) — BERT-based baseline</w:t>
      </w:r>
    </w:p>
    <w:p>
      <w:pPr>
        <w:spacing w:after="80"/>
      </w:pPr>
      <w:r>
        <w:rPr>
          <w:b w:val="0"/>
          <w:i w:val="0"/>
        </w:rPr>
        <w:t>Ditto сериализует пары записей в текст и решает ER как задачу бинарной классификации sequence-pair (match/no-match) через fine-tuning BERT/DistilBERT/RoBERTa. Обгоняет DeepMatcher на 29% F1 на бенчмарках Magellan, достигая SOTA при вдвое меньшем объёме обучающих данных. Использует: data augmentation (span deletion, swap), TF-IDF summarization для длинных строк, domain-specific knowledge injection.</w:t>
      </w:r>
    </w:p>
    <w:p>
      <w:pPr>
        <w:pStyle w:val="ListBullet"/>
        <w:spacing w:after="40"/>
        <w:ind w:left="340"/>
      </w:pPr>
      <w:r>
        <w:t>Loss: Binary Cross-Entropy (классификация)</w:t>
      </w:r>
    </w:p>
    <w:p>
      <w:pPr>
        <w:pStyle w:val="ListBullet"/>
        <w:spacing w:after="40"/>
        <w:ind w:left="340"/>
      </w:pPr>
      <w:r>
        <w:t>Оптимизатор: AdamW, lr = 3e-5, epochs = 40</w:t>
      </w:r>
    </w:p>
    <w:p>
      <w:pPr>
        <w:pStyle w:val="ListBullet"/>
        <w:spacing w:after="40"/>
        <w:ind w:left="340"/>
      </w:pPr>
      <w:r>
        <w:t>Вывод для проекта: может быть сильным baseline; не использует структуру графа</w:t>
      </w:r>
    </w:p>
    <w:p>
      <w:pPr>
        <w:pStyle w:val="Heading3"/>
        <w:spacing w:before="160" w:after="40"/>
      </w:pPr>
      <w:r>
        <w:t>3.1.2 GNEM (WWW 2021) — One-to-Set GNN matching</w:t>
      </w:r>
    </w:p>
    <w:p>
      <w:pPr>
        <w:spacing w:after="80"/>
      </w:pPr>
      <w:r>
        <w:rPr>
          <w:b w:val="0"/>
          <w:i w:val="0"/>
        </w:rPr>
        <w:t>GNEM строит граф из пар записей (record-pair graph) и применяет GNN для одновременного матчинга одной записи к множеству кандидатов. Ключевая идея: решения по парам влияют друг на друга через граф. Выигрыш до +8.4% F1 над попарными методами.</w:t>
      </w:r>
    </w:p>
    <w:p>
      <w:pPr>
        <w:pStyle w:val="ListBullet"/>
        <w:spacing w:after="40"/>
        <w:ind w:left="340"/>
      </w:pPr>
      <w:r>
        <w:t>Архитектура: weighted record-pair graph + GNN propagation</w:t>
      </w:r>
    </w:p>
    <w:p>
      <w:pPr>
        <w:pStyle w:val="ListBullet"/>
        <w:spacing w:after="40"/>
        <w:ind w:left="340"/>
      </w:pPr>
      <w:r>
        <w:t>Loss: BCE с мягкими метками</w:t>
      </w:r>
    </w:p>
    <w:p>
      <w:pPr>
        <w:pStyle w:val="ListBullet"/>
        <w:spacing w:after="40"/>
        <w:ind w:left="340"/>
      </w:pPr>
      <w:r>
        <w:t>Вывод: релевантно для TableUnifier — можно рассмотреть граф пар-кандидатов</w:t>
      </w:r>
    </w:p>
    <w:p>
      <w:pPr>
        <w:pStyle w:val="Heading3"/>
        <w:spacing w:before="160" w:after="40"/>
      </w:pPr>
      <w:r>
        <w:t>3.1.3 SC-Block (ESWC 2024) — Supervised Contrastive Blocking</w:t>
      </w:r>
    </w:p>
    <w:p>
      <w:pPr>
        <w:spacing w:after="80"/>
      </w:pPr>
      <w:r>
        <w:rPr>
          <w:b w:val="0"/>
          <w:i w:val="0"/>
        </w:rPr>
        <w:t>SC-Block применяет Supervised Contrastive Learning для блокинга (первый этап ER). Сериализует записи как '[Col] attribute [Val] value', обучает sentence-transformer с SupCon loss, ищет кандидатов через nearest-neighbour в embedding space. Сокращает размер candidate set на ~50% при сохранении recall. Представляет прямую альтернативу использованию cosine similarity в EntityResolutionGNN.</w:t>
      </w:r>
    </w:p>
    <w:p>
      <w:pPr>
        <w:pStyle w:val="ListBullet"/>
        <w:spacing w:after="40"/>
        <w:ind w:left="340"/>
      </w:pPr>
      <w:r>
        <w:t>Loss: NT-Xent / Supervised Contrastive (SupCon)</w:t>
      </w:r>
    </w:p>
    <w:p>
      <w:pPr>
        <w:pStyle w:val="ListBullet"/>
        <w:spacing w:after="40"/>
        <w:ind w:left="340"/>
      </w:pPr>
      <w:r>
        <w:t>Augmentation: source-aware sampling для снижения inter-label noise</w:t>
      </w:r>
    </w:p>
    <w:p>
      <w:pPr>
        <w:pStyle w:val="ListBullet"/>
        <w:spacing w:after="40"/>
        <w:ind w:left="340"/>
      </w:pPr>
      <w:r>
        <w:t>Вывод: архитектура SupCon + nearest-neighbour поиск прямо применима к TableUnifier</w:t>
      </w:r>
    </w:p>
    <w:p>
      <w:pPr>
        <w:pStyle w:val="Heading3"/>
        <w:spacing w:before="160" w:after="40"/>
      </w:pPr>
      <w:r>
        <w:t>3.1.4 GraphER (2024) — GDD + GNN гибрид</w:t>
      </w:r>
    </w:p>
    <w:p>
      <w:pPr>
        <w:spacing w:after="80"/>
      </w:pPr>
      <w:r>
        <w:rPr>
          <w:b w:val="0"/>
          <w:i w:val="0"/>
        </w:rPr>
        <w:t>GraphER объединяет graph differential dependencies (GDD, декларативные правила матчинга) с GNN-based representation learning. Обеспечивает баланс между rule-based и learned подходами. Оценивался на 17 графовых и 7 реляционных датасетах против 10 SOTA методов.</w:t>
      </w:r>
    </w:p>
    <w:p>
      <w:pPr>
        <w:pStyle w:val="ListBullet"/>
        <w:spacing w:after="40"/>
        <w:ind w:left="340"/>
      </w:pPr>
      <w:r>
        <w:t>Вывод: идея гибрида правила+GNN интересна, но сложна в реализации для дипломной работы</w:t>
      </w:r>
    </w:p>
    <w:p>
      <w:pPr>
        <w:pStyle w:val="Heading2"/>
        <w:spacing w:before="240" w:after="80"/>
      </w:pPr>
      <w:r>
        <w:t>3.2 Schema Matching</w:t>
      </w:r>
    </w:p>
    <w:p>
      <w:pPr>
        <w:spacing w:after="80"/>
      </w:pPr>
      <w:r>
        <w:rPr>
          <w:b w:val="0"/>
          <w:i w:val="0"/>
        </w:rPr>
        <w:t>Alfa (VLDB Journal 2023–2024) применяет GNN для семантического выравнивания схем (schema alignment) с active learning для снижения потребности в разметке. LLMATCH (2025) использует LLM для трёхэтапного schema matching (preparation → candidate selection → column alignment).</w:t>
      </w:r>
    </w:p>
    <w:p>
      <w:pPr>
        <w:spacing w:before="120" w:after="120"/>
        <w:ind w:left="283" w:right="283"/>
        <w:shd w:val="clear" w:color="auto" w:fill="EBF3FB"/>
      </w:pPr>
      <w:r>
        <w:rPr>
          <w:i/>
          <w:color w:val="1F497D"/>
        </w:rPr>
        <w:t>💡  Для SchemaProjector подход с projection в метрическое пространство и triplet/contrastive loss хорошо согласуется с литературой. Ключевой вопрос — выбор loss-функции (см. раздел 4).</w:t>
      </w:r>
    </w:p>
    <w:p>
      <w:pPr>
        <w:pStyle w:val="Heading1"/>
        <w:spacing w:before="360" w:after="120"/>
      </w:pPr>
      <w:r>
        <w:t>4. Triplet Loss и альтернативы: метрическое обучение</w:t>
      </w:r>
    </w:p>
    <w:p>
      <w:pPr>
        <w:pStyle w:val="Heading2"/>
        <w:spacing w:before="240" w:after="80"/>
      </w:pPr>
      <w:r>
        <w:t>4.1 Проблемы Triplet Loss</w:t>
      </w:r>
    </w:p>
    <w:p>
      <w:pPr>
        <w:spacing w:after="80"/>
      </w:pPr>
      <w:r>
        <w:rPr>
          <w:b w:val="0"/>
          <w:i w:val="0"/>
        </w:rPr>
        <w:t>Triplet Loss является широко применяемым методом метрического обучения, но имеет ряд известных ограничений, которые особенно критичны при малых датасетах (как Magellan benchmarks):</w:t>
      </w:r>
    </w:p>
    <w:p>
      <w:pPr>
        <w:pStyle w:val="ListBullet"/>
        <w:spacing w:after="40"/>
        <w:ind w:left="340"/>
      </w:pPr>
      <w:r>
        <w:t>Только одна позитивная и одна негативная пара на якорь — неэффективное использование батча</w:t>
      </w:r>
    </w:p>
    <w:p>
      <w:pPr>
        <w:pStyle w:val="ListBullet"/>
        <w:spacing w:after="40"/>
        <w:ind w:left="340"/>
      </w:pPr>
      <w:r>
        <w:t>Hard negative mining: при выборе только hardest negatives возникают нестабильные градиенты и вырожденные локальные минимумы (FaceNet, 2015)</w:t>
      </w:r>
    </w:p>
    <w:p>
      <w:pPr>
        <w:pStyle w:val="ListBullet"/>
        <w:spacing w:after="40"/>
        <w:ind w:left="340"/>
      </w:pPr>
      <w:r>
        <w:t>Semi-hard mining стабильнее, но требует аккуратной реализации и тюнинга</w:t>
      </w:r>
    </w:p>
    <w:p>
      <w:pPr>
        <w:pStyle w:val="ListBullet"/>
        <w:spacing w:after="40"/>
        <w:ind w:left="340"/>
      </w:pPr>
      <w:r>
        <w:t>Медленная сходимость при случайном семплировании триплетов</w:t>
      </w:r>
    </w:p>
    <w:p>
      <w:pPr>
        <w:pStyle w:val="ListBullet"/>
        <w:spacing w:after="40"/>
        <w:ind w:left="340"/>
      </w:pPr>
      <w:r>
        <w:t>Высокая чувствительность к гиперпараметру margin</w:t>
      </w:r>
    </w:p>
    <w:p>
      <w:pPr>
        <w:spacing w:before="120" w:after="120"/>
        <w:ind w:left="283" w:right="283"/>
        <w:shd w:val="clear" w:color="auto" w:fill="FFF2CC"/>
      </w:pPr>
      <w:r>
        <w:rPr>
          <w:i/>
          <w:color w:val="785100"/>
        </w:rPr>
        <w:t>⚠️  FaceNet (оригинальная статья) показал: обучение только на hard negatives ведёт к коллапсу в дегенеративные локальные минимумы. Semi-hard mining (как у вас сейчас) — правильный выбор, но не единственный.</w:t>
      </w:r>
    </w:p>
    <w:p>
      <w:pPr>
        <w:pStyle w:val="Heading2"/>
        <w:spacing w:before="240" w:after="80"/>
      </w:pPr>
      <w:r>
        <w:t>4.2 Современные альтернативы</w:t>
      </w:r>
    </w:p>
    <w:p>
      <w:pPr>
        <w:pStyle w:val="Heading3"/>
        <w:spacing w:before="160" w:after="40"/>
      </w:pPr>
      <w:r>
        <w:t>4.2.1 NT-Xent / InfoNCE (SimCLR, 2020)</w:t>
      </w:r>
    </w:p>
    <w:p>
      <w:pPr>
        <w:spacing w:after="80"/>
      </w:pPr>
      <w:r>
        <w:rPr>
          <w:b w:val="0"/>
          <w:i w:val="0"/>
        </w:rPr>
        <w:t>Normalized Temperature-scaled Cross-Entropy Loss. Для каждого якоря в батче все остальные примеры трактуются как негативы, положительный пример — аугментация/пара. Это автоматически обеспечивает O(N) негативов на якорь при батче размера N.</w:t>
      </w:r>
    </w:p>
    <w:p>
      <w:pPr>
        <w:pStyle w:val="ListBullet"/>
        <w:spacing w:after="40"/>
        <w:ind w:left="340"/>
      </w:pPr>
      <w:r>
        <w:t>Ключевой параметр: температура τ = 0.1–0.5. Меньше τ → резче границы, но нестабильнее</w:t>
      </w:r>
    </w:p>
    <w:p>
      <w:pPr>
        <w:pStyle w:val="ListBullet"/>
        <w:spacing w:after="40"/>
        <w:ind w:left="340"/>
      </w:pPr>
      <w:r>
        <w:t>Сильно зависит от размера батча: больше батч → больше негативов → лучше качество</w:t>
      </w:r>
    </w:p>
    <w:p>
      <w:pPr>
        <w:pStyle w:val="ListBullet"/>
        <w:spacing w:after="40"/>
        <w:ind w:left="340"/>
      </w:pPr>
      <w:r>
        <w:t>Нормализация L2 embeddings обязательна перед вычислением loss</w:t>
      </w:r>
    </w:p>
    <w:p>
      <w:pPr>
        <w:pStyle w:val="ListBullet"/>
        <w:spacing w:after="40"/>
        <w:ind w:left="340"/>
      </w:pPr>
      <w:r>
        <w:t>Типичные параметры: batch_size=256–1024, τ=0.07–0.2 (SimCLR)</w:t>
      </w:r>
    </w:p>
    <w:p>
      <w:pPr>
        <w:pStyle w:val="Heading3"/>
        <w:spacing w:before="160" w:after="40"/>
      </w:pPr>
      <w:r>
        <w:t>4.2.2 SupCon — Supervised Contrastive Loss (NeurIPS 2020)</w:t>
      </w:r>
    </w:p>
    <w:p>
      <w:pPr>
        <w:spacing w:after="80"/>
      </w:pPr>
      <w:r>
        <w:rPr>
          <w:b w:val="0"/>
          <w:i w:val="0"/>
        </w:rPr>
        <w:t>Обобщение NT-Xent с использованием label information. Для каждого якоря: все примеры того же класса — позитивы, все остальные — негативы. Принципиальные преимущества перед Triplet Loss:</w:t>
      </w:r>
    </w:p>
    <w:p>
      <w:pPr>
        <w:pStyle w:val="ListBullet"/>
        <w:spacing w:after="40"/>
        <w:ind w:left="340"/>
      </w:pPr>
      <w:r>
        <w:t>Multi-positive, multi-negative: использует ВСЕ позитивы в батче одновременно</w:t>
      </w:r>
    </w:p>
    <w:p>
      <w:pPr>
        <w:pStyle w:val="ListBullet"/>
        <w:spacing w:after="40"/>
        <w:ind w:left="340"/>
      </w:pPr>
      <w:r>
        <w:t>Hard mining intrinsic: не нужны дополнительные стратегии — сложные примеры автоматически получают больший вес в loss</w:t>
      </w:r>
    </w:p>
    <w:p>
      <w:pPr>
        <w:pStyle w:val="ListBullet"/>
        <w:spacing w:after="40"/>
        <w:ind w:left="340"/>
      </w:pPr>
      <w:r>
        <w:t>+1% accuracy vs cross-entropy на CIFAR-10 (96.0% vs 95.0%) и CIFAR-100 (76.5% vs 75.3%)</w:t>
      </w:r>
    </w:p>
    <w:p>
      <w:pPr>
        <w:pStyle w:val="ListBullet"/>
        <w:spacing w:after="40"/>
        <w:ind w:left="340"/>
      </w:pPr>
      <w:r>
        <w:t>SC-Block (ESWC 2024) использует SupCon для entity resolution blocking с SOTA результатами</w:t>
      </w:r>
    </w:p>
    <w:p>
      <w:pPr>
        <w:spacing w:before="120" w:after="120"/>
        <w:ind w:left="283" w:right="283"/>
        <w:shd w:val="clear" w:color="auto" w:fill="EBF3FB"/>
      </w:pPr>
      <w:r>
        <w:rPr>
          <w:i/>
          <w:color w:val="1F497D"/>
        </w:rPr>
        <w:t>💡  SupCon — наиболее обоснованная альтернатива Triplet Loss для SchemaProjector. Для обучения нужны метки соответствия столбцов (match/no-match), которые уже есть в датасетах Magellan.</w:t>
      </w:r>
    </w:p>
    <w:p>
      <w:pPr>
        <w:pStyle w:val="Heading3"/>
        <w:spacing w:before="160" w:after="40"/>
      </w:pPr>
      <w:r>
        <w:t>4.2.3 Quadruplet Loss</w:t>
      </w:r>
    </w:p>
    <w:p>
      <w:pPr>
        <w:spacing w:after="80"/>
      </w:pPr>
      <w:r>
        <w:rPr>
          <w:b w:val="0"/>
          <w:i w:val="0"/>
        </w:rPr>
        <w:t>Расширяет Triplet Loss четвёртым примером (второй негатив). Минимизирует intra-class variance сильнее triplet, обеспечивает лучшие decision boundaries. Но сложнее в реализации и требует больше памяти.</w:t>
      </w:r>
    </w:p>
    <w:p>
      <w:pPr>
        <w:pStyle w:val="Heading3"/>
        <w:spacing w:before="160" w:after="40"/>
      </w:pPr>
      <w:r>
        <w:t>4.2.4 MultiSimilarity Loss (2019)</w:t>
      </w:r>
    </w:p>
    <w:p>
      <w:pPr>
        <w:spacing w:after="80"/>
      </w:pPr>
      <w:r>
        <w:rPr>
          <w:b w:val="0"/>
          <w:i w:val="0"/>
        </w:rPr>
        <w:t>Учитывает три типа сходства пар: self-similarity, relative similarity, negative similarity. Один из наиболее сильных методов deep metric learning по сводным бенчмаркам. Реализован в pytorch-metric-learning.</w:t>
      </w:r>
    </w:p>
    <w:p>
      <w:pPr>
        <w:pStyle w:val="Heading3"/>
        <w:spacing w:before="160" w:after="40"/>
      </w:pPr>
      <w:r>
        <w:t>4.2.5 ArcFace / CosFace (Margin-based softmax)</w:t>
      </w:r>
    </w:p>
    <w:p>
      <w:pPr>
        <w:spacing w:after="80"/>
      </w:pPr>
      <w:r>
        <w:rPr>
          <w:b w:val="0"/>
          <w:i w:val="0"/>
        </w:rPr>
        <w:t>Для задач с фиксированными классами (например, матчинг конкретных таблиц) margin-based classification losses дают очень сильные embeddings. Однако требуют известного числа классов при обучении — не всегда применимо.</w:t>
      </w:r>
    </w:p>
    <w:p>
      <w:pPr>
        <w:pStyle w:val="Heading2"/>
        <w:spacing w:before="240" w:after="80"/>
      </w:pPr>
      <w:r>
        <w:t>4.3 Сравнительная таблица loss-функций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val="clear" w:color="auto" w:fill="1F497D"/>
          </w:tcPr>
          <w:p>
            <w:r>
              <w:rPr>
                <w:b/>
                <w:color w:val="FFFFFF"/>
              </w:rPr>
              <w:t>Loss</w:t>
            </w:r>
          </w:p>
        </w:tc>
        <w:tc>
          <w:tcPr>
            <w:tcW w:type="dxa" w:w="1587"/>
            <w:shd w:val="clear" w:color="auto" w:fill="1F497D"/>
          </w:tcPr>
          <w:p>
            <w:r>
              <w:rPr>
                <w:b/>
                <w:color w:val="FFFFFF"/>
              </w:rPr>
              <w:t>Позитивов на якорь</w:t>
            </w:r>
          </w:p>
        </w:tc>
        <w:tc>
          <w:tcPr>
            <w:tcW w:type="dxa" w:w="1587"/>
            <w:shd w:val="clear" w:color="auto" w:fill="1F497D"/>
          </w:tcPr>
          <w:p>
            <w:r>
              <w:rPr>
                <w:b/>
                <w:color w:val="FFFFFF"/>
              </w:rPr>
              <w:t>Негативов на якорь</w:t>
            </w:r>
          </w:p>
        </w:tc>
        <w:tc>
          <w:tcPr>
            <w:tcW w:type="dxa" w:w="1984"/>
            <w:shd w:val="clear" w:color="auto" w:fill="1F497D"/>
          </w:tcPr>
          <w:p>
            <w:r>
              <w:rPr>
                <w:b/>
                <w:color w:val="FFFFFF"/>
              </w:rPr>
              <w:t>Hard Mining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b/>
                <w:color w:val="FFFFFF"/>
              </w:rPr>
              <w:t>Зависимость от батча</w:t>
            </w:r>
          </w:p>
        </w:tc>
        <w:tc>
          <w:tcPr>
            <w:tcW w:type="dxa" w:w="1928"/>
            <w:shd w:val="clear" w:color="auto" w:fill="1F497D"/>
          </w:tcPr>
          <w:p>
            <w:r>
              <w:rPr>
                <w:b/>
                <w:color w:val="FFFFFF"/>
              </w:rPr>
              <w:t>Рекомендация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r>
              <w:rPr>
                <w:sz w:val="20"/>
              </w:rPr>
              <w:t>Triplet Loss</w:t>
            </w:r>
          </w:p>
        </w:tc>
        <w:tc>
          <w:tcPr>
            <w:tcW w:type="dxa" w:w="1587"/>
            <w:shd w:val="clear" w:color="auto" w:fill="F2F7FC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587"/>
            <w:shd w:val="clear" w:color="auto" w:fill="F2F7FC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Нужна отдельная стратегия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Низкая</w:t>
            </w:r>
          </w:p>
        </w:tc>
        <w:tc>
          <w:tcPr>
            <w:tcW w:type="dxa" w:w="1928"/>
            <w:shd w:val="clear" w:color="auto" w:fill="F2F7FC"/>
          </w:tcPr>
          <w:p>
            <w:r>
              <w:rPr>
                <w:sz w:val="20"/>
              </w:rPr>
              <w:t>Работает, но неэффективен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NT-Xent/InfoNCE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N-1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Intrinsic (через τ)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Высокая (нужен большой батч)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sz w:val="20"/>
              </w:rPr>
              <w:t>Хорошо при batch≥256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r>
              <w:rPr>
                <w:sz w:val="20"/>
              </w:rPr>
              <w:t>SupCon</w:t>
            </w:r>
          </w:p>
        </w:tc>
        <w:tc>
          <w:tcPr>
            <w:tcW w:type="dxa" w:w="1587"/>
            <w:shd w:val="clear" w:color="auto" w:fill="F2F7FC"/>
          </w:tcPr>
          <w:p>
            <w:r>
              <w:rPr>
                <w:sz w:val="20"/>
              </w:rPr>
              <w:t>Все в классе</w:t>
            </w:r>
          </w:p>
        </w:tc>
        <w:tc>
          <w:tcPr>
            <w:tcW w:type="dxa" w:w="1587"/>
            <w:shd w:val="clear" w:color="auto" w:fill="F2F7FC"/>
          </w:tcPr>
          <w:p>
            <w:r>
              <w:rPr>
                <w:sz w:val="20"/>
              </w:rPr>
              <w:t>Все вне класса</w:t>
            </w:r>
          </w:p>
        </w:tc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Intrinsic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Средняя</w:t>
            </w:r>
          </w:p>
        </w:tc>
        <w:tc>
          <w:tcPr>
            <w:tcW w:type="dxa" w:w="1928"/>
            <w:shd w:val="clear" w:color="auto" w:fill="F2F7FC"/>
          </w:tcPr>
          <w:p>
            <w:r>
              <w:rPr>
                <w:sz w:val="20"/>
              </w:rPr>
              <w:t>⭐ Лучший выбор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Quadruplet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Нужна стратегия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Низкая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sz w:val="20"/>
              </w:rPr>
              <w:t>Улучшение над triplet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r>
              <w:rPr>
                <w:sz w:val="20"/>
              </w:rPr>
              <w:t>MultiSimilarity</w:t>
            </w:r>
          </w:p>
        </w:tc>
        <w:tc>
          <w:tcPr>
            <w:tcW w:type="dxa" w:w="1587"/>
            <w:shd w:val="clear" w:color="auto" w:fill="F2F7FC"/>
          </w:tcPr>
          <w:p>
            <w:r>
              <w:rPr>
                <w:sz w:val="20"/>
              </w:rPr>
              <w:t>Несколько</w:t>
            </w:r>
          </w:p>
        </w:tc>
        <w:tc>
          <w:tcPr>
            <w:tcW w:type="dxa" w:w="1587"/>
            <w:shd w:val="clear" w:color="auto" w:fill="F2F7FC"/>
          </w:tcPr>
          <w:p>
            <w:r>
              <w:rPr>
                <w:sz w:val="20"/>
              </w:rPr>
              <w:t>Несколько</w:t>
            </w:r>
          </w:p>
        </w:tc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Intrinsic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Средняя</w:t>
            </w:r>
          </w:p>
        </w:tc>
        <w:tc>
          <w:tcPr>
            <w:tcW w:type="dxa" w:w="1928"/>
            <w:shd w:val="clear" w:color="auto" w:fill="F2F7FC"/>
          </w:tcPr>
          <w:p>
            <w:r>
              <w:rPr>
                <w:sz w:val="20"/>
              </w:rPr>
              <w:t>Сильный, но сложнее тюнинг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BCE (классификация)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Не нужна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Низкая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sz w:val="20"/>
              </w:rPr>
              <w:t>Для бинарного матчинга (Ditto)</w:t>
            </w:r>
          </w:p>
        </w:tc>
      </w:tr>
    </w:tbl>
    <w:p/>
    <w:p>
      <w:pPr>
        <w:pStyle w:val="Heading2"/>
        <w:spacing w:before="240" w:after="80"/>
      </w:pPr>
      <w:r>
        <w:t>4.4 Рекомендации для проекта</w:t>
      </w:r>
    </w:p>
    <w:p>
      <w:pPr>
        <w:spacing w:after="80"/>
      </w:pPr>
      <w:r>
        <w:rPr>
          <w:b w:val="0"/>
          <w:i w:val="0"/>
        </w:rPr>
        <w:t>На основе анализа литературы — конкретные рекомендации:</w:t>
      </w:r>
    </w:p>
    <w:p>
      <w:pPr>
        <w:pStyle w:val="Heading3"/>
        <w:spacing w:before="160" w:after="40"/>
      </w:pPr>
      <w:r>
        <w:t>Для SchemaProjector (MLP, column embeddings → 256-dim)</w:t>
      </w:r>
    </w:p>
    <w:p>
      <w:pPr>
        <w:pStyle w:val="ListBullet"/>
        <w:spacing w:after="40"/>
        <w:ind w:left="340"/>
      </w:pPr>
      <w:r>
        <w:t>Основная рекомендация: заменить Triplet Loss на SupCon. Реализация: torch_metric_learning.losses.SupConLoss или github.com/HobbitLong/SupContrast (150 строк PyTorch)</w:t>
      </w:r>
    </w:p>
    <w:p>
      <w:pPr>
        <w:pStyle w:val="ListBullet"/>
        <w:spacing w:after="40"/>
        <w:ind w:left="340"/>
      </w:pPr>
      <w:r>
        <w:t>Батч: формировать батчи так, чтобы в каждом было несколько позитивных пар столбцов (source-aware sampling как в SC-Block)</w:t>
      </w:r>
    </w:p>
    <w:p>
      <w:pPr>
        <w:pStyle w:val="ListBullet"/>
        <w:spacing w:after="40"/>
        <w:ind w:left="340"/>
      </w:pPr>
      <w:r>
        <w:t>Температура: τ = 0.07–0.1 как начало; тюнить через Optuna в диапазоне 0.05–0.5</w:t>
      </w:r>
    </w:p>
    <w:p>
      <w:pPr>
        <w:pStyle w:val="ListBullet"/>
        <w:spacing w:after="40"/>
        <w:ind w:left="340"/>
      </w:pPr>
      <w:r>
        <w:t>Если SupCon сложно интегрировать: NT-Xent с batch_size≥128 — следующий лучший вариант</w:t>
      </w:r>
    </w:p>
    <w:p>
      <w:pPr>
        <w:pStyle w:val="ListBullet"/>
        <w:spacing w:after="40"/>
        <w:ind w:left="340"/>
      </w:pPr>
      <w:r>
        <w:t>Triplet Loss с semi-hard mining (текущее решение) — приемлемо, но менее эффективно</w:t>
      </w:r>
    </w:p>
    <w:p>
      <w:pPr>
        <w:pStyle w:val="Heading3"/>
        <w:spacing w:before="160" w:after="40"/>
      </w:pPr>
      <w:r>
        <w:t>Для EntityResolutionGNN (cosine similarity → дубликаты)</w:t>
      </w:r>
    </w:p>
    <w:p>
      <w:pPr>
        <w:pStyle w:val="ListBullet"/>
        <w:spacing w:after="40"/>
        <w:ind w:left="340"/>
      </w:pPr>
      <w:r>
        <w:t>Рассмотреть замену пороговой классификации на явный binary classification head (BCE), как в Ditto. Это устраняет необходимость тюнинга порога.</w:t>
      </w:r>
    </w:p>
    <w:p>
      <w:pPr>
        <w:pStyle w:val="ListBullet"/>
        <w:spacing w:after="40"/>
        <w:ind w:left="340"/>
      </w:pPr>
      <w:r>
        <w:t>Альтернативно: NT-Xent на row embeddings с парами match/no-match как позитивы/негативы</w:t>
      </w:r>
    </w:p>
    <w:p>
      <w:pPr>
        <w:pStyle w:val="ListBullet"/>
        <w:spacing w:after="40"/>
        <w:ind w:left="340"/>
      </w:pPr>
      <w:r>
        <w:t>Если оставить cosine + threshold: threshold должен подбираться на val, а не быть фиксированным</w:t>
      </w:r>
    </w:p>
    <w:p>
      <w:pPr>
        <w:pStyle w:val="Heading1"/>
        <w:spacing w:before="360" w:after="120"/>
      </w:pPr>
      <w:r>
        <w:t>5. Сводная таблица рекомендуемых гиперпараметров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497D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1984"/>
            <w:shd w:val="clear" w:color="auto" w:fill="1F497D"/>
          </w:tcPr>
          <w:p>
            <w:r>
              <w:rPr>
                <w:b/>
                <w:color w:val="FFFFFF"/>
              </w:rPr>
              <w:t>Текущее значение (если известно)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b/>
                <w:color w:val="FFFFFF"/>
              </w:rPr>
              <w:t>Рекомендация из литературы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b/>
                <w:color w:val="FFFFFF"/>
              </w:rPr>
              <w:t>Источник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Оптимизатор</w:t>
            </w:r>
          </w:p>
        </w:tc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Adam (предположительно)</w:t>
            </w:r>
          </w:p>
        </w:tc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AdamW</w:t>
            </w:r>
          </w:p>
        </w:tc>
        <w:tc>
          <w:tcPr>
            <w:tcW w:type="dxa" w:w="2268"/>
            <w:shd w:val="clear" w:color="auto" w:fill="F2F7FC"/>
          </w:tcPr>
          <w:p>
            <w:r>
              <w:rPr>
                <w:sz w:val="20"/>
              </w:rPr>
              <w:t>PyG best practices, HuggingFace Transformers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Learning Rate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Optuna подбор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1e-3..5e-4 для MLP/GNN; 2e-5..5e-5 для BERT-компонентов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Ditto (VLDB 2021), SC-Block (ESWC 2024)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Weight Decay</w:t>
            </w:r>
          </w:p>
        </w:tc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1e-4..5e-4 (AdamW); 5e-4 (Adam)</w:t>
            </w:r>
          </w:p>
        </w:tc>
        <w:tc>
          <w:tcPr>
            <w:tcW w:type="dxa" w:w="2268"/>
            <w:shd w:val="clear" w:color="auto" w:fill="F2F7FC"/>
          </w:tcPr>
          <w:p>
            <w:r>
              <w:rPr>
                <w:sz w:val="20"/>
              </w:rPr>
              <w:t>PyG documentation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LR Scheduler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CosineAnnealingWarmRestarts; warmup 5–10%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Standard practice 2023–2024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0.3–0.5</w:t>
            </w:r>
          </w:p>
        </w:tc>
        <w:tc>
          <w:tcPr>
            <w:tcW w:type="dxa" w:w="2268"/>
            <w:shd w:val="clear" w:color="auto" w:fill="F2F7FC"/>
          </w:tcPr>
          <w:p>
            <w:r>
              <w:rPr>
                <w:sz w:val="20"/>
              </w:rPr>
              <w:t>PyG examples, GNN literature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GNN слои (L)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Optuna подбор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2–3 (over-smoothing при L&gt;3)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CIKM 2023, PyG best practices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Нормализация</w:t>
            </w:r>
          </w:p>
        </w:tc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GraphNorm &gt; LayerNorm &gt; BatchNorm</w:t>
            </w:r>
          </w:p>
        </w:tc>
        <w:tc>
          <w:tcPr>
            <w:tcW w:type="dxa" w:w="2268"/>
            <w:shd w:val="clear" w:color="auto" w:fill="F2F7FC"/>
          </w:tcPr>
          <w:p>
            <w:r>
              <w:rPr>
                <w:sz w:val="20"/>
              </w:rPr>
              <w:t>GraphNorm (ICML 2021)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Residual connections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Рекомендуется при L≥3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CIKM 2023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Loss (Schema)</w:t>
            </w:r>
          </w:p>
        </w:tc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TripletLoss (semi-hard)</w:t>
            </w:r>
          </w:p>
        </w:tc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SupCon / NT-Xent</w:t>
            </w:r>
          </w:p>
        </w:tc>
        <w:tc>
          <w:tcPr>
            <w:tcW w:type="dxa" w:w="2268"/>
            <w:shd w:val="clear" w:color="auto" w:fill="F2F7FC"/>
          </w:tcPr>
          <w:p>
            <w:r>
              <w:rPr>
                <w:sz w:val="20"/>
              </w:rPr>
              <w:t>SC-Block (ESWC 2024), SupCon (NeurIPS 2020)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Loss (ER)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Cosine similarity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BCE classification head / NT-Xent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Ditto (VLDB 2021), GNEM (WWW 2021)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Triplet margin</w:t>
            </w:r>
          </w:p>
        </w:tc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Optuna подбор</w:t>
            </w:r>
          </w:p>
        </w:tc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0.1–0.5 (если Triplet Loss)</w:t>
            </w:r>
          </w:p>
        </w:tc>
        <w:tc>
          <w:tcPr>
            <w:tcW w:type="dxa" w:w="2268"/>
            <w:shd w:val="clear" w:color="auto" w:fill="F2F7FC"/>
          </w:tcPr>
          <w:p>
            <w:r>
              <w:rPr>
                <w:sz w:val="20"/>
              </w:rPr>
              <w:t>FaceNet, pytorch-metric-learning docs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NT-Xent температура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τ = 0.07–0.2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SimCLR (2020)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64–256 для GNN; ≥256 для NT-Xent</w:t>
            </w:r>
          </w:p>
        </w:tc>
        <w:tc>
          <w:tcPr>
            <w:tcW w:type="dxa" w:w="2268"/>
            <w:shd w:val="clear" w:color="auto" w:fill="F2F7FC"/>
          </w:tcPr>
          <w:p>
            <w:r>
              <w:rPr>
                <w:sz w:val="20"/>
              </w:rPr>
              <w:t>SimCLR (2020), SC-Block (ESWC 2024)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Gradient Clipping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max_norm=1.0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Стандарт для RNN/GNN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Early Stopping</w:t>
            </w:r>
          </w:p>
        </w:tc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patience=10–20 эпох</w:t>
            </w:r>
          </w:p>
        </w:tc>
        <w:tc>
          <w:tcPr>
            <w:tcW w:type="dxa" w:w="2268"/>
            <w:shd w:val="clear" w:color="auto" w:fill="F2F7FC"/>
          </w:tcPr>
          <w:p>
            <w:r>
              <w:rPr>
                <w:sz w:val="20"/>
              </w:rPr>
              <w:t>Общая практика</w:t>
            </w:r>
          </w:p>
        </w:tc>
      </w:tr>
    </w:tbl>
    <w:p/>
    <w:p>
      <w:pPr>
        <w:pStyle w:val="Heading1"/>
        <w:spacing w:before="360" w:after="120"/>
      </w:pPr>
      <w:r>
        <w:t>6. Выводы и приоритеты экспериментов</w:t>
      </w:r>
    </w:p>
    <w:p>
      <w:pPr>
        <w:pStyle w:val="Heading2"/>
        <w:spacing w:before="240" w:after="80"/>
      </w:pPr>
      <w:r>
        <w:t>6.1 По training setup</w:t>
      </w:r>
    </w:p>
    <w:p>
      <w:pPr>
        <w:pStyle w:val="ListBullet"/>
        <w:spacing w:after="40"/>
        <w:ind w:left="340"/>
      </w:pPr>
      <w:r>
        <w:t>Переключиться на AdamW + CosineAnnealingWarmRestarts — изменение малозатратное, эффект на обобщение подтверждён литературой</w:t>
      </w:r>
    </w:p>
    <w:p>
      <w:pPr>
        <w:pStyle w:val="ListBullet"/>
        <w:spacing w:after="40"/>
        <w:ind w:left="340"/>
      </w:pPr>
      <w:r>
        <w:t>Добавить GraphNorm после каждого слоя EdgeMeanConv — ICML 2021, доказано работает лучше BatchNorm для GNN</w:t>
      </w:r>
    </w:p>
    <w:p>
      <w:pPr>
        <w:pStyle w:val="ListBullet"/>
        <w:spacing w:after="40"/>
        <w:ind w:left="340"/>
      </w:pPr>
      <w:r>
        <w:t>Зафиксировать L=2 как default для GNN, тестировать L=3 — согласно over-smoothing исследованиям</w:t>
      </w:r>
    </w:p>
    <w:p>
      <w:pPr>
        <w:pStyle w:val="ListBullet"/>
        <w:spacing w:after="40"/>
        <w:ind w:left="340"/>
      </w:pPr>
      <w:r>
        <w:t>Early stopping с patience=15, мониторинг F1 на val (а не только loss)</w:t>
      </w:r>
    </w:p>
    <w:p>
      <w:pPr>
        <w:pStyle w:val="Heading2"/>
        <w:spacing w:before="240" w:after="80"/>
      </w:pPr>
      <w:r>
        <w:t>6.2 По loss-функциям</w:t>
      </w:r>
    </w:p>
    <w:p>
      <w:pPr>
        <w:pStyle w:val="ListBullet"/>
        <w:spacing w:after="40"/>
        <w:ind w:left="340"/>
      </w:pPr>
      <w:r>
        <w:t>Высокий приоритет: сравнить Triplet Loss (текущий) vs SupCon на SchemaProjector. Ожидаемый прирост: +2–5% на задачах schema matching</w:t>
      </w:r>
    </w:p>
    <w:p>
      <w:pPr>
        <w:pStyle w:val="ListBullet"/>
        <w:spacing w:after="40"/>
        <w:ind w:left="340"/>
      </w:pPr>
      <w:r>
        <w:t>Средний приоритет: попробовать NT-Xent для EntityResolutionGNN вместо порогового cosine similarity</w:t>
      </w:r>
    </w:p>
    <w:p>
      <w:pPr>
        <w:pStyle w:val="ListBullet"/>
        <w:spacing w:after="40"/>
        <w:ind w:left="340"/>
      </w:pPr>
      <w:r>
        <w:t>Низкий приоритет: QuadrupletLoss, MultiSimilarity — более сложны в реализации, прирост над SupCon меньше</w:t>
      </w:r>
    </w:p>
    <w:p>
      <w:pPr>
        <w:pStyle w:val="Heading2"/>
        <w:spacing w:before="240" w:after="80"/>
      </w:pPr>
      <w:r>
        <w:t>6.3 По архитектуре</w:t>
      </w:r>
    </w:p>
    <w:p>
      <w:pPr>
        <w:pStyle w:val="ListBullet"/>
        <w:spacing w:after="40"/>
        <w:ind w:left="340"/>
      </w:pPr>
      <w:r>
        <w:t>Рассмотреть явный binary classification head (Linear → Sigmoid → BCE) для entity resolution — это то, что используют Ditto и большинство SOTA методов</w:t>
      </w:r>
    </w:p>
    <w:p>
      <w:pPr>
        <w:pStyle w:val="ListBullet"/>
        <w:spacing w:after="40"/>
        <w:ind w:left="340"/>
      </w:pPr>
      <w:r>
        <w:t>Source-aware sampling при формировании батчей для contrastive learning — ключевой трюк SC-Block для снижения шума в метках</w:t>
      </w:r>
    </w:p>
    <w:p>
      <w:pPr>
        <w:pStyle w:val="ListBullet"/>
        <w:spacing w:after="40"/>
        <w:ind w:left="340"/>
      </w:pPr>
      <w:r>
        <w:t>Residual connections между слоями EdgeMeanConv — при L≥2</w:t>
      </w:r>
    </w:p>
    <w:p>
      <w:pPr>
        <w:spacing w:before="120" w:after="120"/>
        <w:ind w:left="283" w:right="283"/>
        <w:shd w:val="clear" w:color="auto" w:fill="EBF3FB"/>
      </w:pPr>
      <w:r>
        <w:rPr>
          <w:i/>
          <w:color w:val="1F497D"/>
        </w:rPr>
        <w:t>💡  Дипломная работа: наиболее сильный аргумент — ablation study, сравнивающий Triplet Loss vs SupCon на одних и тех же данных Magellan. Это методологически чисто и прямо подкреплено литературой (SC-Block, ESWC 2024).</w:t>
      </w:r>
    </w:p>
    <w:p>
      <w:pPr>
        <w:pStyle w:val="Heading1"/>
        <w:spacing w:before="360" w:after="120"/>
      </w:pPr>
      <w:r>
        <w:t>7. Ключевые источники</w:t>
      </w:r>
    </w:p>
    <w:p>
      <w:pPr>
        <w:spacing w:after="60"/>
        <w:ind w:left="227"/>
      </w:pPr>
      <w:r>
        <w:rPr>
          <w:b/>
          <w:color w:val="1F497D"/>
        </w:rPr>
        <w:t xml:space="preserve">Ditto (VLDB 2021): </w:t>
      </w:r>
      <w:r>
        <w:t>Li et al. Deep Entity Matching with Pre-Trained Language Models. VLDB 2021. github.com/megagonlabs/ditto</w:t>
      </w:r>
    </w:p>
    <w:p>
      <w:pPr>
        <w:spacing w:after="60"/>
        <w:ind w:left="227"/>
      </w:pPr>
      <w:r>
        <w:rPr>
          <w:b/>
          <w:color w:val="1F497D"/>
        </w:rPr>
        <w:t xml:space="preserve">GNEM (WWW 2021): </w:t>
      </w:r>
      <w:r>
        <w:t>A Generic One-to-Set Neural Entity Matching Framework. WWW 2021.</w:t>
      </w:r>
    </w:p>
    <w:p>
      <w:pPr>
        <w:spacing w:after="60"/>
        <w:ind w:left="227"/>
      </w:pPr>
      <w:r>
        <w:rPr>
          <w:b/>
          <w:color w:val="1F497D"/>
        </w:rPr>
        <w:t xml:space="preserve">SC-Block (ESWC 2024): </w:t>
      </w:r>
      <w:r>
        <w:t>Brinkmann, Shraga, Bizer. Supervised Contrastive Blocking within Entity Resolution Pipelines. ESWC 2024. github.com/wbsg-uni-mannheim/SC-Block</w:t>
      </w:r>
    </w:p>
    <w:p>
      <w:pPr>
        <w:spacing w:after="60"/>
        <w:ind w:left="227"/>
      </w:pPr>
      <w:r>
        <w:rPr>
          <w:b/>
          <w:color w:val="1F497D"/>
        </w:rPr>
        <w:t xml:space="preserve">GraphER (2024): </w:t>
      </w:r>
      <w:r>
        <w:t>When GDD meets GNN: A Knowledge-driven Neural Connection for Effective Entity Resolution. arxiv 2410.04783</w:t>
      </w:r>
    </w:p>
    <w:p>
      <w:pPr>
        <w:spacing w:after="60"/>
        <w:ind w:left="227"/>
      </w:pPr>
      <w:r>
        <w:rPr>
          <w:b/>
          <w:color w:val="1F497D"/>
        </w:rPr>
        <w:t xml:space="preserve">GraphNorm (ICML 2021): </w:t>
      </w:r>
      <w:r>
        <w:t>Cai et al. GraphNorm: A Principled Approach to Accelerating Graph Neural Network Training. ICML 2021. github.com/lsj2408/GraphNorm</w:t>
      </w:r>
    </w:p>
    <w:p>
      <w:pPr>
        <w:spacing w:after="60"/>
        <w:ind w:left="227"/>
      </w:pPr>
      <w:r>
        <w:rPr>
          <w:b/>
          <w:color w:val="1F497D"/>
        </w:rPr>
        <w:t xml:space="preserve">Over-smoothing/squashing (CIKM 2023): </w:t>
      </w:r>
      <w:r>
        <w:t>On the Trade-off between Over-smoothing and Over-squashing in Deep GNNs. ACM CIKM 2023.</w:t>
      </w:r>
    </w:p>
    <w:p>
      <w:pPr>
        <w:spacing w:after="60"/>
        <w:ind w:left="227"/>
      </w:pPr>
      <w:r>
        <w:rPr>
          <w:b/>
          <w:color w:val="1F497D"/>
        </w:rPr>
        <w:t xml:space="preserve">SupCon (NeurIPS 2020): </w:t>
      </w:r>
      <w:r>
        <w:t>Khosla et al. Supervised Contrastive Learning. NeurIPS 2020. github.com/HobbitLong/SupContrast</w:t>
      </w:r>
    </w:p>
    <w:p>
      <w:pPr>
        <w:spacing w:after="60"/>
        <w:ind w:left="227"/>
      </w:pPr>
      <w:r>
        <w:rPr>
          <w:b/>
          <w:color w:val="1F497D"/>
        </w:rPr>
        <w:t xml:space="preserve">SimCLR / NT-Xent (2020): </w:t>
      </w:r>
      <w:r>
        <w:t>Chen et al. A Simple Framework for Contrastive Learning of Visual Representations. ICML 2020.</w:t>
      </w:r>
    </w:p>
    <w:p>
      <w:pPr>
        <w:spacing w:after="60"/>
        <w:ind w:left="227"/>
      </w:pPr>
      <w:r>
        <w:rPr>
          <w:b/>
          <w:color w:val="1F497D"/>
        </w:rPr>
        <w:t xml:space="preserve">FaceNet (2015): </w:t>
      </w:r>
      <w:r>
        <w:t>Schroff et al. FaceNet: A Unified Embedding for Face Recognition. CVPR 2015. (Semi-hard triplet mining)</w:t>
      </w:r>
    </w:p>
    <w:p>
      <w:pPr>
        <w:spacing w:after="60"/>
        <w:ind w:left="227"/>
      </w:pPr>
      <w:r>
        <w:rPr>
          <w:b/>
          <w:color w:val="1F497D"/>
        </w:rPr>
        <w:t xml:space="preserve">Alfa (VLDB Journal 2023–2024): </w:t>
      </w:r>
      <w:r>
        <w:t>Active Learning for Graph Neural Network-based Semantic Schema Alignment. VLDB Journal.</w:t>
      </w:r>
    </w:p>
    <w:p>
      <w:pPr>
        <w:spacing w:after="60"/>
        <w:ind w:left="227"/>
      </w:pPr>
      <w:r>
        <w:rPr>
          <w:b/>
          <w:color w:val="1F497D"/>
        </w:rPr>
        <w:t xml:space="preserve">PyTorch Geometric: </w:t>
      </w:r>
      <w:r>
        <w:t>Heterogeneous Graph Learning. pytorch-geometric.readthedocs.io</w:t>
      </w:r>
    </w:p>
    <w:p>
      <w:pPr>
        <w:spacing w:after="60"/>
        <w:ind w:left="227"/>
      </w:pPr>
      <w:r>
        <w:rPr>
          <w:b/>
          <w:color w:val="1F497D"/>
        </w:rPr>
        <w:t xml:space="preserve">AdamW (ICLR 2019): </w:t>
      </w:r>
      <w:r>
        <w:t>Loshchilov &amp; Hutter. Decoupled Weight Decay Regularization. ICLR 2019.</w:t>
      </w:r>
    </w:p>
    <w:p>
      <w:r>
        <w:br w:type="page"/>
      </w:r>
    </w:p>
    <w:p>
      <w:pPr>
        <w:pStyle w:val="Heading1"/>
        <w:spacing w:before="360" w:after="120"/>
      </w:pPr>
      <w:r>
        <w:t>8. Анализ кода TableUnifier: конкретные проблемы Triplet Loss</w:t>
      </w:r>
    </w:p>
    <w:p>
      <w:pPr>
        <w:spacing w:after="80"/>
      </w:pPr>
      <w:r>
        <w:t>После изучения исходного кода проекта были выявлены четыре конкретные проблемы, которые ограничивают эффективность текущей реализации Triplet Loss для GNN. Ниже каждая проблема подкреплена ссылкой на конкретный файл и строки кода.</w:t>
      </w:r>
    </w:p>
    <w:p>
      <w:pPr>
        <w:pStyle w:val="Heading2"/>
        <w:spacing w:before="240" w:after="80"/>
      </w:pPr>
      <w:r>
        <w:t>8.1 Негативы фиксируются до начала обучения и тухнут</w:t>
      </w:r>
    </w:p>
    <w:p>
      <w:pPr>
        <w:spacing w:after="80"/>
      </w:pPr>
      <w:r>
        <w:t>В pair_sampling.py функция mine_hard_negatives вычисляет hard negatives один раз — по косинусному сходству начальных (необученных) эмбеддингов rubert-tiny2. Полученные triplet_indices передаются в тренировочный цикл как константа.</w:t>
      </w:r>
    </w:p>
    <w:p>
      <w:pPr>
        <w:spacing w:before="80" w:after="80"/>
        <w:ind w:left="454" w:right="454"/>
        <w:shd w:val="clear" w:color="auto" w:fill="F3F3F3"/>
      </w:pPr>
      <w:r>
        <w:rPr>
          <w:rFonts w:ascii="Courier New" w:hAnsi="Courier New"/>
          <w:color w:val="1F1F1F"/>
          <w:sz w:val="18"/>
        </w:rPr>
        <w:t># pair_sampling.py, mine_hard_negatives()</w:t>
        <w:br/>
        <w:t>sim_matrix = cosine_similarity(row_embeddings_a, row_embeddings_b)  # ← до обучения!</w:t>
        <w:br/>
        <w:t># ... строит triplets один раз</w:t>
        <w:br/>
        <w:br/>
        <w:t># er_trainer.py, train_entity_resolution_multidataset()</w:t>
        <w:br/>
        <w:t>for epoch in range(1, config.epochs + 1):</w:t>
        <w:br/>
        <w:t xml:space="preserve">    embeddings = model(graph)</w:t>
        <w:br/>
        <w:t xml:space="preserve">    a, p, n = mine_semi_hard(embeddings, tri, ...)  # ← tri зафиксирован</w:t>
      </w:r>
    </w:p>
    <w:p>
      <w:pPr>
        <w:spacing w:after="80"/>
      </w:pPr>
      <w:r>
        <w:t>После 10–20 эпох модель уже научилась раздвигать именно эти pre-mined пары. mine_semi_hard фильтрует их динамически, но пул не обновляется — если все pre-mined негативы стали easy, фильтр возвращает пустой тензор и срабатывает fallback (все триплеты без разбора).</w:t>
      </w:r>
    </w:p>
    <w:p>
      <w:pPr>
        <w:spacing w:before="120" w:after="120"/>
        <w:ind w:left="283" w:right="283"/>
        <w:shd w:val="clear" w:color="auto" w:fill="FFF2CC"/>
      </w:pPr>
      <w:r>
        <w:rPr>
          <w:i/>
          <w:color w:val="785100"/>
        </w:rPr>
        <w:t>⚠️  Это классическая проблема offline hard mining. Литература (FaceNet, 2015; pytorch-metric-learning docs) прямо указывает: offline-mined negatives устаревают через несколько эпох, градиент вырождается. Нужен либо периодический refresh (каждые N эпох), либо онлайн-майнинг.</w:t>
      </w:r>
    </w:p>
    <w:p>
      <w:pPr>
        <w:pStyle w:val="Heading2"/>
        <w:spacing w:before="240" w:after="80"/>
      </w:pPr>
      <w:r>
        <w:t>8.2 weight_decay = 0.0 — регуляризации нет</w:t>
      </w:r>
    </w:p>
    <w:p>
      <w:pPr>
        <w:spacing w:after="80"/>
      </w:pPr>
      <w:r>
        <w:t>EntityResolutionConfig задаёт weight_decay = 0.0 по умолчанию. При обучении на маленьких датасетах Magellan (Beer: ~450 строк, Bikes: ~3000, Amazon-Google: ~6000) это создаёт риск переобучения.</w:t>
      </w:r>
    </w:p>
    <w:p>
      <w:pPr>
        <w:spacing w:before="80" w:after="80"/>
        <w:ind w:left="454" w:right="454"/>
        <w:shd w:val="clear" w:color="auto" w:fill="F3F3F3"/>
      </w:pPr>
      <w:r>
        <w:rPr>
          <w:rFonts w:ascii="Courier New" w:hAnsi="Courier New"/>
          <w:color w:val="1F1F1F"/>
          <w:sz w:val="18"/>
        </w:rPr>
        <w:t># config.py</w:t>
        <w:br/>
        <w:t>@dataclass</w:t>
        <w:br/>
        <w:t>class EntityResolutionConfig:</w:t>
        <w:br/>
        <w:t xml:space="preserve">    weight_decay: float = 0.0   # ← нет L2-регуляризации</w:t>
        <w:br/>
        <w:t xml:space="preserve">    lr: float = 1e-3</w:t>
        <w:br/>
        <w:t xml:space="preserve">    # оба — margin = 0.3</w:t>
      </w:r>
    </w:p>
    <w:p>
      <w:pPr>
        <w:spacing w:before="120" w:after="120"/>
        <w:ind w:left="283" w:right="283"/>
        <w:shd w:val="clear" w:color="auto" w:fill="EBF3FB"/>
      </w:pPr>
      <w:r>
        <w:rPr>
          <w:i/>
          <w:color w:val="1F497D"/>
        </w:rPr>
        <w:t>💡  Рекомендация: установить weight_decay = 5e-4 (стандарт PyG) или 1e-4 при использовании AdamW. Для SchemaMatchingConfig аналогично — weight_decay там тоже отсутствует в конфиге.</w:t>
      </w:r>
    </w:p>
    <w:p>
      <w:pPr>
        <w:pStyle w:val="Heading2"/>
        <w:spacing w:before="240" w:after="80"/>
      </w:pPr>
      <w:r>
        <w:t>8.3 Margin 0.3 слишком мал для L2-нормализованного пространства</w:t>
      </w:r>
    </w:p>
    <w:p>
      <w:pPr>
        <w:spacing w:after="80"/>
      </w:pPr>
      <w:r>
        <w:t>Обе модели (EntityResolutionConfig и SchemaMatchingConfig) используют margin = 0.3. Но выход GNN L2-нормализован — F.normalize(output, p=2, dim=-1), — что означает единичные векторы. В этом пространстве Евклидово расстояние лежит в [0, 2]: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F497D"/>
          </w:tcPr>
          <w:p>
            <w:r>
              <w:rPr>
                <w:b/>
                <w:color w:val="FFFFFF"/>
              </w:rPr>
              <w:t>Ситуация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b/>
                <w:color w:val="FFFFFF"/>
              </w:rPr>
              <w:t>Евклидово расст.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b/>
                <w:color w:val="FFFFFF"/>
              </w:rPr>
              <w:t>Cosine similarity</w:t>
            </w:r>
          </w:p>
        </w:tc>
      </w:tr>
      <w:tr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Одинаковые векторы</w:t>
            </w:r>
          </w:p>
        </w:tc>
        <w:tc>
          <w:tcPr>
            <w:tcW w:type="dxa" w:w="2835"/>
            <w:shd w:val="clear" w:color="auto" w:fill="F2F7FC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835"/>
            <w:shd w:val="clear" w:color="auto" w:fill="F2F7FC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Ортогональные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√2 ≈ 1.41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Противоположные</w:t>
            </w:r>
          </w:p>
        </w:tc>
        <w:tc>
          <w:tcPr>
            <w:tcW w:type="dxa" w:w="2835"/>
            <w:shd w:val="clear" w:color="auto" w:fill="F2F7FC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835"/>
            <w:shd w:val="clear" w:color="auto" w:fill="F2F7FC"/>
          </w:tcPr>
          <w:p>
            <w:r>
              <w:rPr>
                <w:sz w:val="20"/>
              </w:rPr>
              <w:t>−1.0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margin = 0.3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⟵ только 15% диапазона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≈ разница cosine ~ 0.02–0.1</w:t>
            </w:r>
          </w:p>
        </w:tc>
      </w:tr>
    </w:tbl>
    <w:p/>
    <w:p>
      <w:pPr>
        <w:spacing w:after="80"/>
      </w:pPr>
      <w:r>
        <w:t>Требование d(a,n) − d(a,p) ≥ 0.3 выполняется очень легко после нескольких эпох. Модель получает нулевой градиент по большинству триплетов задолго до реального схождения.</w:t>
      </w:r>
    </w:p>
    <w:p>
      <w:pPr>
        <w:spacing w:before="120" w:after="120"/>
        <w:ind w:left="283" w:right="283"/>
        <w:shd w:val="clear" w:color="auto" w:fill="FFF2CC"/>
      </w:pPr>
      <w:r>
        <w:rPr>
          <w:i/>
          <w:color w:val="785100"/>
        </w:rPr>
        <w:t>⚠️  Для L2-нормализованных embeddings рекомендуемый диапазон margin: 0.5–1.0. FaceNet использовал margin = 0.2 на ненормализованных векторах; на нормализованных эквивалент — 0.5–0.8. Либо использовать cosine TripletMarginWithDistanceLoss вместо Евклидовой метрики.</w:t>
      </w:r>
    </w:p>
    <w:p>
      <w:pPr>
        <w:pStyle w:val="Heading2"/>
        <w:spacing w:before="240" w:after="80"/>
      </w:pPr>
      <w:r>
        <w:t>8.4 Метрика train и val разные — шедулер реагирует не на то</w:t>
      </w:r>
    </w:p>
    <w:p>
      <w:pPr>
        <w:spacing w:after="80"/>
      </w:pPr>
      <w:r>
        <w:t>В train_entity_resolution_minibatch train loss — это Euclidean TripletMarginLoss (на триплетах anchor/positive/negative). Validation loss считается принципиально иначе:</w:t>
      </w:r>
    </w:p>
    <w:p>
      <w:pPr>
        <w:spacing w:before="80" w:after="80"/>
        <w:ind w:left="454" w:right="454"/>
        <w:shd w:val="clear" w:color="auto" w:fill="F3F3F3"/>
      </w:pPr>
      <w:r>
        <w:rPr>
          <w:rFonts w:ascii="Courier New" w:hAnsi="Courier New"/>
          <w:color w:val="1F1F1F"/>
          <w:sz w:val="18"/>
        </w:rPr>
        <w:t># er_trainer.py, train_entity_resolution_minibatch(), строки ~498–501</w:t>
        <w:br/>
        <w:t>sim = (ea * eb).sum().item()   # cosine similarity</w:t>
        <w:br/>
        <w:t>if label == 1:</w:t>
        <w:br/>
        <w:t xml:space="preserve">    val_loss_sum += max(0, 1 - sim)  # ← только позитивные пары!</w:t>
        <w:br/>
        <w:t xml:space="preserve">                                     # негативы в val вообще не участвуют</w:t>
      </w:r>
    </w:p>
    <w:p>
      <w:pPr>
        <w:spacing w:after="80"/>
      </w:pPr>
      <w:r>
        <w:t>Это означает: ReduceLROnPlateau шагает по метрике, которая измеряет только 'насколько близки позитивные пары' и игнорирует расстояние до негативов. Такая метрика может расти (плохой сигнал для шедулера), даже если модель реально улучшается на задаче entity resolution.</w:t>
      </w:r>
    </w:p>
    <w:p>
      <w:pPr>
        <w:spacing w:before="120" w:after="120"/>
        <w:ind w:left="283" w:right="283"/>
        <w:shd w:val="clear" w:color="auto" w:fill="EBF3FB"/>
      </w:pPr>
      <w:r>
        <w:rPr>
          <w:i/>
          <w:color w:val="1F497D"/>
        </w:rPr>
        <w:t>💡  Решение: считать val_loss той же формулой, что train_loss — TripletMarginLoss на val_triplet_indices. Это уже реализовано в train_entity_resolution (не-minibatch версия) — там валидация корректна.</w:t>
      </w:r>
    </w:p>
    <w:p>
      <w:pPr>
        <w:pStyle w:val="Heading2"/>
        <w:spacing w:before="240" w:after="80"/>
      </w:pPr>
      <w:r>
        <w:t>8.5 Дополнительные наблюдения (не критичные)</w:t>
      </w:r>
    </w:p>
    <w:p>
      <w:pPr>
        <w:pStyle w:val="Heading3"/>
        <w:spacing w:before="160" w:after="40"/>
      </w:pPr>
      <w:r>
        <w:t>GNNLayer уже содержит residual + LayerNorm — это хорошо</w:t>
      </w:r>
    </w:p>
    <w:p>
      <w:pPr>
        <w:spacing w:after="80"/>
      </w:pPr>
      <w:r>
        <w:t>В gnn_layer.py GNNLayer реализован правильно: row_x = norm_row(row_x + dropout(row_msg)) — residual connection и LayerNorm. Это соответствует литературным рекомендациям для 2–3-слойных GNN.</w:t>
      </w:r>
    </w:p>
    <w:p>
      <w:pPr>
        <w:pStyle w:val="Heading3"/>
        <w:spacing w:before="160" w:after="40"/>
      </w:pPr>
      <w:r>
        <w:t>bidirectional = False — reverse pass отключён</w:t>
      </w:r>
    </w:p>
    <w:p>
      <w:pPr>
        <w:spacing w:after="80"/>
      </w:pPr>
      <w:r>
        <w:t>По умолчанию в EntityResolutionConfig bidirectional = False. Это означает, что token-узлы никогда не обновляются на основе row-контекста: информация течёт только token → row, но не обратно. Литература по гетерогенным GNN рекомендует bidirectional для лучшего распространения информации.</w:t>
      </w:r>
    </w:p>
    <w:p>
      <w:pPr>
        <w:pStyle w:val="ListBullet"/>
        <w:spacing w:after="40"/>
        <w:ind w:left="340"/>
      </w:pPr>
      <w:r>
        <w:t>Эксперимент: сравнить bidirectional=False vs True при фиксированных остальных параметрах</w:t>
      </w:r>
    </w:p>
    <w:p>
      <w:pPr>
        <w:pStyle w:val="ListBullet"/>
        <w:spacing w:after="40"/>
        <w:ind w:left="340"/>
      </w:pPr>
      <w:r>
        <w:t>Ожидаемый эффект: умеренный (токены обновляются, но row embeddings — финальный выход)</w:t>
      </w:r>
    </w:p>
    <w:p>
      <w:pPr>
        <w:pStyle w:val="Heading3"/>
        <w:spacing w:before="160" w:after="40"/>
      </w:pPr>
      <w:r>
        <w:t>Маленький пул негативов в round-robin режиме</w:t>
      </w:r>
    </w:p>
    <w:p>
      <w:pPr>
        <w:spacing w:after="80"/>
      </w:pPr>
      <w:r>
        <w:t>В train_entity_resolution_multidataset каждый шаг — один граф одного датасета. Датасеты Magellan небольшие: Beer ~450 строк, Bikes ~1000, Movies ~7000. Количество уникальных pre-mined негативов строго ограничено размером таблицы B.</w:t>
      </w:r>
    </w:p>
    <w:p>
      <w:pPr>
        <w:spacing w:before="120" w:after="120"/>
        <w:ind w:left="283" w:right="283"/>
        <w:shd w:val="clear" w:color="auto" w:fill="EBF3FB"/>
      </w:pPr>
      <w:r>
        <w:rPr>
          <w:i/>
          <w:color w:val="1F497D"/>
        </w:rPr>
        <w:t>💡  Поскольку model(graph) уже вычисляет ВСЕ row embeddings графа, NT-Xent даёт N² пар вместо T pre-mined триплетов — совершенно бесплатно. Для датасета с 450 строками: ~200K пар вместо ~1–5K триплетов.</w:t>
      </w:r>
    </w:p>
    <w:p>
      <w:pPr>
        <w:pStyle w:val="Heading1"/>
        <w:spacing w:before="360" w:after="120"/>
      </w:pPr>
      <w:r>
        <w:t>9. Конкретный план замены Triplet Loss на NT-Xent</w:t>
      </w:r>
    </w:p>
    <w:p>
      <w:pPr>
        <w:spacing w:after="80"/>
      </w:pPr>
      <w:r>
        <w:t>Предлагается минимальный рефакторинг, совместимый с текущей архитектурой. Изменения ограничены losses.py и er_trainer.py; модели (entity_resolution.py, gnn_layer.py) не трогаются.</w:t>
      </w:r>
    </w:p>
    <w:p>
      <w:pPr>
        <w:pStyle w:val="Heading2"/>
        <w:spacing w:before="240" w:after="80"/>
      </w:pPr>
      <w:r>
        <w:t>9.1 Почему NT-Xent естественен для данной архитектуры</w:t>
      </w:r>
    </w:p>
    <w:p>
      <w:pPr>
        <w:spacing w:after="80"/>
      </w:pPr>
      <w:r>
        <w:t>Ключевое наблюдение: в текущем коде model(graph) уже возвращает эмбеддинги ВСЕХ строк графа одним forward pass. NT-Xent использует эту матрицу целиком — все строки трактуются как большой батч:</w:t>
      </w:r>
    </w:p>
    <w:p>
      <w:pPr>
        <w:spacing w:before="80" w:after="80"/>
        <w:ind w:left="454" w:right="454"/>
        <w:shd w:val="clear" w:color="auto" w:fill="F3F3F3"/>
      </w:pPr>
      <w:r>
        <w:rPr>
          <w:rFonts w:ascii="Courier New" w:hAnsi="Courier New"/>
          <w:color w:val="1F1F1F"/>
          <w:sz w:val="18"/>
        </w:rPr>
        <w:t># Текущий код (Triplet Loss):</w:t>
        <w:br/>
        <w:t>embeddings = model(graph)               # [N, D] — все строки графа</w:t>
        <w:br/>
        <w:t>a, p, n = mine_semi_hard(embeddings, tri)  # выбираем ~T триплетов</w:t>
        <w:br/>
        <w:t>loss = criterion(a, p, n)               # T строк участвуют в градиенте</w:t>
        <w:br/>
        <w:br/>
        <w:t># NT-Xent (предлагается):</w:t>
        <w:br/>
        <w:t>embeddings = model(graph)               # [N, D] — те же все строки</w:t>
        <w:br/>
        <w:t>loss = nt_xent_loss(embeddings, pos_pairs, τ=0.07)  # N строк × N негативов</w:t>
      </w:r>
    </w:p>
    <w:p>
      <w:pPr>
        <w:pStyle w:val="Heading2"/>
        <w:spacing w:before="240" w:after="80"/>
      </w:pPr>
      <w:r>
        <w:t>9.2 Реализация NT-Xent для losses.py</w:t>
      </w:r>
    </w:p>
    <w:p>
      <w:pPr>
        <w:spacing w:before="80" w:after="80"/>
        <w:ind w:left="454" w:right="454"/>
        <w:shd w:val="clear" w:color="auto" w:fill="F3F3F3"/>
      </w:pPr>
      <w:r>
        <w:rPr>
          <w:rFonts w:ascii="Courier New" w:hAnsi="Courier New"/>
          <w:color w:val="1F1F1F"/>
          <w:sz w:val="18"/>
        </w:rPr>
        <w:t>import torch</w:t>
        <w:br/>
        <w:t>import torch.nn.functional as F</w:t>
        <w:br/>
        <w:br/>
        <w:t>def nt_xent_loss(</w:t>
        <w:br/>
        <w:t xml:space="preserve">    embeddings: torch.Tensor,   # [N, D], L2-нормализованы</w:t>
        <w:br/>
        <w:t xml:space="preserve">    pos_pairs: torch.Tensor,    # [P, 2], индексы совпадающих строк</w:t>
        <w:br/>
        <w:t xml:space="preserve">    temperature: float = 0.07,</w:t>
        <w:br/>
        <w:t>) -&gt; torch.Tensor:</w:t>
        <w:br/>
        <w:t xml:space="preserve">    """</w:t>
        <w:br/>
        <w:t xml:space="preserve">    NT-Xent (InfoNCE) на полном графе.</w:t>
        <w:br/>
        <w:t xml:space="preserve">    Для каждой позитивной пары (a, p):</w:t>
        <w:br/>
        <w:t xml:space="preserve">      - позитив: embeddings[p]</w:t>
        <w:br/>
        <w:t xml:space="preserve">      - негативы: все остальные N-1 строк</w:t>
        <w:br/>
        <w:t xml:space="preserve">    Значительно богаче triplet loss: O(N) негативов vs O(1).</w:t>
        <w:br/>
        <w:t xml:space="preserve">    """</w:t>
        <w:br/>
        <w:t xml:space="preserve">    # [N, N] — матрица косинусных сходств (embeddings уже L2-norm)</w:t>
        <w:br/>
        <w:t xml:space="preserve">    sim = (embeddings @ embeddings.T) / temperature</w:t>
        <w:br/>
        <w:br/>
        <w:t xml:space="preserve">    # Убираем диагональ (self-similarity)</w:t>
        <w:br/>
        <w:t xml:space="preserve">    N = embeddings.size(0)</w:t>
        <w:br/>
        <w:t xml:space="preserve">    mask_diag = torch.eye(N, dtype=torch.bool, device=embeddings.device)</w:t>
        <w:br/>
        <w:t xml:space="preserve">    sim = sim.masked_fill(mask_diag, float('-inf'))</w:t>
        <w:br/>
        <w:br/>
        <w:t xml:space="preserve">    # Для каждого anchor a считаем cross_entropy относительно p</w:t>
        <w:br/>
        <w:t xml:space="preserve">    anchors = pos_pairs[:, 0]    # [P]</w:t>
        <w:br/>
        <w:t xml:space="preserve">    positives = pos_pairs[:, 1]  # [P]</w:t>
        <w:br/>
        <w:br/>
        <w:t xml:space="preserve">    logits = sim[anchors]        # [P, N]</w:t>
        <w:br/>
        <w:t xml:space="preserve">    loss = F.cross_entropy(logits, positives)</w:t>
        <w:br/>
        <w:br/>
        <w:t xml:space="preserve">    # Симметрично: p как anchor, a как positive</w:t>
        <w:br/>
        <w:t xml:space="preserve">    logits_rev = sim[positives]  # [P, N]</w:t>
        <w:br/>
        <w:t xml:space="preserve">    loss = (loss + F.cross_entropy(logits_rev, anchors)) / 2</w:t>
        <w:br/>
        <w:br/>
        <w:t xml:space="preserve">    return loss</w:t>
      </w:r>
    </w:p>
    <w:p>
      <w:pPr>
        <w:pStyle w:val="Heading2"/>
        <w:spacing w:before="240" w:after="80"/>
      </w:pPr>
      <w:r>
        <w:t>9.3 Что нужно для pos_pairs</w:t>
      </w:r>
    </w:p>
    <w:p>
      <w:pPr>
        <w:spacing w:after="80"/>
      </w:pPr>
      <w:r>
        <w:t>NT-Xent требует тензор позитивных пар [P, 2], а не триплетов. Он уже присутствует в данных — это labeled pairs с label=1. В train_entity_resolution_minibatch они уже выделены:</w:t>
      </w:r>
    </w:p>
    <w:p>
      <w:pPr>
        <w:spacing w:before="80" w:after="80"/>
        <w:ind w:left="454" w:right="454"/>
        <w:shd w:val="clear" w:color="auto" w:fill="F3F3F3"/>
      </w:pPr>
      <w:r>
        <w:rPr>
          <w:rFonts w:ascii="Courier New" w:hAnsi="Courier New"/>
          <w:color w:val="1F1F1F"/>
          <w:sz w:val="18"/>
        </w:rPr>
        <w:t># er_trainer.py — уже есть:</w:t>
        <w:br/>
        <w:t>pos_mask = train_pairs[:, 2] == 1</w:t>
        <w:br/>
        <w:t>pos_pairs = train_pairs[pos_mask][:, :2]   # [P, 2] — готово</w:t>
        <w:br/>
        <w:br/>
        <w:t># Для multidataset — строить из split_labeled_pairs():</w:t>
        <w:br/>
        <w:t># positives → tensor([[anchor_global_idx, positive_global_idx], ...])</w:t>
      </w:r>
    </w:p>
    <w:p>
      <w:pPr>
        <w:pStyle w:val="Heading2"/>
        <w:spacing w:before="240" w:after="80"/>
      </w:pPr>
      <w:r>
        <w:t>9.4 Параметр температуры 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97D"/>
          </w:tcPr>
          <w:p>
            <w:r>
              <w:rPr>
                <w:b/>
                <w:color w:val="FFFFFF"/>
              </w:rPr>
              <w:t>τ</w:t>
            </w:r>
          </w:p>
        </w:tc>
        <w:tc>
          <w:tcPr>
            <w:tcW w:type="dxa" w:w="4252"/>
            <w:shd w:val="clear" w:color="auto" w:fill="1F497D"/>
          </w:tcPr>
          <w:p>
            <w:r>
              <w:rPr>
                <w:b/>
                <w:color w:val="FFFFFF"/>
              </w:rPr>
              <w:t>Эффект</w:t>
            </w:r>
          </w:p>
        </w:tc>
        <w:tc>
          <w:tcPr>
            <w:tcW w:type="dxa" w:w="3685"/>
            <w:shd w:val="clear" w:color="auto" w:fill="1F497D"/>
          </w:tcPr>
          <w:p>
            <w:r>
              <w:rPr>
                <w:b/>
                <w:color w:val="FFFFFF"/>
              </w:rPr>
              <w:t>Когда использовать</w:t>
            </w:r>
          </w:p>
        </w:tc>
      </w:tr>
      <w:tr>
        <w:tc>
          <w:tcPr>
            <w:tcW w:type="dxa" w:w="1134"/>
            <w:shd w:val="clear" w:color="auto" w:fill="F2F7FC"/>
          </w:tcPr>
          <w:p>
            <w:r>
              <w:rPr>
                <w:sz w:val="20"/>
              </w:rPr>
              <w:t>0.07</w:t>
            </w:r>
          </w:p>
        </w:tc>
        <w:tc>
          <w:tcPr>
            <w:tcW w:type="dxa" w:w="4252"/>
            <w:shd w:val="clear" w:color="auto" w:fill="F2F7FC"/>
          </w:tcPr>
          <w:p>
            <w:r>
              <w:rPr>
                <w:sz w:val="20"/>
              </w:rPr>
              <w:t>Очень острые границы; жёсткое разделение классов</w:t>
            </w:r>
          </w:p>
        </w:tc>
        <w:tc>
          <w:tcPr>
            <w:tcW w:type="dxa" w:w="3685"/>
            <w:shd w:val="clear" w:color="auto" w:fill="F2F7FC"/>
          </w:tcPr>
          <w:p>
            <w:r>
              <w:rPr>
                <w:sz w:val="20"/>
              </w:rPr>
              <w:t>SimCLR (изображения); риск коллапса при малых данных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Стандарт для текстовых задач; хороший баланс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Рекомендуется как стартовое значение</w:t>
            </w:r>
          </w:p>
        </w:tc>
      </w:tr>
      <w:tr>
        <w:tc>
          <w:tcPr>
            <w:tcW w:type="dxa" w:w="1134"/>
            <w:shd w:val="clear" w:color="auto" w:fill="F2F7FC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4252"/>
            <w:shd w:val="clear" w:color="auto" w:fill="F2F7FC"/>
          </w:tcPr>
          <w:p>
            <w:r>
              <w:rPr>
                <w:sz w:val="20"/>
              </w:rPr>
              <w:t>Мягче; модель меньше 'наказывает' неоднозначные пары</w:t>
            </w:r>
          </w:p>
        </w:tc>
        <w:tc>
          <w:tcPr>
            <w:tcW w:type="dxa" w:w="3685"/>
            <w:shd w:val="clear" w:color="auto" w:fill="F2F7FC"/>
          </w:tcPr>
          <w:p>
            <w:r>
              <w:rPr>
                <w:sz w:val="20"/>
              </w:rPr>
              <w:t>При малом числе позитивов (Beer, Bikes)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Очень мягко; близко к MSE по поведению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Не рекомендуется для ER</w:t>
            </w:r>
          </w:p>
        </w:tc>
      </w:tr>
    </w:tbl>
    <w:p/>
    <w:p>
      <w:pPr>
        <w:spacing w:before="120" w:after="120"/>
        <w:ind w:left="283" w:right="283"/>
        <w:shd w:val="clear" w:color="auto" w:fill="EBF3FB"/>
      </w:pPr>
      <w:r>
        <w:rPr>
          <w:i/>
          <w:color w:val="1F497D"/>
        </w:rPr>
        <w:t>💡  Стартовое значение: τ = 0.1. Добавить в EntityResolutionConfig как temperature: float = 0.1 и подобрать через Optuna в диапазоне [0.05, 0.3].</w:t>
      </w:r>
    </w:p>
    <w:p>
      <w:pPr>
        <w:pStyle w:val="Heading2"/>
        <w:spacing w:before="240" w:after="80"/>
      </w:pPr>
      <w:r>
        <w:t>9.5 Сводный чеклист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497D"/>
          </w:tcPr>
          <w:p>
            <w:r>
              <w:rPr>
                <w:b/>
                <w:color w:val="FFFFFF"/>
              </w:rPr>
              <w:t>Файл</w:t>
            </w:r>
          </w:p>
        </w:tc>
        <w:tc>
          <w:tcPr>
            <w:tcW w:type="dxa" w:w="5386"/>
            <w:shd w:val="clear" w:color="auto" w:fill="1F497D"/>
          </w:tcPr>
          <w:p>
            <w:r>
              <w:rPr>
                <w:b/>
                <w:color w:val="FFFFFF"/>
              </w:rPr>
              <w:t>Что изменить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b/>
                <w:color w:val="FFFFFF"/>
              </w:rPr>
              <w:t>Сложность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config.py</w:t>
            </w:r>
          </w:p>
        </w:tc>
        <w:tc>
          <w:tcPr>
            <w:tcW w:type="dxa" w:w="5386"/>
            <w:shd w:val="clear" w:color="auto" w:fill="F2F7FC"/>
          </w:tcPr>
          <w:p>
            <w:r>
              <w:rPr>
                <w:sz w:val="20"/>
              </w:rPr>
              <w:t>Добавить temperature: float = 0.1 в EntityResolutionConfig; weight_decay: float = 5e-4; margin убрать (не нужен для NT-Xent)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Тривиально (3 строки)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losses.py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Добавить nt_xent_loss() рядом с TripletLoss; TripletLoss не удалять (ablation)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Просто (~25 строк)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er_trainer.py (multidataset)</w:t>
            </w:r>
          </w:p>
        </w:tc>
        <w:tc>
          <w:tcPr>
            <w:tcW w:type="dxa" w:w="5386"/>
            <w:shd w:val="clear" w:color="auto" w:fill="F2F7FC"/>
          </w:tcPr>
          <w:p>
            <w:r>
              <w:rPr>
                <w:sz w:val="20"/>
              </w:rPr>
              <w:t>Заменить mine_semi_hard + TripletLoss на nt_xent_loss(embeddings, pos_pairs); pos_pairs строить из train_triplets[:, :2][train_triplets[:, 2]==1] или из positives напрямую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Средне (~20 строк)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er_trainer.py (minibatch)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То же + исправить val_loss: считать на val_pos_pairs через nt_xent_loss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Средне (~15 строк)</w:t>
            </w:r>
          </w:p>
        </w:tc>
      </w:tr>
      <w:tr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pair_sampling.py</w:t>
            </w:r>
          </w:p>
        </w:tc>
        <w:tc>
          <w:tcPr>
            <w:tcW w:type="dxa" w:w="5386"/>
            <w:shd w:val="clear" w:color="auto" w:fill="F2F7FC"/>
          </w:tcPr>
          <w:p>
            <w:r>
              <w:rPr>
                <w:sz w:val="20"/>
              </w:rPr>
              <w:t>mine_hard_negatives больше не нужна для NT-Xent; можно оставить для ablation с Triplet Loss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Не нужно трогать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experiments/05_hpo.py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Добавить temperature в пространство поиска Optuna; убрать margin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Тривиально</w:t>
            </w:r>
          </w:p>
        </w:tc>
      </w:tr>
    </w:tbl>
    <w:p/>
    <w:p>
      <w:pPr>
        <w:pStyle w:val="Heading1"/>
        <w:spacing w:before="360" w:after="120"/>
      </w:pPr>
      <w:r>
        <w:t>10. Ablation study: как обосновать замену в дипломной работе</w:t>
      </w:r>
    </w:p>
    <w:p>
      <w:pPr>
        <w:spacing w:after="80"/>
      </w:pPr>
      <w:r>
        <w:t>Для дипломной работы важно не просто заменить loss, но и методологически чисто показать разницу. Предлагаемая схема ablation study: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val="clear" w:color="auto" w:fill="1F497D"/>
          </w:tcPr>
          <w:p>
            <w:r>
              <w:rPr>
                <w:b/>
                <w:color w:val="FFFFFF"/>
              </w:rPr>
              <w:t>Эксперимент</w:t>
            </w:r>
          </w:p>
        </w:tc>
        <w:tc>
          <w:tcPr>
            <w:tcW w:type="dxa" w:w="1984"/>
            <w:shd w:val="clear" w:color="auto" w:fill="1F497D"/>
          </w:tcPr>
          <w:p>
            <w:r>
              <w:rPr>
                <w:b/>
                <w:color w:val="FFFFFF"/>
              </w:rPr>
              <w:t>Loss</w:t>
            </w:r>
          </w:p>
        </w:tc>
        <w:tc>
          <w:tcPr>
            <w:tcW w:type="dxa" w:w="2381"/>
            <w:shd w:val="clear" w:color="auto" w:fill="1F497D"/>
          </w:tcPr>
          <w:p>
            <w:r>
              <w:rPr>
                <w:b/>
                <w:color w:val="FFFFFF"/>
              </w:rPr>
              <w:t>Mining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b/>
                <w:color w:val="FFFFFF"/>
              </w:rPr>
              <w:t>Ожидаемый результат</w:t>
            </w:r>
          </w:p>
        </w:tc>
      </w:tr>
      <w:tr>
        <w:tc>
          <w:tcPr>
            <w:tcW w:type="dxa" w:w="1587"/>
            <w:shd w:val="clear" w:color="auto" w:fill="F2F7FC"/>
          </w:tcPr>
          <w:p>
            <w:r>
              <w:rPr>
                <w:sz w:val="20"/>
              </w:rPr>
              <w:t>Baseline A</w:t>
            </w:r>
          </w:p>
        </w:tc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Triplet Loss (margin=0.3)</w:t>
            </w:r>
          </w:p>
        </w:tc>
        <w:tc>
          <w:tcPr>
            <w:tcW w:type="dxa" w:w="2381"/>
            <w:shd w:val="clear" w:color="auto" w:fill="F2F7FC"/>
          </w:tcPr>
          <w:p>
            <w:r>
              <w:rPr>
                <w:sz w:val="20"/>
              </w:rPr>
              <w:t>Semi-hard (текущий)</w:t>
            </w:r>
          </w:p>
        </w:tc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Текущий уровень качества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Baseline B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Triplet Loss (margin=0.7)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Semi-hard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Лучше A из-за корректного margin</w:t>
            </w:r>
          </w:p>
        </w:tc>
      </w:tr>
      <w:tr>
        <w:tc>
          <w:tcPr>
            <w:tcW w:type="dxa" w:w="1587"/>
            <w:shd w:val="clear" w:color="auto" w:fill="F2F7FC"/>
          </w:tcPr>
          <w:p>
            <w:r>
              <w:rPr>
                <w:sz w:val="20"/>
              </w:rPr>
              <w:t>Baseline C</w:t>
            </w:r>
          </w:p>
        </w:tc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Triplet Loss (margin=0.7)</w:t>
            </w:r>
          </w:p>
        </w:tc>
        <w:tc>
          <w:tcPr>
            <w:tcW w:type="dxa" w:w="2381"/>
            <w:shd w:val="clear" w:color="auto" w:fill="F2F7FC"/>
          </w:tcPr>
          <w:p>
            <w:r>
              <w:rPr>
                <w:sz w:val="20"/>
              </w:rPr>
              <w:t>Online refresh каждые 10 эпох</w:t>
            </w:r>
          </w:p>
        </w:tc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Ещё лучше — нет тухнущих негативов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sz w:val="20"/>
              </w:rPr>
              <w:t>Proposed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NT-Xent (τ=0.1)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20"/>
              </w:rPr>
              <w:t>Intrinsic (весь граф)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Гипотеза: лучше всех baseline</w:t>
            </w:r>
          </w:p>
        </w:tc>
      </w:tr>
      <w:tr>
        <w:tc>
          <w:tcPr>
            <w:tcW w:type="dxa" w:w="1587"/>
            <w:shd w:val="clear" w:color="auto" w:fill="F2F7FC"/>
          </w:tcPr>
          <w:p>
            <w:r>
              <w:rPr>
                <w:sz w:val="20"/>
              </w:rPr>
              <w:t>Oracle</w:t>
            </w:r>
          </w:p>
        </w:tc>
        <w:tc>
          <w:tcPr>
            <w:tcW w:type="dxa" w:w="1984"/>
            <w:shd w:val="clear" w:color="auto" w:fill="F2F7FC"/>
          </w:tcPr>
          <w:p>
            <w:r>
              <w:rPr>
                <w:sz w:val="20"/>
              </w:rPr>
              <w:t>NT-Xent (τ=Optuna)</w:t>
            </w:r>
          </w:p>
        </w:tc>
        <w:tc>
          <w:tcPr>
            <w:tcW w:type="dxa" w:w="2381"/>
            <w:shd w:val="clear" w:color="auto" w:fill="F2F7FC"/>
          </w:tcPr>
          <w:p>
            <w:r>
              <w:rPr>
                <w:sz w:val="20"/>
              </w:rPr>
              <w:t>Intrinsic</w:t>
            </w:r>
          </w:p>
        </w:tc>
        <w:tc>
          <w:tcPr>
            <w:tcW w:type="dxa" w:w="3118"/>
            <w:shd w:val="clear" w:color="auto" w:fill="F2F7FC"/>
          </w:tcPr>
          <w:p>
            <w:r>
              <w:rPr>
                <w:sz w:val="20"/>
              </w:rPr>
              <w:t>Верхняя граница для NT-Xent</w:t>
            </w:r>
          </w:p>
        </w:tc>
      </w:tr>
    </w:tbl>
    <w:p/>
    <w:p>
      <w:pPr>
        <w:spacing w:after="80"/>
      </w:pPr>
      <w:r>
        <w:t>Метрики для сравнения: F1, Precision, Recall на тестовом наборе пар (match/no-match) при оптимальном пороге косинусного сходства. Порог подбирать на val, применять на test.</w:t>
      </w:r>
    </w:p>
    <w:p>
      <w:pPr>
        <w:spacing w:before="120" w:after="120"/>
        <w:ind w:left="283" w:right="283"/>
        <w:shd w:val="clear" w:color="auto" w:fill="EBF3FB"/>
      </w:pPr>
      <w:r>
        <w:rPr>
          <w:i/>
          <w:color w:val="1F497D"/>
        </w:rPr>
        <w:t>💡  Для дипломы достаточно Baseline A (текущий) vs Proposed (NT-Xent) на 3–5 датасетах Magellan. Это методологически чисто: одна переменная (loss), всё остальное зафиксировано.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