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80C2" w14:textId="77777777" w:rsidR="008279A9" w:rsidRDefault="008279A9" w:rsidP="008279A9">
      <w:pPr>
        <w:pStyle w:val="af0"/>
        <w:spacing w:before="1"/>
        <w:ind w:left="1315" w:right="1214"/>
        <w:jc w:val="center"/>
      </w:pPr>
      <w:r>
        <w:t>МИНИСТЕРСТВО</w:t>
      </w:r>
      <w:r>
        <w:rPr>
          <w:spacing w:val="-11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 РОССИЙСКОЙ ФЕДЕРАЦИИ</w:t>
      </w:r>
    </w:p>
    <w:p w14:paraId="4F273FE2" w14:textId="77777777" w:rsidR="008279A9" w:rsidRDefault="008279A9" w:rsidP="008279A9">
      <w:pPr>
        <w:pStyle w:val="af0"/>
        <w:ind w:left="100"/>
        <w:jc w:val="center"/>
      </w:pPr>
      <w:r>
        <w:t>ФЕДЕРАЛЬНОЕ</w:t>
      </w:r>
      <w:r>
        <w:rPr>
          <w:spacing w:val="40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АВТОНОМНОЕ</w:t>
      </w:r>
      <w:r>
        <w:rPr>
          <w:spacing w:val="-12"/>
        </w:rPr>
        <w:t xml:space="preserve"> </w:t>
      </w:r>
      <w:r>
        <w:t>ОБРАЗОВАТЕЛЬНОЕ УЧРЕЖДЕНИЕ ВЫСШЕГО ОБРАЗОВАНИЯ</w:t>
      </w:r>
    </w:p>
    <w:p w14:paraId="2FCA9DCA" w14:textId="77777777" w:rsidR="008279A9" w:rsidRDefault="008279A9" w:rsidP="008279A9">
      <w:pPr>
        <w:pStyle w:val="af0"/>
        <w:spacing w:line="321" w:lineRule="exact"/>
        <w:ind w:left="808"/>
        <w:jc w:val="center"/>
      </w:pPr>
      <w:r>
        <w:t>«КАЗАНСКИЙ</w:t>
      </w:r>
      <w:r>
        <w:rPr>
          <w:spacing w:val="-17"/>
        </w:rPr>
        <w:t xml:space="preserve"> </w:t>
      </w:r>
      <w:r>
        <w:t>(ПРИВОЛЖСКИЙ)</w:t>
      </w:r>
      <w:r>
        <w:rPr>
          <w:spacing w:val="-12"/>
        </w:rPr>
        <w:t xml:space="preserve"> </w:t>
      </w:r>
      <w:r>
        <w:t>ФЕДЕРАЛЬНЫЙ</w:t>
      </w:r>
      <w:r>
        <w:rPr>
          <w:spacing w:val="-12"/>
        </w:rPr>
        <w:t xml:space="preserve"> </w:t>
      </w:r>
      <w:r>
        <w:rPr>
          <w:spacing w:val="-2"/>
        </w:rPr>
        <w:t>УНИВЕРСИТЕТ»</w:t>
      </w:r>
    </w:p>
    <w:p w14:paraId="0B141C50" w14:textId="77777777" w:rsidR="008279A9" w:rsidRDefault="008279A9" w:rsidP="008279A9">
      <w:pPr>
        <w:pStyle w:val="af0"/>
        <w:rPr>
          <w:sz w:val="30"/>
        </w:rPr>
      </w:pPr>
    </w:p>
    <w:p w14:paraId="1D8ED8F2" w14:textId="77777777" w:rsidR="008279A9" w:rsidRDefault="008279A9" w:rsidP="008279A9">
      <w:pPr>
        <w:pStyle w:val="af0"/>
        <w:rPr>
          <w:sz w:val="30"/>
        </w:rPr>
      </w:pPr>
    </w:p>
    <w:p w14:paraId="0C257204" w14:textId="77777777" w:rsidR="008279A9" w:rsidRDefault="008279A9" w:rsidP="008279A9">
      <w:pPr>
        <w:pStyle w:val="af0"/>
        <w:rPr>
          <w:sz w:val="24"/>
        </w:rPr>
      </w:pPr>
    </w:p>
    <w:p w14:paraId="1393BC7A" w14:textId="77777777" w:rsidR="008279A9" w:rsidRDefault="008279A9" w:rsidP="008279A9">
      <w:pPr>
        <w:pStyle w:val="af0"/>
        <w:spacing w:line="480" w:lineRule="auto"/>
        <w:ind w:left="2763" w:right="1954"/>
        <w:jc w:val="center"/>
      </w:pPr>
      <w:r>
        <w:t>Институт</w:t>
      </w:r>
      <w:r>
        <w:rPr>
          <w:spacing w:val="-10"/>
        </w:rPr>
        <w:t xml:space="preserve"> </w:t>
      </w:r>
      <w:r>
        <w:t>управления,</w:t>
      </w:r>
      <w:r>
        <w:rPr>
          <w:spacing w:val="-10"/>
        </w:rPr>
        <w:t xml:space="preserve"> </w:t>
      </w:r>
      <w:r>
        <w:t>экономики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финансов Кафедра общего менеджмента</w:t>
      </w:r>
    </w:p>
    <w:p w14:paraId="25B25091" w14:textId="77777777" w:rsidR="008279A9" w:rsidRDefault="008279A9" w:rsidP="008279A9">
      <w:pPr>
        <w:pStyle w:val="af0"/>
        <w:spacing w:before="1"/>
      </w:pPr>
    </w:p>
    <w:p w14:paraId="44C97FA6" w14:textId="77777777" w:rsidR="008279A9" w:rsidRDefault="008279A9" w:rsidP="008279A9">
      <w:pPr>
        <w:pStyle w:val="af0"/>
        <w:ind w:left="221"/>
      </w:pPr>
      <w:r>
        <w:t>Направление</w:t>
      </w:r>
      <w:r>
        <w:rPr>
          <w:spacing w:val="-9"/>
        </w:rPr>
        <w:t xml:space="preserve"> </w:t>
      </w:r>
      <w:r>
        <w:t>подготовки</w:t>
      </w:r>
      <w:r>
        <w:rPr>
          <w:spacing w:val="-6"/>
        </w:rPr>
        <w:t xml:space="preserve"> </w:t>
      </w:r>
      <w:r>
        <w:t>(специальность):</w:t>
      </w:r>
      <w:r>
        <w:rPr>
          <w:spacing w:val="58"/>
        </w:rPr>
        <w:t xml:space="preserve"> </w:t>
      </w:r>
      <w:r>
        <w:rPr>
          <w:u w:val="single"/>
        </w:rPr>
        <w:t>38.03.02</w:t>
      </w:r>
      <w:r>
        <w:rPr>
          <w:spacing w:val="-6"/>
          <w:u w:val="single"/>
        </w:rPr>
        <w:t xml:space="preserve"> </w:t>
      </w:r>
      <w:r>
        <w:rPr>
          <w:u w:val="single"/>
        </w:rPr>
        <w:t>-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Менеджмент</w:t>
      </w:r>
    </w:p>
    <w:p w14:paraId="0132ED42" w14:textId="77777777" w:rsidR="008279A9" w:rsidRDefault="008279A9" w:rsidP="008279A9">
      <w:pPr>
        <w:tabs>
          <w:tab w:val="left" w:pos="7750"/>
        </w:tabs>
        <w:spacing w:before="134" w:line="197" w:lineRule="exact"/>
        <w:ind w:left="5780"/>
        <w:rPr>
          <w:sz w:val="18"/>
        </w:rPr>
      </w:pPr>
      <w:r>
        <w:rPr>
          <w:spacing w:val="-4"/>
          <w:sz w:val="18"/>
        </w:rPr>
        <w:t>шифр</w:t>
      </w:r>
      <w:r>
        <w:rPr>
          <w:sz w:val="18"/>
        </w:rPr>
        <w:tab/>
      </w:r>
      <w:r>
        <w:rPr>
          <w:spacing w:val="-2"/>
          <w:sz w:val="18"/>
        </w:rPr>
        <w:t>наименование</w:t>
      </w:r>
    </w:p>
    <w:p w14:paraId="5F86DC6B" w14:textId="77777777" w:rsidR="008279A9" w:rsidRDefault="008279A9" w:rsidP="008279A9">
      <w:pPr>
        <w:pStyle w:val="af0"/>
      </w:pPr>
    </w:p>
    <w:p w14:paraId="4BBC817B" w14:textId="77777777" w:rsidR="008279A9" w:rsidRDefault="008279A9" w:rsidP="008279A9">
      <w:pPr>
        <w:pStyle w:val="af0"/>
        <w:rPr>
          <w:sz w:val="20"/>
        </w:rPr>
      </w:pPr>
    </w:p>
    <w:p w14:paraId="53C2D963" w14:textId="77777777" w:rsidR="008279A9" w:rsidRDefault="008279A9" w:rsidP="008279A9">
      <w:pPr>
        <w:pStyle w:val="af0"/>
        <w:rPr>
          <w:sz w:val="20"/>
        </w:rPr>
      </w:pPr>
    </w:p>
    <w:p w14:paraId="751A8B65" w14:textId="77777777" w:rsidR="008279A9" w:rsidRDefault="008279A9" w:rsidP="008279A9">
      <w:pPr>
        <w:pStyle w:val="af0"/>
        <w:rPr>
          <w:sz w:val="20"/>
        </w:rPr>
      </w:pPr>
    </w:p>
    <w:p w14:paraId="16629921" w14:textId="77777777" w:rsidR="008279A9" w:rsidRDefault="008279A9" w:rsidP="008279A9">
      <w:pPr>
        <w:pStyle w:val="af0"/>
        <w:spacing w:before="4"/>
        <w:rPr>
          <w:sz w:val="22"/>
        </w:rPr>
      </w:pPr>
    </w:p>
    <w:p w14:paraId="5F994EFE" w14:textId="77777777" w:rsidR="008279A9" w:rsidRDefault="008279A9" w:rsidP="008279A9">
      <w:pPr>
        <w:pStyle w:val="af0"/>
        <w:ind w:left="2425" w:right="1618"/>
        <w:jc w:val="center"/>
      </w:pPr>
      <w:r>
        <w:t>КУРСОВАЯ</w:t>
      </w:r>
      <w:r>
        <w:rPr>
          <w:spacing w:val="-10"/>
        </w:rPr>
        <w:t xml:space="preserve"> </w:t>
      </w:r>
      <w:r>
        <w:rPr>
          <w:spacing w:val="-2"/>
        </w:rPr>
        <w:t>РАБОТА</w:t>
      </w:r>
    </w:p>
    <w:p w14:paraId="359B2F7C" w14:textId="256E77C4" w:rsidR="008279A9" w:rsidRPr="00D73E24" w:rsidRDefault="00D45634" w:rsidP="00D45634">
      <w:pPr>
        <w:pStyle w:val="af0"/>
        <w:jc w:val="center"/>
        <w:rPr>
          <w:b/>
          <w:sz w:val="30"/>
        </w:rPr>
      </w:pPr>
      <w:r w:rsidRPr="00D45634">
        <w:rPr>
          <w:b/>
          <w:bCs/>
          <w:sz w:val="30"/>
        </w:rPr>
        <w:t>Функции и органы самоуправления в организации</w:t>
      </w:r>
    </w:p>
    <w:p w14:paraId="1D796DF5" w14:textId="77777777" w:rsidR="008279A9" w:rsidRDefault="008279A9" w:rsidP="008279A9">
      <w:pPr>
        <w:pStyle w:val="af0"/>
        <w:rPr>
          <w:b/>
          <w:sz w:val="30"/>
        </w:rPr>
      </w:pPr>
    </w:p>
    <w:p w14:paraId="567C1589" w14:textId="77777777" w:rsidR="008279A9" w:rsidRDefault="008279A9" w:rsidP="008279A9">
      <w:pPr>
        <w:pStyle w:val="af0"/>
        <w:rPr>
          <w:b/>
          <w:sz w:val="30"/>
        </w:rPr>
      </w:pPr>
    </w:p>
    <w:p w14:paraId="7153182F" w14:textId="4772752D" w:rsidR="008279A9" w:rsidRDefault="008279A9" w:rsidP="008279A9">
      <w:pPr>
        <w:pStyle w:val="af0"/>
        <w:tabs>
          <w:tab w:val="left" w:pos="2546"/>
          <w:tab w:val="left" w:pos="3561"/>
        </w:tabs>
        <w:spacing w:before="225"/>
        <w:ind w:left="929" w:right="6617"/>
      </w:pPr>
      <w:r>
        <w:t xml:space="preserve">Студент </w:t>
      </w:r>
      <w:r>
        <w:rPr>
          <w:u w:val="single"/>
        </w:rPr>
        <w:t xml:space="preserve">2 </w:t>
      </w:r>
      <w:r>
        <w:rPr>
          <w:spacing w:val="-4"/>
        </w:rPr>
        <w:t xml:space="preserve">курса </w:t>
      </w:r>
      <w:r>
        <w:t xml:space="preserve">группы </w:t>
      </w:r>
      <w:r>
        <w:rPr>
          <w:u w:val="single"/>
        </w:rPr>
        <w:t>14.6-31</w:t>
      </w:r>
      <w:r w:rsidR="00CB298B">
        <w:rPr>
          <w:u w:val="single"/>
        </w:rPr>
        <w:t>0</w:t>
      </w:r>
    </w:p>
    <w:p w14:paraId="2689E5DF" w14:textId="33E5BB58" w:rsidR="008279A9" w:rsidRDefault="008279A9" w:rsidP="00CB298B">
      <w:pPr>
        <w:pStyle w:val="af0"/>
        <w:tabs>
          <w:tab w:val="left" w:pos="1489"/>
          <w:tab w:val="left" w:pos="3029"/>
          <w:tab w:val="left" w:pos="3592"/>
          <w:tab w:val="left" w:pos="6571"/>
        </w:tabs>
        <w:spacing w:line="321" w:lineRule="exact"/>
        <w:ind w:left="929"/>
        <w:rPr>
          <w:sz w:val="30"/>
        </w:rPr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>25</w:t>
      </w:r>
      <w:r>
        <w:rPr>
          <w:spacing w:val="-5"/>
        </w:rPr>
        <w:t>г.</w:t>
      </w:r>
      <w:r>
        <w:tab/>
      </w:r>
      <w:r w:rsidR="00CB298B">
        <w:t>Бондарев Н.И.</w:t>
      </w:r>
    </w:p>
    <w:p w14:paraId="1344630C" w14:textId="77777777" w:rsidR="008279A9" w:rsidRDefault="008279A9" w:rsidP="008279A9">
      <w:pPr>
        <w:pStyle w:val="af0"/>
        <w:spacing w:before="2"/>
        <w:rPr>
          <w:sz w:val="26"/>
        </w:rPr>
      </w:pPr>
    </w:p>
    <w:p w14:paraId="41987E54" w14:textId="77777777" w:rsidR="008279A9" w:rsidRDefault="008279A9" w:rsidP="008279A9">
      <w:pPr>
        <w:pStyle w:val="af0"/>
        <w:spacing w:line="322" w:lineRule="exact"/>
        <w:ind w:left="929"/>
      </w:pPr>
      <w:r>
        <w:t>Научный</w:t>
      </w:r>
      <w:r>
        <w:rPr>
          <w:spacing w:val="-10"/>
        </w:rPr>
        <w:t xml:space="preserve"> </w:t>
      </w:r>
      <w:r>
        <w:rPr>
          <w:spacing w:val="-2"/>
        </w:rPr>
        <w:t>руководитель</w:t>
      </w:r>
    </w:p>
    <w:p w14:paraId="1233347C" w14:textId="215044AD" w:rsidR="008279A9" w:rsidRDefault="008279A9" w:rsidP="008279A9">
      <w:pPr>
        <w:tabs>
          <w:tab w:val="left" w:pos="2749"/>
          <w:tab w:val="left" w:pos="4290"/>
        </w:tabs>
        <w:spacing w:line="322" w:lineRule="exact"/>
        <w:ind w:left="929"/>
        <w:rPr>
          <w:sz w:val="28"/>
        </w:rPr>
      </w:pPr>
      <w:r>
        <w:rPr>
          <w:sz w:val="28"/>
          <w:u w:val="single"/>
        </w:rPr>
        <w:t>доцент</w:t>
      </w:r>
      <w:r>
        <w:rPr>
          <w:sz w:val="28"/>
        </w:rPr>
        <w:t xml:space="preserve">, </w:t>
      </w:r>
      <w:r>
        <w:rPr>
          <w:sz w:val="28"/>
          <w:u w:val="single"/>
        </w:rPr>
        <w:t>к.н.</w:t>
      </w:r>
    </w:p>
    <w:p w14:paraId="517135F6" w14:textId="77777777" w:rsidR="008279A9" w:rsidRDefault="008279A9" w:rsidP="008279A9">
      <w:pPr>
        <w:tabs>
          <w:tab w:val="left" w:pos="3458"/>
        </w:tabs>
        <w:spacing w:before="133" w:line="197" w:lineRule="exact"/>
        <w:ind w:left="929"/>
        <w:rPr>
          <w:sz w:val="18"/>
        </w:rPr>
      </w:pPr>
      <w:proofErr w:type="spellStart"/>
      <w:proofErr w:type="gramStart"/>
      <w:r>
        <w:rPr>
          <w:spacing w:val="-2"/>
          <w:sz w:val="18"/>
        </w:rPr>
        <w:t>уч.степень</w:t>
      </w:r>
      <w:proofErr w:type="spellEnd"/>
      <w:proofErr w:type="gramEnd"/>
      <w:r>
        <w:rPr>
          <w:sz w:val="18"/>
        </w:rPr>
        <w:tab/>
      </w:r>
      <w:proofErr w:type="spellStart"/>
      <w:proofErr w:type="gramStart"/>
      <w:r>
        <w:rPr>
          <w:spacing w:val="-2"/>
          <w:sz w:val="18"/>
        </w:rPr>
        <w:t>уч.звание</w:t>
      </w:r>
      <w:proofErr w:type="spellEnd"/>
      <w:proofErr w:type="gramEnd"/>
    </w:p>
    <w:p w14:paraId="35B73423" w14:textId="41176E71" w:rsidR="008279A9" w:rsidRDefault="008279A9" w:rsidP="008279A9">
      <w:pPr>
        <w:pStyle w:val="af0"/>
        <w:tabs>
          <w:tab w:val="left" w:pos="1489"/>
          <w:tab w:val="left" w:pos="3029"/>
          <w:tab w:val="left" w:pos="3592"/>
          <w:tab w:val="left" w:pos="6570"/>
        </w:tabs>
        <w:spacing w:line="312" w:lineRule="exact"/>
        <w:ind w:left="929"/>
        <w:rPr>
          <w:spacing w:val="-5"/>
        </w:rPr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>25</w:t>
      </w:r>
      <w:r>
        <w:rPr>
          <w:spacing w:val="-5"/>
        </w:rPr>
        <w:t>г.</w:t>
      </w:r>
      <w:r>
        <w:tab/>
      </w:r>
      <w:r w:rsidR="00CB298B">
        <w:t>Сафина А.А.</w:t>
      </w:r>
    </w:p>
    <w:p w14:paraId="5BF094B4" w14:textId="77777777" w:rsidR="008279A9" w:rsidRPr="008279A9" w:rsidRDefault="008279A9" w:rsidP="008279A9">
      <w:pPr>
        <w:rPr>
          <w:lang w:eastAsia="en-US"/>
        </w:rPr>
      </w:pPr>
    </w:p>
    <w:p w14:paraId="1C663455" w14:textId="77777777" w:rsidR="008279A9" w:rsidRPr="008279A9" w:rsidRDefault="008279A9" w:rsidP="008279A9">
      <w:pPr>
        <w:rPr>
          <w:lang w:eastAsia="en-US"/>
        </w:rPr>
      </w:pPr>
    </w:p>
    <w:p w14:paraId="45EE807D" w14:textId="77777777" w:rsidR="008279A9" w:rsidRPr="008279A9" w:rsidRDefault="008279A9" w:rsidP="008279A9">
      <w:pPr>
        <w:rPr>
          <w:lang w:eastAsia="en-US"/>
        </w:rPr>
      </w:pPr>
    </w:p>
    <w:p w14:paraId="24EE2D37" w14:textId="77777777" w:rsidR="008279A9" w:rsidRPr="008279A9" w:rsidRDefault="008279A9" w:rsidP="008279A9">
      <w:pPr>
        <w:rPr>
          <w:lang w:eastAsia="en-US"/>
        </w:rPr>
      </w:pPr>
    </w:p>
    <w:p w14:paraId="778932DC" w14:textId="77777777" w:rsidR="008279A9" w:rsidRPr="008279A9" w:rsidRDefault="008279A9" w:rsidP="008279A9">
      <w:pPr>
        <w:rPr>
          <w:lang w:eastAsia="en-US"/>
        </w:rPr>
      </w:pPr>
    </w:p>
    <w:p w14:paraId="41ACA68F" w14:textId="77777777" w:rsidR="008279A9" w:rsidRPr="008279A9" w:rsidRDefault="008279A9" w:rsidP="008279A9">
      <w:pPr>
        <w:rPr>
          <w:lang w:eastAsia="en-US"/>
        </w:rPr>
      </w:pPr>
    </w:p>
    <w:p w14:paraId="6F730A79" w14:textId="77777777" w:rsidR="008279A9" w:rsidRPr="008279A9" w:rsidRDefault="008279A9" w:rsidP="008279A9">
      <w:pPr>
        <w:rPr>
          <w:lang w:eastAsia="en-US"/>
        </w:rPr>
      </w:pPr>
    </w:p>
    <w:p w14:paraId="7876DDD5" w14:textId="77777777" w:rsidR="008279A9" w:rsidRPr="008279A9" w:rsidRDefault="008279A9" w:rsidP="008279A9">
      <w:pPr>
        <w:rPr>
          <w:lang w:eastAsia="en-US"/>
        </w:rPr>
      </w:pPr>
    </w:p>
    <w:p w14:paraId="57DAEA64" w14:textId="77777777" w:rsidR="009A3C02" w:rsidRDefault="009A3C02" w:rsidP="00A92AF8">
      <w:pPr>
        <w:rPr>
          <w:lang w:eastAsia="en-US"/>
        </w:rPr>
      </w:pPr>
    </w:p>
    <w:p w14:paraId="202CCBE7" w14:textId="77777777" w:rsidR="0055527E" w:rsidRDefault="0055527E" w:rsidP="00A92AF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  <w:sectPr w:rsidR="0055527E" w:rsidSect="00F83B03">
          <w:footerReference w:type="even" r:id="rId8"/>
          <w:footerReference w:type="default" r:id="rId9"/>
          <w:footerReference w:type="first" r:id="rId10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3E4B28BC" w14:textId="46604019" w:rsidR="00A92AF8" w:rsidRDefault="00A92AF8" w:rsidP="002F64A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СОДЕРЖАНИЕ</w:t>
      </w:r>
      <w:r w:rsidR="006D1E1A">
        <w:rPr>
          <w:b/>
          <w:color w:val="000000"/>
          <w:sz w:val="28"/>
          <w:szCs w:val="28"/>
        </w:rPr>
        <w:tab/>
      </w:r>
    </w:p>
    <w:p w14:paraId="642E6C22" w14:textId="7F8C9566" w:rsidR="00F83B03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ВВЕДЕНИЕ</w:t>
      </w:r>
      <w:r w:rsidR="006D1E1A">
        <w:rPr>
          <w:color w:val="000000"/>
          <w:sz w:val="28"/>
          <w:szCs w:val="28"/>
        </w:rPr>
        <w:t>………………………………………………</w:t>
      </w:r>
      <w:proofErr w:type="gramStart"/>
      <w:r w:rsidR="006D1E1A">
        <w:rPr>
          <w:color w:val="000000"/>
          <w:sz w:val="28"/>
          <w:szCs w:val="28"/>
        </w:rPr>
        <w:t>…….</w:t>
      </w:r>
      <w:proofErr w:type="gramEnd"/>
      <w:r w:rsidR="006D1E1A">
        <w:rPr>
          <w:color w:val="000000"/>
          <w:sz w:val="28"/>
          <w:szCs w:val="28"/>
        </w:rPr>
        <w:t>……………………3</w:t>
      </w:r>
    </w:p>
    <w:p w14:paraId="77561E18" w14:textId="5D748743" w:rsidR="0055527E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1. ТЕОРЕТИЧЕСКИЕ ОСНОВЫ ФУНКЦИЙ И ОРГАНОВ САМОУПРАВЛЕНИЯ В ОРГАНИЗАЦИИ</w:t>
      </w:r>
    </w:p>
    <w:p w14:paraId="662B2986" w14:textId="5A484D73" w:rsidR="00F83B03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1.1. Понятие, сущность и классификация органов самоуправления в организациях</w:t>
      </w:r>
      <w:r w:rsidR="006D1E1A">
        <w:rPr>
          <w:color w:val="000000"/>
          <w:sz w:val="28"/>
          <w:szCs w:val="28"/>
        </w:rPr>
        <w:t>…………………………………………</w:t>
      </w:r>
      <w:r w:rsidR="006D1E1A">
        <w:rPr>
          <w:color w:val="000000"/>
          <w:sz w:val="28"/>
          <w:szCs w:val="28"/>
        </w:rPr>
        <w:t>...</w:t>
      </w:r>
      <w:r w:rsidR="006D1E1A">
        <w:rPr>
          <w:color w:val="000000"/>
          <w:sz w:val="28"/>
          <w:szCs w:val="28"/>
        </w:rPr>
        <w:t>………………</w:t>
      </w:r>
      <w:r w:rsidR="006D1E1A">
        <w:rPr>
          <w:color w:val="000000"/>
          <w:sz w:val="28"/>
          <w:szCs w:val="28"/>
        </w:rPr>
        <w:t>………</w:t>
      </w:r>
      <w:proofErr w:type="gramStart"/>
      <w:r w:rsidR="006D1E1A">
        <w:rPr>
          <w:color w:val="000000"/>
          <w:sz w:val="28"/>
          <w:szCs w:val="28"/>
        </w:rPr>
        <w:t>…….</w:t>
      </w:r>
      <w:proofErr w:type="gramEnd"/>
      <w:r w:rsidR="006D1E1A">
        <w:rPr>
          <w:color w:val="000000"/>
          <w:sz w:val="28"/>
          <w:szCs w:val="28"/>
        </w:rPr>
        <w:t>7</w:t>
      </w:r>
    </w:p>
    <w:p w14:paraId="28CF0733" w14:textId="5F549E96" w:rsidR="00F83B03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1.2. Функции самоуправления и их роль в повышении эффективности управления персоналом</w:t>
      </w:r>
      <w:r w:rsidR="006D1E1A">
        <w:rPr>
          <w:color w:val="000000"/>
          <w:sz w:val="28"/>
          <w:szCs w:val="28"/>
        </w:rPr>
        <w:t>………………………………………</w:t>
      </w:r>
      <w:proofErr w:type="gramStart"/>
      <w:r w:rsidR="006D1E1A">
        <w:rPr>
          <w:color w:val="000000"/>
          <w:sz w:val="28"/>
          <w:szCs w:val="28"/>
        </w:rPr>
        <w:t>……</w:t>
      </w:r>
      <w:r w:rsidR="006D1E1A">
        <w:rPr>
          <w:color w:val="000000"/>
          <w:sz w:val="28"/>
          <w:szCs w:val="28"/>
        </w:rPr>
        <w:t>.</w:t>
      </w:r>
      <w:proofErr w:type="gramEnd"/>
      <w:r w:rsidR="006D1E1A">
        <w:rPr>
          <w:color w:val="000000"/>
          <w:sz w:val="28"/>
          <w:szCs w:val="28"/>
        </w:rPr>
        <w:t>.</w:t>
      </w:r>
      <w:r w:rsidR="006D1E1A">
        <w:rPr>
          <w:color w:val="000000"/>
          <w:sz w:val="28"/>
          <w:szCs w:val="28"/>
        </w:rPr>
        <w:t>………</w:t>
      </w:r>
      <w:proofErr w:type="gramStart"/>
      <w:r w:rsidR="006D1E1A">
        <w:rPr>
          <w:color w:val="000000"/>
          <w:sz w:val="28"/>
          <w:szCs w:val="28"/>
        </w:rPr>
        <w:t>……</w:t>
      </w:r>
      <w:r w:rsidR="006D1E1A">
        <w:rPr>
          <w:color w:val="000000"/>
          <w:sz w:val="28"/>
          <w:szCs w:val="28"/>
        </w:rPr>
        <w:t>.</w:t>
      </w:r>
      <w:proofErr w:type="gramEnd"/>
      <w:r w:rsidR="006D1E1A">
        <w:rPr>
          <w:color w:val="000000"/>
          <w:sz w:val="28"/>
          <w:szCs w:val="28"/>
        </w:rPr>
        <w:t>.15</w:t>
      </w:r>
    </w:p>
    <w:p w14:paraId="0D48ED1A" w14:textId="71A02F38" w:rsidR="00F83B03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1.3. Нормативно-правовое и корпоративное регулирование самоуправления в организациях</w:t>
      </w:r>
      <w:r w:rsidR="006D1E1A">
        <w:rPr>
          <w:color w:val="000000"/>
          <w:sz w:val="28"/>
          <w:szCs w:val="28"/>
        </w:rPr>
        <w:t>……………………………………………………………</w:t>
      </w:r>
      <w:r w:rsidR="006D1E1A">
        <w:rPr>
          <w:color w:val="000000"/>
          <w:sz w:val="28"/>
          <w:szCs w:val="28"/>
        </w:rPr>
        <w:t>……</w:t>
      </w:r>
      <w:proofErr w:type="gramStart"/>
      <w:r w:rsidR="006D1E1A">
        <w:rPr>
          <w:color w:val="000000"/>
          <w:sz w:val="28"/>
          <w:szCs w:val="28"/>
        </w:rPr>
        <w:t>…….</w:t>
      </w:r>
      <w:proofErr w:type="gramEnd"/>
      <w:r w:rsidR="006D1E1A">
        <w:rPr>
          <w:color w:val="000000"/>
          <w:sz w:val="28"/>
          <w:szCs w:val="28"/>
        </w:rPr>
        <w:t>21</w:t>
      </w:r>
    </w:p>
    <w:p w14:paraId="3DCD8537" w14:textId="5A75F10D" w:rsidR="0055527E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2. АНАЛИЗ ФУНКЦИЙ И ОРГАНОВ САМОУПРАВЛЕНИЯ В ПАО «СБЕРБАНК РОССИИ»</w:t>
      </w:r>
    </w:p>
    <w:p w14:paraId="65BC433E" w14:textId="09A94D25" w:rsidR="00F83B03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2.1. Система органов управления и самоуправления в Сбере</w:t>
      </w:r>
      <w:r w:rsidR="006D1E1A">
        <w:rPr>
          <w:color w:val="000000"/>
          <w:sz w:val="28"/>
          <w:szCs w:val="28"/>
        </w:rPr>
        <w:t>……………………29</w:t>
      </w:r>
    </w:p>
    <w:p w14:paraId="3E34C578" w14:textId="07C33FEE" w:rsidR="00F83B03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 xml:space="preserve">2.2. Реализация функций самоуправления в корпоративной практике </w:t>
      </w:r>
      <w:proofErr w:type="gramStart"/>
      <w:r w:rsidRPr="00763F16">
        <w:rPr>
          <w:color w:val="000000"/>
          <w:sz w:val="28"/>
          <w:szCs w:val="28"/>
        </w:rPr>
        <w:t>Сбера</w:t>
      </w:r>
      <w:r w:rsidR="006D1E1A">
        <w:rPr>
          <w:color w:val="000000"/>
          <w:sz w:val="28"/>
          <w:szCs w:val="28"/>
        </w:rPr>
        <w:t>….</w:t>
      </w:r>
      <w:proofErr w:type="gramEnd"/>
      <w:r w:rsidR="006D1E1A">
        <w:rPr>
          <w:color w:val="000000"/>
          <w:sz w:val="28"/>
          <w:szCs w:val="28"/>
        </w:rPr>
        <w:t>.39</w:t>
      </w:r>
    </w:p>
    <w:p w14:paraId="107C6A9F" w14:textId="4C4C23A6" w:rsidR="0055527E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2.3. Рекомендации по совершенствованию органов и функций самоуправления в Сбере</w:t>
      </w:r>
      <w:r w:rsidR="006D1E1A">
        <w:rPr>
          <w:color w:val="000000"/>
          <w:sz w:val="28"/>
          <w:szCs w:val="28"/>
        </w:rPr>
        <w:t>………………………………………………………………………</w:t>
      </w:r>
      <w:proofErr w:type="gramStart"/>
      <w:r w:rsidR="006D1E1A">
        <w:rPr>
          <w:color w:val="000000"/>
          <w:sz w:val="28"/>
          <w:szCs w:val="28"/>
        </w:rPr>
        <w:t>…….</w:t>
      </w:r>
      <w:proofErr w:type="gramEnd"/>
      <w:r w:rsidR="006D1E1A">
        <w:rPr>
          <w:color w:val="000000"/>
          <w:sz w:val="28"/>
          <w:szCs w:val="28"/>
        </w:rPr>
        <w:t>.…46</w:t>
      </w:r>
    </w:p>
    <w:p w14:paraId="10130EDC" w14:textId="41B6D42B" w:rsidR="0055527E" w:rsidRPr="00763F16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63F16">
        <w:rPr>
          <w:color w:val="000000"/>
          <w:sz w:val="28"/>
          <w:szCs w:val="28"/>
        </w:rPr>
        <w:t>ЗАКЛЮЧЕНИЕ</w:t>
      </w:r>
      <w:r w:rsidR="006D1E1A">
        <w:rPr>
          <w:color w:val="000000"/>
          <w:sz w:val="28"/>
          <w:szCs w:val="28"/>
        </w:rPr>
        <w:t>……………………………………………</w:t>
      </w:r>
      <w:proofErr w:type="gramStart"/>
      <w:r w:rsidR="006D1E1A">
        <w:rPr>
          <w:color w:val="000000"/>
          <w:sz w:val="28"/>
          <w:szCs w:val="28"/>
        </w:rPr>
        <w:t>……</w:t>
      </w:r>
      <w:r w:rsidR="006D1E1A">
        <w:rPr>
          <w:color w:val="000000"/>
          <w:sz w:val="28"/>
          <w:szCs w:val="28"/>
        </w:rPr>
        <w:t>.</w:t>
      </w:r>
      <w:proofErr w:type="gramEnd"/>
      <w:r w:rsidR="006D1E1A">
        <w:rPr>
          <w:color w:val="000000"/>
          <w:sz w:val="28"/>
          <w:szCs w:val="28"/>
        </w:rPr>
        <w:t>…………………</w:t>
      </w:r>
      <w:r w:rsidR="006D1E1A">
        <w:rPr>
          <w:color w:val="000000"/>
          <w:sz w:val="28"/>
          <w:szCs w:val="28"/>
        </w:rPr>
        <w:t>57</w:t>
      </w:r>
    </w:p>
    <w:p w14:paraId="462DD122" w14:textId="15B88817" w:rsidR="0055527E" w:rsidRPr="008B62D9" w:rsidRDefault="0055527E" w:rsidP="006D1E1A">
      <w:pPr>
        <w:pStyle w:val="ac"/>
        <w:tabs>
          <w:tab w:val="left" w:pos="9072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r w:rsidRPr="00763F16">
        <w:rPr>
          <w:color w:val="000000"/>
          <w:sz w:val="28"/>
          <w:szCs w:val="28"/>
        </w:rPr>
        <w:t>СПИСОК ИСПОЛЬЗОВАННЫХ ИСТОЧНИКОВ</w:t>
      </w:r>
      <w:r w:rsidR="006D1E1A">
        <w:rPr>
          <w:color w:val="000000"/>
          <w:sz w:val="28"/>
          <w:szCs w:val="28"/>
        </w:rPr>
        <w:t>…………………………</w:t>
      </w:r>
      <w:proofErr w:type="gramStart"/>
      <w:r w:rsidR="006D1E1A">
        <w:rPr>
          <w:color w:val="000000"/>
          <w:sz w:val="28"/>
          <w:szCs w:val="28"/>
        </w:rPr>
        <w:t>…….</w:t>
      </w:r>
      <w:proofErr w:type="gramEnd"/>
      <w:r w:rsidR="006D1E1A">
        <w:rPr>
          <w:color w:val="000000"/>
          <w:sz w:val="28"/>
          <w:szCs w:val="28"/>
        </w:rPr>
        <w:t>61</w:t>
      </w:r>
    </w:p>
    <w:p w14:paraId="66BCDC91" w14:textId="77777777" w:rsidR="0055527E" w:rsidRPr="00F83B03" w:rsidRDefault="0055527E" w:rsidP="0055527E">
      <w:pPr>
        <w:spacing w:after="240"/>
      </w:pPr>
    </w:p>
    <w:p w14:paraId="766690FF" w14:textId="77777777" w:rsidR="0055527E" w:rsidRDefault="0055527E" w:rsidP="0055527E"/>
    <w:p w14:paraId="613B414A" w14:textId="77777777" w:rsidR="00F83B03" w:rsidRDefault="00F83B03" w:rsidP="00A92A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  <w:sectPr w:rsidR="00F83B03" w:rsidSect="008279A9"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46F3DE4D" w14:textId="1C429BC8" w:rsidR="00A92AF8" w:rsidRPr="002F64A8" w:rsidRDefault="00A92AF8" w:rsidP="002F64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2F64A8">
        <w:rPr>
          <w:b/>
          <w:bCs/>
          <w:color w:val="000000"/>
          <w:sz w:val="28"/>
          <w:szCs w:val="28"/>
        </w:rPr>
        <w:lastRenderedPageBreak/>
        <w:t>ВВЕДЕНИЕ</w:t>
      </w:r>
    </w:p>
    <w:p w14:paraId="3E087F0B" w14:textId="77777777" w:rsidR="00386432" w:rsidRPr="002F64A8" w:rsidRDefault="00386432" w:rsidP="002F64A8">
      <w:pPr>
        <w:spacing w:line="360" w:lineRule="auto"/>
        <w:ind w:firstLine="709"/>
        <w:rPr>
          <w:sz w:val="28"/>
          <w:szCs w:val="28"/>
        </w:rPr>
      </w:pPr>
    </w:p>
    <w:p w14:paraId="075F3CD4" w14:textId="3742FE38" w:rsidR="002F64A8" w:rsidRPr="008107BB" w:rsidRDefault="002F64A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Современная экономика ускоряет рыночные циклы, усиливает технологическую конкуренцию и повышает требования к прозрачности решений [30, с. 5–8]. В ответ организации переходят от жёстких иерархий к распределённым моделям, где инициатива и ответственность закрепляются за командами</w:t>
      </w:r>
      <w:r w:rsidRPr="008107BB">
        <w:rPr>
          <w:color w:val="000000"/>
          <w:sz w:val="28"/>
          <w:szCs w:val="28"/>
        </w:rPr>
        <w:t xml:space="preserve">. </w:t>
      </w:r>
      <w:r w:rsidRPr="008107BB">
        <w:rPr>
          <w:color w:val="000000"/>
          <w:sz w:val="28"/>
          <w:szCs w:val="28"/>
        </w:rPr>
        <w:t>Как подчёркивает регулятор: «высокое качество корпоративного управления создаёт основу для долгосрочной конкурентоспособности и доверия инвесторов» [4, с. 3–9].</w:t>
      </w:r>
    </w:p>
    <w:p w14:paraId="6BAD57AC" w14:textId="2D9E025A" w:rsidR="002F64A8" w:rsidRPr="008107BB" w:rsidRDefault="002F64A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банковской сфере автономия допустима лишь внутри формализованного корпоративного контроля, согласованного с надзорными нормами и практиками риск-менеджмента [5, с. 2–8]. </w:t>
      </w:r>
      <w:r w:rsidRPr="008107BB">
        <w:rPr>
          <w:color w:val="000000"/>
          <w:sz w:val="28"/>
          <w:szCs w:val="28"/>
        </w:rPr>
        <w:t>Закон</w:t>
      </w:r>
      <w:r w:rsidRPr="008107BB">
        <w:rPr>
          <w:color w:val="000000"/>
          <w:sz w:val="28"/>
          <w:szCs w:val="28"/>
        </w:rPr>
        <w:t xml:space="preserve"> фиксирует принципы внутреннего контроля, включая независимость службы внутреннего аудита и прозрачные процедуры [6, с. 5–10]. Положение № 716-П устанавливает требования к управлению операционными рисками и разграничению ответственности, предотвращая размывание подотчётности при децентрализации [7, с. 3–9].</w:t>
      </w:r>
    </w:p>
    <w:p w14:paraId="74094656" w14:textId="27B6ADB1" w:rsidR="002F64A8" w:rsidRPr="008107BB" w:rsidRDefault="002F64A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У системно значимых публичных компаний, таких как ПАО «Сбербанк России», складывается гибрид: формальные органы (</w:t>
      </w:r>
      <w:r w:rsidR="008107BB" w:rsidRPr="008107BB">
        <w:rPr>
          <w:color w:val="000000"/>
          <w:sz w:val="28"/>
          <w:szCs w:val="28"/>
        </w:rPr>
        <w:t>наблюдательный совет</w:t>
      </w:r>
      <w:r w:rsidRPr="008107BB">
        <w:rPr>
          <w:color w:val="000000"/>
          <w:sz w:val="28"/>
          <w:szCs w:val="28"/>
        </w:rPr>
        <w:t xml:space="preserve"> с комитетами, правление) сочетаются с практиками командной автономии — советами практик, кросс-функциональными командами, проектными бюро [26, с. 4–9]. Такая архитектура сохраняет стратегическую управляемость и ускоряет принятие решений, повышая вовлечённость и качество исполнения [27, с. 5–8]. В годовом отчёте отражено ускорение операционных процессов и укрепление культуры доверия за счёт распределённой ответственности [11, с. 3–8].</w:t>
      </w:r>
    </w:p>
    <w:p w14:paraId="22DC3DD1" w14:textId="77777777" w:rsidR="002F64A8" w:rsidRPr="008107BB" w:rsidRDefault="002F64A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Международные ориентиры подтверждают логику управляемого самоуправления: баланс руководства, независимого надзора и участия стейкхолдеров улучшает устойчивость [30, с. 5–8]. В ISO 37000 подчёркнуто, что культура, подотчётность и ясность ролей усиливают результативность «в динамичной среде» [31, с. 4–9]. Следовательно, самоуправление не заменяет институты, а повышает гибкость без потери контроля и комплаенса [30, с. 5–8].</w:t>
      </w:r>
    </w:p>
    <w:p w14:paraId="763C360B" w14:textId="77777777" w:rsidR="002F64A8" w:rsidRPr="008107BB" w:rsidRDefault="002F64A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Цель исследования — раскрыть функции и органы самоуправления и определить направления их совершенствования на примере ПАО «Сбербанк России» [21, с. 3–10]. Прикладной фокус — показать, как связка формальных институтов и автономных команд формирует устойчивые эффекты производительности и качества решений [23, с. 5–9].</w:t>
      </w:r>
    </w:p>
    <w:p w14:paraId="7EF229E5" w14:textId="77777777" w:rsidR="002F64A8" w:rsidRPr="008107BB" w:rsidRDefault="002F64A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Задачи (сжато):</w:t>
      </w:r>
    </w:p>
    <w:p w14:paraId="2B3E3798" w14:textId="77777777" w:rsidR="002F64A8" w:rsidRPr="008107BB" w:rsidRDefault="002F64A8" w:rsidP="008107BB">
      <w:pPr>
        <w:pStyle w:val="ac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Систематизировать теоретические подходы и соотнести их с функциями планирования, организации, мотивации, контроля и коммуникаций [21, с. 7–12; 22, с. 5–9].</w:t>
      </w:r>
    </w:p>
    <w:p w14:paraId="0CE7905F" w14:textId="77777777" w:rsidR="002F64A8" w:rsidRPr="008107BB" w:rsidRDefault="002F64A8" w:rsidP="008107BB">
      <w:pPr>
        <w:pStyle w:val="ac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Провести правовой анализ: 208-ФЗ, 395-1, ТК РФ, Кодекс КУ, 242-П, 716-П — для определения границ автономии и точек интеграции с надзором [1, с. 1–6; 2, с. 4–10; 3, с. 3–8; 4, с. 3–9; 6, с. 5–10; 7, с. 3–9; 5, с. 2–8].</w:t>
      </w:r>
    </w:p>
    <w:p w14:paraId="2A9A514C" w14:textId="77777777" w:rsidR="002F64A8" w:rsidRPr="008107BB" w:rsidRDefault="002F64A8" w:rsidP="008107BB">
      <w:pPr>
        <w:pStyle w:val="ac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Описать корпоративную практику Сбера: компетенции комитетов НС, роль правления и корпоративного секретаря, статус и подотчётность СВА [26, с. 5–10; 27, с. 5–8].</w:t>
      </w:r>
    </w:p>
    <w:p w14:paraId="7D2DA0B4" w14:textId="77777777" w:rsidR="002F64A8" w:rsidRPr="008107BB" w:rsidRDefault="002F64A8" w:rsidP="008107BB">
      <w:pPr>
        <w:pStyle w:val="ac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Диагностировать процессы самоуправления: распределение ролей, коммуникации, вовлечённость, скорость решений, используя публичные метрики [11, с. 4–8; 32, с. 5–8].</w:t>
      </w:r>
    </w:p>
    <w:p w14:paraId="5A7B2043" w14:textId="77777777" w:rsidR="002F64A8" w:rsidRPr="008107BB" w:rsidRDefault="002F64A8" w:rsidP="008107BB">
      <w:pPr>
        <w:pStyle w:val="ac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Сформировать рекомендации: упрощение регламентов без ущерба контролю, расширение участия, повышение прозрачности и воспроизводимости решений [30, с. 6–9; 31, с. 5–7].</w:t>
      </w:r>
    </w:p>
    <w:p w14:paraId="40918262" w14:textId="77777777" w:rsidR="002F64A8" w:rsidRPr="008107BB" w:rsidRDefault="002F64A8" w:rsidP="008107BB">
      <w:pPr>
        <w:pStyle w:val="ac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Оценить риски внедрения и контрмеры: регуляторные, операционные, кадровые, включая настройку обратной связи и калибровку уровней автономии [31, с. 5–10].</w:t>
      </w:r>
    </w:p>
    <w:p w14:paraId="2943AD7D" w14:textId="77777777" w:rsidR="002F64A8" w:rsidRPr="008107BB" w:rsidRDefault="002F64A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«Баланс между руководством, надзором и участием заинтересованных сторон» остаётся ключевым условием устойчивости самоуправляемых систем [30, с. 5–8].</w:t>
      </w:r>
    </w:p>
    <w:p w14:paraId="4AE11D0B" w14:textId="77777777" w:rsidR="008107BB" w:rsidRPr="008107BB" w:rsidRDefault="008107BB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Исследование направлено на формирование модели управляемого самоуправления, способной повысить адаптивность и производительность без потери контроля и качества надзора [30, с. 5–8]. «Баланс между руководством, </w:t>
      </w:r>
      <w:r w:rsidRPr="008107BB">
        <w:rPr>
          <w:color w:val="000000"/>
          <w:sz w:val="28"/>
          <w:szCs w:val="28"/>
        </w:rPr>
        <w:lastRenderedPageBreak/>
        <w:t>надзором и участием заинтересованных сторон» остаётся ключевым условием устойчивости организаций [30, с. 5–8].</w:t>
      </w:r>
    </w:p>
    <w:p w14:paraId="3924132D" w14:textId="77777777" w:rsidR="008107BB" w:rsidRPr="008107BB" w:rsidRDefault="008107BB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Объектом исследования является система корпоративного управления и практики самоуправления, рассматриваемые как взаимосвязанные элементы единого управленческого механизма. Корпоративное управление задаёт формальные рамки подотчётности и контроля, а самоуправление придаёт им практическое содержание — через участие сотрудников и ускорение принятия решений [1, с. 4–9]. Для компаний, работающих под высокой регуляторной нагрузкой, особенно важно сочетание соблюдения норм и гибкости внутренних коммуникаций [4, с. 3–8].</w:t>
      </w:r>
    </w:p>
    <w:p w14:paraId="38007991" w14:textId="77777777" w:rsidR="008107BB" w:rsidRPr="008107BB" w:rsidRDefault="008107BB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Предмет исследования включает функции и органы самоуправления, а также особенности их реализации на примере ПАО «Сбербанк России». В корпоративной структуре Сбера традиционные органы — общее собрание акционеров, наблюдательный совет, правление, служба внутреннего аудита — дополнены гибридными форматами: советами практик,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-командами, проектными бюро [26, с. 4–9]. Эти элементы создают горизонтальные связи, ускоряют обмен информацией и способствуют совместному принятию решений [27, с. 6–9].</w:t>
      </w:r>
    </w:p>
    <w:p w14:paraId="05448FD0" w14:textId="77777777" w:rsidR="008107BB" w:rsidRPr="008107BB" w:rsidRDefault="008107BB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Нормативную основу исследования формируют ключевые акты: 208-ФЗ «Об акционерных обществах» [1, с. 1–6], 395-1 «О банках и банковской деятельности» [3, с. 3–8], Трудовой кодекс РФ [2, с. 4–10], Кодекс корпоративного управления Банка России [4, с. 2–9; 5, с. 3–8], положения № 242-П и № 716-П, регулирующие внутренний контроль и операционные риски [6, с. 4–9; 7, с. 3–10]. Международный контекст задают стандарты ISO 37000 и Принципы корпоративного управления G20/OECD, где подчёркивается, что «эффективное управление строится на прозрачности, подотчётности и культурной зрелости» [30, с. 3–8; 31, с. 4–11].</w:t>
      </w:r>
    </w:p>
    <w:p w14:paraId="324DD3C3" w14:textId="77777777" w:rsidR="008107BB" w:rsidRPr="008107BB" w:rsidRDefault="008107BB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Методология исследования объединяет контент-анализ нормативных документов, сравнительный анализ национальных и международных практик, кейс-метод (на примере Сбера), бенчмаркинг и экспертную интерпретацию [21, </w:t>
      </w:r>
      <w:r w:rsidRPr="008107BB">
        <w:rPr>
          <w:color w:val="000000"/>
          <w:sz w:val="28"/>
          <w:szCs w:val="28"/>
        </w:rPr>
        <w:lastRenderedPageBreak/>
        <w:t>с. 5–9; 22, с. 6–10]. Такой подход позволяет выявить связи между регуляторными рамками и фактическими формами самоуправления.</w:t>
      </w:r>
    </w:p>
    <w:p w14:paraId="1CBDA7A4" w14:textId="72821E7A" w:rsidR="00D933CD" w:rsidRPr="008107BB" w:rsidRDefault="008107BB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Практическая значимость заключается в возможности использования результатов для совершенствования управления в банках и корпорациях. Рекомендации ориентированы на развитие низкозатратных механизмов вовлечённости, повышение прозрачности процессов и баланс автономии команд с требованиями контроля. Опыт Сбера подтверждает: интеграция элементов самоуправления ускоряет принятие решений и укрепляет культуру доверия и ответственности [11, с. 3–8; 26, с. 5–10].</w:t>
      </w:r>
    </w:p>
    <w:p w14:paraId="06C9FD3F" w14:textId="77777777" w:rsidR="000A12F6" w:rsidRPr="002F64A8" w:rsidRDefault="000A12F6" w:rsidP="002F64A8">
      <w:pPr>
        <w:spacing w:line="360" w:lineRule="auto"/>
        <w:ind w:firstLine="709"/>
        <w:rPr>
          <w:sz w:val="28"/>
          <w:szCs w:val="28"/>
        </w:rPr>
        <w:sectPr w:rsidR="000A12F6" w:rsidRPr="002F64A8" w:rsidSect="008279A9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38067285" w14:textId="6CB6A17C" w:rsidR="0055527E" w:rsidRPr="008107BB" w:rsidRDefault="0055527E" w:rsidP="008107BB">
      <w:pPr>
        <w:pStyle w:val="3"/>
        <w:numPr>
          <w:ilvl w:val="0"/>
          <w:numId w:val="0"/>
        </w:numPr>
        <w:spacing w:before="0" w:after="0" w:line="360" w:lineRule="auto"/>
        <w:ind w:firstLine="709"/>
        <w:jc w:val="center"/>
        <w:rPr>
          <w:rFonts w:cs="Times New Roman"/>
          <w:b/>
          <w:bCs/>
          <w:color w:val="000000"/>
          <w:sz w:val="32"/>
          <w:szCs w:val="32"/>
        </w:rPr>
      </w:pPr>
      <w:r w:rsidRPr="008107BB">
        <w:rPr>
          <w:rFonts w:cs="Times New Roman"/>
          <w:b/>
          <w:bCs/>
          <w:color w:val="000000"/>
          <w:sz w:val="32"/>
          <w:szCs w:val="32"/>
        </w:rPr>
        <w:lastRenderedPageBreak/>
        <w:t>1. ТЕОРЕТИЧЕСКИЕ ОСНОВЫ ФУНКЦИЙ И ОРГАНОВ САМОУПРАВЛЕНИЯ В ОРГАНИЗАЦИИ</w:t>
      </w:r>
    </w:p>
    <w:p w14:paraId="0B11CB62" w14:textId="6C83A06D" w:rsidR="000A12F6" w:rsidRPr="008107BB" w:rsidRDefault="00D73E24" w:rsidP="008107BB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8107BB">
        <w:rPr>
          <w:b/>
          <w:bCs/>
          <w:color w:val="000000"/>
          <w:sz w:val="28"/>
          <w:szCs w:val="28"/>
        </w:rPr>
        <w:t xml:space="preserve">1.1 </w:t>
      </w:r>
      <w:r w:rsidR="0055527E" w:rsidRPr="008107BB">
        <w:rPr>
          <w:b/>
          <w:bCs/>
          <w:color w:val="000000"/>
          <w:sz w:val="28"/>
          <w:szCs w:val="28"/>
        </w:rPr>
        <w:t>Понятие, сущность и классификация органов самоуправления в организациях</w:t>
      </w:r>
    </w:p>
    <w:p w14:paraId="46BFA771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88733EC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Самоуправление целесообразно рассматривать как устойчивый механизм распределения управленческих ролей и ответственности между уровнями организации, а не как разовую инициативу вовлечения персонала [21, с. 4–9]. В управленческой мысли траектория понятия тянется от научного менеджмента к гибким моделям, где инициативность и экспертность команд становятся источником конкурентных преимуществ [21, с. 4–9]. Как подчёркивает Виханский, «эффективность определяется не жёсткостью вертикали, а самостоятельностью подразделений при общей цели» [22, с. 5–7]. В прикладном плане это означает согласование стратегических ориентиров центра и оперативных решений команд, что сокращает цикл согласований и снижает издержки координации [23, с. 3–8]. В современной корпоративной архитектуре такое согласование опирается на разделение компетенций между исполнительными структурами, комитетами и рабочими группами, где знание предмета имеет больший вес, чем формальная иерархия [26, с. 4–9].</w:t>
      </w:r>
    </w:p>
    <w:p w14:paraId="15DF9747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Содержательно самоуправление отличается от традиционного администрирования источником власти, форматом коммуникаций, механизмами мотивации и характером контроля, но не отменяет роль центра, а перераспределяет её в пользу зон, где возникает ценность [23, с. 3–8]. Международные и национальные подходы акцентируют институциональные гарантии подотчётности и прозрачности, чтобы автономия сочеталась с контролем рисков и этическими требованиями [30, с. 3–8; 31, с. 4–11]. В результате формируется гибридная модель, в которой стратегические решения закрепляются за верхним уровнем, а операционные — за командами в пределах делегированных полномочий [21, с. 7–12]. «Автономия оправдана там, где </w:t>
      </w:r>
      <w:r w:rsidRPr="008107BB">
        <w:rPr>
          <w:color w:val="000000"/>
          <w:sz w:val="28"/>
          <w:szCs w:val="28"/>
        </w:rPr>
        <w:lastRenderedPageBreak/>
        <w:t>обеспечены ясные роли и ответственность», что фиксируется в современных руководствах по корпоративному управлению [31, с. 4–9].</w:t>
      </w:r>
    </w:p>
    <w:p w14:paraId="3DBB32E8" w14:textId="77777777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Для наглядности подходы к определению самоуправления сведены в таблицу 1.1.1.</w:t>
      </w:r>
    </w:p>
    <w:p w14:paraId="0D2A202C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B756EFC" w14:textId="77777777" w:rsidR="00145B80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Таблица 1.1.1</w:t>
      </w:r>
    </w:p>
    <w:p w14:paraId="519CC1A3" w14:textId="6B7CBD42" w:rsidR="00293C89" w:rsidRPr="008107BB" w:rsidRDefault="00293C89" w:rsidP="00006D76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Подходы к определению самоуправления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890"/>
        <w:gridCol w:w="1880"/>
        <w:gridCol w:w="2428"/>
      </w:tblGrid>
      <w:tr w:rsidR="00006D76" w:rsidRPr="00006D76" w14:paraId="7F4CCDFA" w14:textId="77777777" w:rsidTr="00145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D7A29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Автор / школа</w:t>
            </w:r>
          </w:p>
        </w:tc>
        <w:tc>
          <w:tcPr>
            <w:tcW w:w="0" w:type="auto"/>
            <w:vAlign w:val="center"/>
            <w:hideMark/>
          </w:tcPr>
          <w:p w14:paraId="5104389B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Определение (кратко)</w:t>
            </w:r>
          </w:p>
        </w:tc>
        <w:tc>
          <w:tcPr>
            <w:tcW w:w="0" w:type="auto"/>
            <w:vAlign w:val="center"/>
            <w:hideMark/>
          </w:tcPr>
          <w:p w14:paraId="29FC779D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Акцент</w:t>
            </w:r>
          </w:p>
        </w:tc>
        <w:tc>
          <w:tcPr>
            <w:tcW w:w="0" w:type="auto"/>
            <w:vAlign w:val="center"/>
            <w:hideMark/>
          </w:tcPr>
          <w:p w14:paraId="55858BB0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Практическая импликация</w:t>
            </w:r>
          </w:p>
        </w:tc>
      </w:tr>
      <w:tr w:rsidR="00006D76" w:rsidRPr="00006D76" w14:paraId="39AF6FF6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F75E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М. Вебер (классическая школа)</w:t>
            </w:r>
          </w:p>
        </w:tc>
        <w:tc>
          <w:tcPr>
            <w:tcW w:w="0" w:type="auto"/>
            <w:vAlign w:val="center"/>
            <w:hideMark/>
          </w:tcPr>
          <w:p w14:paraId="14CC9B41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Делегирование ответственности при сохранении иерархии</w:t>
            </w:r>
          </w:p>
        </w:tc>
        <w:tc>
          <w:tcPr>
            <w:tcW w:w="0" w:type="auto"/>
            <w:vAlign w:val="center"/>
            <w:hideMark/>
          </w:tcPr>
          <w:p w14:paraId="086CD8BF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52C3B97A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Контроль через должностные роли</w:t>
            </w:r>
          </w:p>
        </w:tc>
      </w:tr>
      <w:tr w:rsidR="00006D76" w:rsidRPr="00006D76" w14:paraId="4BCB23F0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06C3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Э. Мэйо (поведенческий подход)</w:t>
            </w:r>
          </w:p>
        </w:tc>
        <w:tc>
          <w:tcPr>
            <w:tcW w:w="0" w:type="auto"/>
            <w:vAlign w:val="center"/>
            <w:hideMark/>
          </w:tcPr>
          <w:p w14:paraId="7D7B2ADF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Коллективное влияние на управленческие решения</w:t>
            </w:r>
          </w:p>
        </w:tc>
        <w:tc>
          <w:tcPr>
            <w:tcW w:w="0" w:type="auto"/>
            <w:vAlign w:val="center"/>
            <w:hideMark/>
          </w:tcPr>
          <w:p w14:paraId="7928AA83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28226D62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Повышение мотивации и вовлечённости</w:t>
            </w:r>
          </w:p>
        </w:tc>
      </w:tr>
      <w:tr w:rsidR="00006D76" w:rsidRPr="00006D76" w14:paraId="77810DD2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9823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Г. Саймон (неоклассика)</w:t>
            </w:r>
          </w:p>
        </w:tc>
        <w:tc>
          <w:tcPr>
            <w:tcW w:w="0" w:type="auto"/>
            <w:vAlign w:val="center"/>
            <w:hideMark/>
          </w:tcPr>
          <w:p w14:paraId="558F4A69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Делегирование решений в пределах рациональных границ</w:t>
            </w:r>
          </w:p>
        </w:tc>
        <w:tc>
          <w:tcPr>
            <w:tcW w:w="0" w:type="auto"/>
            <w:vAlign w:val="center"/>
            <w:hideMark/>
          </w:tcPr>
          <w:p w14:paraId="752673DC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Поведение / структура</w:t>
            </w:r>
          </w:p>
        </w:tc>
        <w:tc>
          <w:tcPr>
            <w:tcW w:w="0" w:type="auto"/>
            <w:vAlign w:val="center"/>
            <w:hideMark/>
          </w:tcPr>
          <w:p w14:paraId="5F37B754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Рост эффективности процессов</w:t>
            </w:r>
          </w:p>
        </w:tc>
      </w:tr>
      <w:tr w:rsidR="00006D76" w:rsidRPr="00006D76" w14:paraId="5726E536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183E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И. А</w:t>
            </w:r>
            <w:proofErr w:type="spellStart"/>
            <w:r w:rsidRPr="00006D76">
              <w:rPr>
                <w:sz w:val="20"/>
                <w:szCs w:val="20"/>
              </w:rPr>
              <w:t>дизес</w:t>
            </w:r>
            <w:proofErr w:type="spellEnd"/>
            <w:r w:rsidRPr="00006D76">
              <w:rPr>
                <w:sz w:val="20"/>
                <w:szCs w:val="20"/>
              </w:rPr>
              <w:t xml:space="preserve"> (ситуационный подход)</w:t>
            </w:r>
          </w:p>
        </w:tc>
        <w:tc>
          <w:tcPr>
            <w:tcW w:w="0" w:type="auto"/>
            <w:vAlign w:val="center"/>
            <w:hideMark/>
          </w:tcPr>
          <w:p w14:paraId="5E3ACC07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Баланс власти между функциями и ролями</w:t>
            </w:r>
          </w:p>
        </w:tc>
        <w:tc>
          <w:tcPr>
            <w:tcW w:w="0" w:type="auto"/>
            <w:vAlign w:val="center"/>
            <w:hideMark/>
          </w:tcPr>
          <w:p w14:paraId="10B209A7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Поведение / культура</w:t>
            </w:r>
          </w:p>
        </w:tc>
        <w:tc>
          <w:tcPr>
            <w:tcW w:w="0" w:type="auto"/>
            <w:vAlign w:val="center"/>
            <w:hideMark/>
          </w:tcPr>
          <w:p w14:paraId="19290EBB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Гармонизация интересов и коммуникаций</w:t>
            </w:r>
          </w:p>
        </w:tc>
      </w:tr>
      <w:tr w:rsidR="00006D76" w:rsidRPr="00006D76" w14:paraId="7B3722FC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3B30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OECD (институциональный подход)</w:t>
            </w:r>
          </w:p>
        </w:tc>
        <w:tc>
          <w:tcPr>
            <w:tcW w:w="0" w:type="auto"/>
            <w:vAlign w:val="center"/>
            <w:hideMark/>
          </w:tcPr>
          <w:p w14:paraId="10CF4980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Корпоративная подотчётность и транспарентность</w:t>
            </w:r>
          </w:p>
        </w:tc>
        <w:tc>
          <w:tcPr>
            <w:tcW w:w="0" w:type="auto"/>
            <w:vAlign w:val="center"/>
            <w:hideMark/>
          </w:tcPr>
          <w:p w14:paraId="7B437BA7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66EBB2CC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Этическое управление и контроль рисков</w:t>
            </w:r>
          </w:p>
        </w:tc>
      </w:tr>
      <w:tr w:rsidR="00006D76" w:rsidRPr="00006D76" w14:paraId="372534B1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0673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Банк России (риск-ориентированный подход)</w:t>
            </w:r>
          </w:p>
        </w:tc>
        <w:tc>
          <w:tcPr>
            <w:tcW w:w="0" w:type="auto"/>
            <w:vAlign w:val="center"/>
            <w:hideMark/>
          </w:tcPr>
          <w:p w14:paraId="527228A4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Автономия в рамках трёх линий защиты</w:t>
            </w:r>
          </w:p>
        </w:tc>
        <w:tc>
          <w:tcPr>
            <w:tcW w:w="0" w:type="auto"/>
            <w:vAlign w:val="center"/>
            <w:hideMark/>
          </w:tcPr>
          <w:p w14:paraId="008E04A2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Структура / риск</w:t>
            </w:r>
          </w:p>
        </w:tc>
        <w:tc>
          <w:tcPr>
            <w:tcW w:w="0" w:type="auto"/>
            <w:vAlign w:val="center"/>
            <w:hideMark/>
          </w:tcPr>
          <w:p w14:paraId="6354614A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Совмещение гибкости и надзора</w:t>
            </w:r>
          </w:p>
        </w:tc>
      </w:tr>
      <w:tr w:rsidR="00006D76" w:rsidRPr="00006D76" w14:paraId="08602B1C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4351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Бирюзовые организации (современные практики)</w:t>
            </w:r>
          </w:p>
        </w:tc>
        <w:tc>
          <w:tcPr>
            <w:tcW w:w="0" w:type="auto"/>
            <w:vAlign w:val="center"/>
            <w:hideMark/>
          </w:tcPr>
          <w:p w14:paraId="601A4C2C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Самоорганизация на основе доверия и общих ценностей</w:t>
            </w:r>
          </w:p>
        </w:tc>
        <w:tc>
          <w:tcPr>
            <w:tcW w:w="0" w:type="auto"/>
            <w:vAlign w:val="center"/>
            <w:hideMark/>
          </w:tcPr>
          <w:p w14:paraId="6BE91457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Культура</w:t>
            </w:r>
          </w:p>
        </w:tc>
        <w:tc>
          <w:tcPr>
            <w:tcW w:w="0" w:type="auto"/>
            <w:vAlign w:val="center"/>
            <w:hideMark/>
          </w:tcPr>
          <w:p w14:paraId="67BE3E12" w14:textId="77777777" w:rsidR="00293C89" w:rsidRPr="00006D76" w:rsidRDefault="00293C89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06D76">
              <w:rPr>
                <w:sz w:val="20"/>
                <w:szCs w:val="20"/>
              </w:rPr>
              <w:t>Рост адаптивности и инновационности</w:t>
            </w:r>
          </w:p>
        </w:tc>
      </w:tr>
    </w:tbl>
    <w:p w14:paraId="6C627A3B" w14:textId="77777777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[21; 22; 23; 26; 30; 31].</w:t>
      </w:r>
    </w:p>
    <w:p w14:paraId="17BAF0D3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8F817F5" w14:textId="77777777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теоретическом плане различия с традиционным управлением по полномочиям, коммуникациям, мотивации и контролю удобно обобщить в сравнительной схеме, показанной ниже [21, с. 7–12; 30, с. 3–8].</w:t>
      </w:r>
    </w:p>
    <w:p w14:paraId="01152E99" w14:textId="77777777" w:rsidR="00006D76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E1EFBE7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0274C36" w14:textId="77777777" w:rsidR="00006D76" w:rsidRDefault="00293C89" w:rsidP="00006D76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Таблица 1.1.2</w:t>
      </w:r>
    </w:p>
    <w:p w14:paraId="00BBC27D" w14:textId="63AA87C4" w:rsidR="00293C89" w:rsidRPr="008107BB" w:rsidRDefault="00293C89" w:rsidP="00006D76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Сопоставление управления и самоуправления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519"/>
        <w:gridCol w:w="2307"/>
        <w:gridCol w:w="2466"/>
      </w:tblGrid>
      <w:tr w:rsidR="00293C89" w:rsidRPr="00006D76" w14:paraId="7CECF0E3" w14:textId="77777777" w:rsidTr="00293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0D687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CD2DDD3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1094B25C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Самоуправление</w:t>
            </w:r>
          </w:p>
        </w:tc>
        <w:tc>
          <w:tcPr>
            <w:tcW w:w="0" w:type="auto"/>
            <w:vAlign w:val="center"/>
            <w:hideMark/>
          </w:tcPr>
          <w:p w14:paraId="338B2A92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Гибридная модель</w:t>
            </w:r>
          </w:p>
        </w:tc>
      </w:tr>
      <w:tr w:rsidR="00293C89" w:rsidRPr="00006D76" w14:paraId="507B7C46" w14:textId="77777777" w:rsidTr="00293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2A1B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Полномочия</w:t>
            </w:r>
          </w:p>
        </w:tc>
        <w:tc>
          <w:tcPr>
            <w:tcW w:w="0" w:type="auto"/>
            <w:vAlign w:val="center"/>
            <w:hideMark/>
          </w:tcPr>
          <w:p w14:paraId="07760808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Централизованные</w:t>
            </w:r>
          </w:p>
        </w:tc>
        <w:tc>
          <w:tcPr>
            <w:tcW w:w="0" w:type="auto"/>
            <w:vAlign w:val="center"/>
            <w:hideMark/>
          </w:tcPr>
          <w:p w14:paraId="561ED38D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Делегированные</w:t>
            </w:r>
          </w:p>
        </w:tc>
        <w:tc>
          <w:tcPr>
            <w:tcW w:w="0" w:type="auto"/>
            <w:vAlign w:val="center"/>
            <w:hideMark/>
          </w:tcPr>
          <w:p w14:paraId="77A6AE59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Баланс стратегического и командного уровней</w:t>
            </w:r>
          </w:p>
        </w:tc>
      </w:tr>
      <w:tr w:rsidR="00293C89" w:rsidRPr="00006D76" w14:paraId="0A60F525" w14:textId="77777777" w:rsidTr="00293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7182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Принятие решений</w:t>
            </w:r>
          </w:p>
        </w:tc>
        <w:tc>
          <w:tcPr>
            <w:tcW w:w="0" w:type="auto"/>
            <w:vAlign w:val="center"/>
            <w:hideMark/>
          </w:tcPr>
          <w:p w14:paraId="4B1E472A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Иерархическое</w:t>
            </w:r>
          </w:p>
        </w:tc>
        <w:tc>
          <w:tcPr>
            <w:tcW w:w="0" w:type="auto"/>
            <w:vAlign w:val="center"/>
            <w:hideMark/>
          </w:tcPr>
          <w:p w14:paraId="639D0646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Коллективное</w:t>
            </w:r>
          </w:p>
        </w:tc>
        <w:tc>
          <w:tcPr>
            <w:tcW w:w="0" w:type="auto"/>
            <w:vAlign w:val="center"/>
            <w:hideMark/>
          </w:tcPr>
          <w:p w14:paraId="1A069A7A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Разделение по зонам ответственности</w:t>
            </w:r>
          </w:p>
        </w:tc>
      </w:tr>
      <w:tr w:rsidR="00293C89" w:rsidRPr="00006D76" w14:paraId="4B8787B2" w14:textId="77777777" w:rsidTr="00293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301B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Ответственность</w:t>
            </w:r>
          </w:p>
        </w:tc>
        <w:tc>
          <w:tcPr>
            <w:tcW w:w="0" w:type="auto"/>
            <w:vAlign w:val="center"/>
            <w:hideMark/>
          </w:tcPr>
          <w:p w14:paraId="29A76755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Персональная</w:t>
            </w:r>
          </w:p>
        </w:tc>
        <w:tc>
          <w:tcPr>
            <w:tcW w:w="0" w:type="auto"/>
            <w:vAlign w:val="center"/>
            <w:hideMark/>
          </w:tcPr>
          <w:p w14:paraId="1633F475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Совместная</w:t>
            </w:r>
          </w:p>
        </w:tc>
        <w:tc>
          <w:tcPr>
            <w:tcW w:w="0" w:type="auto"/>
            <w:vAlign w:val="center"/>
            <w:hideMark/>
          </w:tcPr>
          <w:p w14:paraId="6235F868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Индивидуальная внутри команды</w:t>
            </w:r>
          </w:p>
        </w:tc>
      </w:tr>
      <w:tr w:rsidR="00293C89" w:rsidRPr="00006D76" w14:paraId="26E86A0F" w14:textId="77777777" w:rsidTr="00293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904E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Мотивация</w:t>
            </w:r>
          </w:p>
        </w:tc>
        <w:tc>
          <w:tcPr>
            <w:tcW w:w="0" w:type="auto"/>
            <w:vAlign w:val="center"/>
            <w:hideMark/>
          </w:tcPr>
          <w:p w14:paraId="6B45D59A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Внешняя (награды, санкции)</w:t>
            </w:r>
          </w:p>
        </w:tc>
        <w:tc>
          <w:tcPr>
            <w:tcW w:w="0" w:type="auto"/>
            <w:vAlign w:val="center"/>
            <w:hideMark/>
          </w:tcPr>
          <w:p w14:paraId="712069E8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Внутренняя (ценности, цели)</w:t>
            </w:r>
          </w:p>
        </w:tc>
        <w:tc>
          <w:tcPr>
            <w:tcW w:w="0" w:type="auto"/>
            <w:vAlign w:val="center"/>
            <w:hideMark/>
          </w:tcPr>
          <w:p w14:paraId="038BD7F4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Комбинированная</w:t>
            </w:r>
          </w:p>
        </w:tc>
      </w:tr>
      <w:tr w:rsidR="00293C89" w:rsidRPr="00006D76" w14:paraId="170C341F" w14:textId="77777777" w:rsidTr="00293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80B0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620AC577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Формальный, вертикальный</w:t>
            </w:r>
          </w:p>
        </w:tc>
        <w:tc>
          <w:tcPr>
            <w:tcW w:w="0" w:type="auto"/>
            <w:vAlign w:val="center"/>
            <w:hideMark/>
          </w:tcPr>
          <w:p w14:paraId="524644CA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Самоконтроль и прозрачность</w:t>
            </w:r>
          </w:p>
        </w:tc>
        <w:tc>
          <w:tcPr>
            <w:tcW w:w="0" w:type="auto"/>
            <w:vAlign w:val="center"/>
            <w:hideMark/>
          </w:tcPr>
          <w:p w14:paraId="6CC9DC10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Смешанный, с элементами надзора</w:t>
            </w:r>
          </w:p>
        </w:tc>
      </w:tr>
    </w:tbl>
    <w:p w14:paraId="4A3848BA" w14:textId="77777777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[21; 22; 23; 30].</w:t>
      </w:r>
    </w:p>
    <w:p w14:paraId="3E37AA4E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C4ADBA3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Сопоставление подтверждает: самоуправление не подменяет централизованное руководство, а дополняет его за счёт точного распределения ролей и ответственности [31, с. 4–11]. Такая связка облегчает переход от стратегических приоритетов к операционному исполнению и повышает устойчивость решениям благодаря включённости носителей экспертизы [26, с. 4–9].</w:t>
      </w:r>
    </w:p>
    <w:p w14:paraId="14D6F67C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Классификация органов самоуправления основана на разграничении формальных и неформальных структур, а также их распределении по уровням корпоративной иерархии. В организациях с развитой системой управления формальные органы закреплены нормативно и обеспечивают подотчётность, прозрачность и контроль исполнения решений [1, с. 4–9]. К ним относятся общее собрание акционеров, наблюдательный совет и его комитеты, правление, корпоративный секретарь и служба внутреннего аудита. Эти органы образуют верхний контур управленческой архитектуры, отвечающий за стратегические </w:t>
      </w:r>
      <w:r w:rsidRPr="008107BB">
        <w:rPr>
          <w:color w:val="000000"/>
          <w:sz w:val="28"/>
          <w:szCs w:val="28"/>
        </w:rPr>
        <w:lastRenderedPageBreak/>
        <w:t>решения, надзор и контроль за деятельностью исполнительных структур [4, с. 3–8].</w:t>
      </w:r>
    </w:p>
    <w:p w14:paraId="15BA9E5C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Наряду с ними в современных компаниях формируются неформальные и гибридные органы самоуправления. Они возникают как ответ на ускорение деловых процессов и потребность в горизонтальном взаимодействии между подразделениями. К таким структурам относятся советы практик, проектные комитеты,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-группы и профессиональные гильдии [21, с. 5–10]. Их ключевая функция заключается в оперативной координации действий и обмене знаниями между специалистами. Эти формы позволяют согласовывать решения быстрее, чем традиционные административные механизмы, при этом сохраняя соответствие принципам корпоративного контроля и требованиям регуляторов [22, с. 6–10].</w:t>
      </w:r>
    </w:p>
    <w:p w14:paraId="3359E273" w14:textId="77777777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Система органов самоуправления выстраивается в трёхуровневую модель. На верхнем уровне находятся наблюдательный совет и его комитеты, задающие стратегические ориентиры и контролирующие эффективность управления. Средний уровень представлен правлением, профильными департаментами и советами по направлениям деятельности — здесь сосредоточено основное управленческое взаимодействие. Нижний уровень включает команды и проектные группы, отвечающие за реализацию конкретных задач и выдвижение инициатив по совершенствованию процессов [26, с. 5–9]. Такая многоуровневая структура сочетает устойчивость и гибкость: решения принимаются быстро, но строго в пределах компетенций, определённых корпоративной политикой.</w:t>
      </w:r>
    </w:p>
    <w:p w14:paraId="5ECA365D" w14:textId="720A5743" w:rsidR="00006D76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Сопоставление уровней</w:t>
      </w:r>
      <w:r>
        <w:rPr>
          <w:color w:val="000000"/>
          <w:sz w:val="28"/>
          <w:szCs w:val="28"/>
        </w:rPr>
        <w:t xml:space="preserve"> (табл. 1.1.3)</w:t>
      </w:r>
      <w:r w:rsidRPr="008107BB">
        <w:rPr>
          <w:color w:val="000000"/>
          <w:sz w:val="28"/>
          <w:szCs w:val="28"/>
        </w:rPr>
        <w:t xml:space="preserve"> показывает, что на каждом из них соотношение формальных и неформальных инструментов различно, однако именно их взаимодействие обеспечивает непрерывность управленческого цикла.</w:t>
      </w:r>
    </w:p>
    <w:p w14:paraId="71B0D041" w14:textId="77777777" w:rsidR="00006D76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FBD9E39" w14:textId="77777777" w:rsidR="00006D76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EECB3A0" w14:textId="77777777" w:rsidR="00006D76" w:rsidRDefault="00006D76" w:rsidP="00006D76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7ACBBD2" w14:textId="77777777" w:rsidR="00006D76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ECC0EC1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7B71841" w14:textId="77777777" w:rsidR="00145B80" w:rsidRPr="008107BB" w:rsidRDefault="00293C89" w:rsidP="00006D76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Таблица 1.1.3</w:t>
      </w:r>
    </w:p>
    <w:p w14:paraId="1A512401" w14:textId="54DB9A30" w:rsidR="00293C89" w:rsidRPr="008107BB" w:rsidRDefault="00293C89" w:rsidP="00006D76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Карта органов самоуправления по уровням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774"/>
        <w:gridCol w:w="2096"/>
        <w:gridCol w:w="2136"/>
        <w:gridCol w:w="1655"/>
      </w:tblGrid>
      <w:tr w:rsidR="002F64A8" w:rsidRPr="00006D76" w14:paraId="53F6B6BC" w14:textId="77777777" w:rsidTr="00145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F061E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47FA78E0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Формальные органы</w:t>
            </w:r>
          </w:p>
        </w:tc>
        <w:tc>
          <w:tcPr>
            <w:tcW w:w="0" w:type="auto"/>
            <w:vAlign w:val="center"/>
            <w:hideMark/>
          </w:tcPr>
          <w:p w14:paraId="6EFC0A41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Неформальные практики</w:t>
            </w:r>
          </w:p>
        </w:tc>
        <w:tc>
          <w:tcPr>
            <w:tcW w:w="0" w:type="auto"/>
            <w:vAlign w:val="center"/>
            <w:hideMark/>
          </w:tcPr>
          <w:p w14:paraId="56225A7F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Основные функции</w:t>
            </w:r>
          </w:p>
        </w:tc>
        <w:tc>
          <w:tcPr>
            <w:tcW w:w="0" w:type="auto"/>
            <w:vAlign w:val="center"/>
            <w:hideMark/>
          </w:tcPr>
          <w:p w14:paraId="7EF68FC7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Метрики</w:t>
            </w:r>
          </w:p>
        </w:tc>
      </w:tr>
      <w:tr w:rsidR="00006D76" w:rsidRPr="00006D76" w14:paraId="65AFECFB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2449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Корпоративный</w:t>
            </w:r>
          </w:p>
        </w:tc>
        <w:tc>
          <w:tcPr>
            <w:tcW w:w="0" w:type="auto"/>
            <w:vAlign w:val="center"/>
            <w:hideMark/>
          </w:tcPr>
          <w:p w14:paraId="6AF5E420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Общее собрание, наблюдательный совет, комитеты</w:t>
            </w:r>
          </w:p>
        </w:tc>
        <w:tc>
          <w:tcPr>
            <w:tcW w:w="0" w:type="auto"/>
            <w:vAlign w:val="center"/>
            <w:hideMark/>
          </w:tcPr>
          <w:p w14:paraId="763D9722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Консультативные форумы, экспертные рабочие группы</w:t>
            </w:r>
          </w:p>
        </w:tc>
        <w:tc>
          <w:tcPr>
            <w:tcW w:w="0" w:type="auto"/>
            <w:vAlign w:val="center"/>
            <w:hideMark/>
          </w:tcPr>
          <w:p w14:paraId="33DBE8C4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Стратегия, надзор, корпоративная политика</w:t>
            </w:r>
          </w:p>
        </w:tc>
        <w:tc>
          <w:tcPr>
            <w:tcW w:w="0" w:type="auto"/>
            <w:vAlign w:val="center"/>
            <w:hideMark/>
          </w:tcPr>
          <w:p w14:paraId="167D72F5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Исполнение решений, соответствие регламентам</w:t>
            </w:r>
          </w:p>
        </w:tc>
      </w:tr>
      <w:tr w:rsidR="00006D76" w:rsidRPr="00006D76" w14:paraId="160B2AC5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3A11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Бизнес-направления</w:t>
            </w:r>
          </w:p>
        </w:tc>
        <w:tc>
          <w:tcPr>
            <w:tcW w:w="0" w:type="auto"/>
            <w:vAlign w:val="center"/>
            <w:hideMark/>
          </w:tcPr>
          <w:p w14:paraId="477772B2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Правление, департаменты, внутренние контролёры</w:t>
            </w:r>
          </w:p>
        </w:tc>
        <w:tc>
          <w:tcPr>
            <w:tcW w:w="0" w:type="auto"/>
            <w:vAlign w:val="center"/>
            <w:hideMark/>
          </w:tcPr>
          <w:p w14:paraId="4C77EC4F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Советы практик, проектные комитеты</w:t>
            </w:r>
          </w:p>
        </w:tc>
        <w:tc>
          <w:tcPr>
            <w:tcW w:w="0" w:type="auto"/>
            <w:vAlign w:val="center"/>
            <w:hideMark/>
          </w:tcPr>
          <w:p w14:paraId="2FB15DC7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Координация, развитие направлений, контроль эффективности</w:t>
            </w:r>
          </w:p>
        </w:tc>
        <w:tc>
          <w:tcPr>
            <w:tcW w:w="0" w:type="auto"/>
            <w:vAlign w:val="center"/>
            <w:hideMark/>
          </w:tcPr>
          <w:p w14:paraId="42677548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Сроки реализации, качество управленческих решений</w:t>
            </w:r>
          </w:p>
        </w:tc>
      </w:tr>
      <w:tr w:rsidR="00006D76" w:rsidRPr="00006D76" w14:paraId="52B1A10A" w14:textId="77777777" w:rsidTr="0014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725A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Командный</w:t>
            </w:r>
          </w:p>
        </w:tc>
        <w:tc>
          <w:tcPr>
            <w:tcW w:w="0" w:type="auto"/>
            <w:vAlign w:val="center"/>
            <w:hideMark/>
          </w:tcPr>
          <w:p w14:paraId="1F53B5AC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Руководитель команды, координатор, эксперт</w:t>
            </w:r>
          </w:p>
        </w:tc>
        <w:tc>
          <w:tcPr>
            <w:tcW w:w="0" w:type="auto"/>
            <w:vAlign w:val="center"/>
            <w:hideMark/>
          </w:tcPr>
          <w:p w14:paraId="696D4C31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proofErr w:type="spellStart"/>
            <w:r w:rsidRPr="00006D76">
              <w:t>Agile</w:t>
            </w:r>
            <w:proofErr w:type="spellEnd"/>
            <w:r w:rsidRPr="00006D76">
              <w:t>-группы, гильдии, инициативные команды</w:t>
            </w:r>
          </w:p>
        </w:tc>
        <w:tc>
          <w:tcPr>
            <w:tcW w:w="0" w:type="auto"/>
            <w:vAlign w:val="center"/>
            <w:hideMark/>
          </w:tcPr>
          <w:p w14:paraId="2110E34C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Самоорганизация, обмен опытом, внедрение улучшений</w:t>
            </w:r>
          </w:p>
        </w:tc>
        <w:tc>
          <w:tcPr>
            <w:tcW w:w="0" w:type="auto"/>
            <w:vAlign w:val="center"/>
            <w:hideMark/>
          </w:tcPr>
          <w:p w14:paraId="1FEC98E1" w14:textId="77777777" w:rsidR="00293C89" w:rsidRPr="00006D76" w:rsidRDefault="00293C89" w:rsidP="008107BB">
            <w:pPr>
              <w:spacing w:line="360" w:lineRule="auto"/>
              <w:ind w:firstLine="709"/>
              <w:jc w:val="both"/>
            </w:pPr>
            <w:r w:rsidRPr="00006D76">
              <w:t>Скорость циклов, вовлечённость, инновационность</w:t>
            </w:r>
          </w:p>
        </w:tc>
      </w:tr>
    </w:tbl>
    <w:p w14:paraId="037BEA68" w14:textId="77777777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[1; 4; 5; 6; 21; 22; 26; 31].</w:t>
      </w:r>
    </w:p>
    <w:p w14:paraId="472B2325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3DC4F3A" w14:textId="0BF0F132" w:rsidR="00293C89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 таблицы 1.1.3 ясно, что в</w:t>
      </w:r>
      <w:r w:rsidR="00293C89" w:rsidRPr="008107BB">
        <w:rPr>
          <w:color w:val="000000"/>
          <w:sz w:val="28"/>
          <w:szCs w:val="28"/>
        </w:rPr>
        <w:t>ерхний уровень гарантирует стратегическую согласованность и соблюдение регламентов, средний переводит решения в конкретные управленческие действия, а нижний формирует среду инициативности и обучения. Такая гибридная модель позволяет организациям сохранять управляемость и устойчивость даже при высокой скорости изменений внешней среды [31, с. 5–11].</w:t>
      </w:r>
    </w:p>
    <w:p w14:paraId="5BA9520B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Функциональная роль органов самоуправления выражается в реализации ключевых управленческих функций — планирования, организации, мотивации, контроля и коммуникаций. Эти функции в современном менеджменте приобретают двусторонний характер: они выполняются не только по вертикали, через административные структуры, но и по горизонтали — внутри команд, </w:t>
      </w:r>
      <w:r w:rsidRPr="008107BB">
        <w:rPr>
          <w:color w:val="000000"/>
          <w:sz w:val="28"/>
          <w:szCs w:val="28"/>
        </w:rPr>
        <w:lastRenderedPageBreak/>
        <w:t>комитетов и проектных групп [21, с. 4–9]. Такое распределение полномочий делает систему управления более гибкой, способствует вовлечению сотрудников в процессы принятия решений и снижает вероятность управленческих ошибок благодаря коллективной оценке информации [22, с. 5–9].</w:t>
      </w:r>
    </w:p>
    <w:p w14:paraId="09BD5B5F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Планирование в условиях самоуправления предполагает участие работников в постановке целей и определении ресурсов, что обеспечивает реалистичность задач и согласование их с возможностями подразделений [26, с. 4–9]. Такое включение повышает осознанность и личную ответственность участников за результат. Организационная функция реализуется через распределение ролей, в котором важна не столько формальная подчинённость, сколько соответствие компетенций задачам. Это позволяет создавать гибкие связи между подразделениями и сокращать время на согласование решений [23, с. 3–8].</w:t>
      </w:r>
    </w:p>
    <w:p w14:paraId="40670A27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Мотивация в самоуправляемых структурах строится преимущественно на внутренних факторах — стремлении к развитию, признании, интересе к работе. Как отмечает Дементьева, «самоуправляемые коллективы опираются на доверие и осознанное принятие целей, что делает мотивацию устойчивой и менее зависимой от внешних стимулов» [21, с. 8–11]. Такая система повышает вовлечённость и способствует формированию ответственного отношения к результату.</w:t>
      </w:r>
    </w:p>
    <w:p w14:paraId="4BFD4E50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Контроль в самоуправляемых системах основан на принципах самоконтроля, открытости и прозрачности. Команды самостоятельно отслеживают выполнение задач, используют метрики, внутренние отчёты и взаимную обратную связь, что снижает потребность в постоянном надзоре [31, с. 5–10]. При этом сохраняются элементы формального контроля — внутренний аудит, независимая оценка и подотчётность комитетам. В результате формируется многоуровневая модель, где гибкость сочетается с управляемостью.</w:t>
      </w:r>
    </w:p>
    <w:p w14:paraId="4FB22C3A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Коммуникации играют интегрирующую роль, обеспечивая согласованность действий между подразделениями. В организациях, где </w:t>
      </w:r>
      <w:r w:rsidRPr="008107BB">
        <w:rPr>
          <w:color w:val="000000"/>
          <w:sz w:val="28"/>
          <w:szCs w:val="28"/>
        </w:rPr>
        <w:lastRenderedPageBreak/>
        <w:t>действуют самоуправляемые команды, информационные потоки строятся преимущественно горизонтально. Это позволяет равномерно распределять данные, избегать искажений при передаче информации и поддерживать единство корпоративных решений [26, с. 5–9].</w:t>
      </w:r>
    </w:p>
    <w:p w14:paraId="01578CC2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Совокупность этих функций образует управленческий контур самоуправления, встроенный в систему корпоративного управления. При этом стратегические ориентиры и правила формируются на уровне административных органов, а самоуправляемые структуры отвечают за адаптивность, инновационность и устойчивость процессов. Такое распределение ролей обеспечивает баланс между контролем и инициативой, укрепляя управляемость и эффективность компании [31, с. 5–11].</w:t>
      </w:r>
    </w:p>
    <w:p w14:paraId="3E9EA18B" w14:textId="77777777" w:rsidR="00892F11" w:rsidRPr="008107BB" w:rsidRDefault="00892F11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Эффективность самоуправления напрямую зависит от того, насколько в организации сформированы общие ценности, доверие и нормы профессионального поведения. Корпоративная культура задаёт границы допустимых действий и определяет, как делегированные полномочия трансформируются в конкретные результаты. Как отмечается в литературе, «корпоративная культура — совокупность ценностей и норм, разделяемых коллективом» [13, с. 3–6]. При таком подходе самоуправление воспринимается не как управленческая процедура, а как устойчивая форма коллективной ответственности и внутреннего самоконтроля [30, с. 5–8].</w:t>
      </w:r>
    </w:p>
    <w:p w14:paraId="66A81681" w14:textId="77777777" w:rsidR="00892F11" w:rsidRPr="008107BB" w:rsidRDefault="00892F11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Важную роль играет поведенческий ориентир руководства, известный как </w:t>
      </w:r>
      <w:proofErr w:type="spellStart"/>
      <w:r w:rsidRPr="008107BB">
        <w:rPr>
          <w:color w:val="000000"/>
          <w:sz w:val="28"/>
          <w:szCs w:val="28"/>
        </w:rPr>
        <w:t>tone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at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the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top</w:t>
      </w:r>
      <w:proofErr w:type="spellEnd"/>
      <w:r w:rsidRPr="008107BB">
        <w:rPr>
          <w:color w:val="000000"/>
          <w:sz w:val="28"/>
          <w:szCs w:val="28"/>
        </w:rPr>
        <w:t>. Руководители задают стандарты этики, качества и открытости, которые транслируются на все уровни организации. «Прозрачность и подотчётность усиливают доверие стейкхолдеров» [30, с. 5–6]. Когда верхний уровень демонстрирует последовательность между словами и действиями, горизонтальные команды перенимают эти нормы как естественную часть корпоративной среды. Это формирует предсказуемые правила взаимодействия, ясные границы автономии и устойчивые каналы обратной связи.</w:t>
      </w:r>
    </w:p>
    <w:p w14:paraId="597437DE" w14:textId="77777777" w:rsidR="00892F11" w:rsidRPr="008107BB" w:rsidRDefault="00892F11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Поддержание культуры доверия и самоконтроля обеспечивается за счёт постоянных коммуникаций. К числу таких инструментов относятся регулярные </w:t>
      </w:r>
      <w:r w:rsidRPr="008107BB">
        <w:rPr>
          <w:color w:val="000000"/>
          <w:sz w:val="28"/>
          <w:szCs w:val="28"/>
        </w:rPr>
        <w:lastRenderedPageBreak/>
        <w:t>ретроспективы, короткие циклы согласования, открытые стендапы, внутренние кодексы поведения и корпоративные площадки для обсуждения решений [32, с. 5–9]. Эти практики уменьшают информационные разрывы между уровнями управления и способствуют быстрому обмену знаниями. В количественных показателях результат проявляется через рост вовлечённости сотрудников (</w:t>
      </w:r>
      <w:proofErr w:type="spellStart"/>
      <w:r w:rsidRPr="008107BB">
        <w:rPr>
          <w:color w:val="000000"/>
          <w:sz w:val="28"/>
          <w:szCs w:val="28"/>
        </w:rPr>
        <w:t>eNPS</w:t>
      </w:r>
      <w:proofErr w:type="spellEnd"/>
      <w:r w:rsidRPr="008107BB">
        <w:rPr>
          <w:color w:val="000000"/>
          <w:sz w:val="28"/>
          <w:szCs w:val="28"/>
        </w:rPr>
        <w:t>), снижение текучести кадров и повышение качества исполнения задач [32, с. 6–10].</w:t>
      </w:r>
    </w:p>
    <w:p w14:paraId="5A9013CB" w14:textId="77777777" w:rsidR="00892F11" w:rsidRPr="008107BB" w:rsidRDefault="00892F11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Вместе с тем культура автономии не исключает необходимости контроля рисков. Нормы коллективной ответственности встраиваются в формальные контуры корпоративного управления — систему независимого аудита, этические стандарты, требования к отчётности и надзорные функции советов [30, с. 5–9]. Команды, обладающие самостоятельностью в принятии решений, обязаны соблюдать риск-лимиты, документировать принятые допущения и обеспечивать прозрачность результатов. Как отмечается в современных исследованиях, «автономия команд требует ясных границ и ответственности» [32, с. 7–9]. Такой баланс предотвращает как чрезмерную бюрократизацию, так и хаотичную децентрализацию.</w:t>
      </w:r>
    </w:p>
    <w:p w14:paraId="64542BE9" w14:textId="77777777" w:rsidR="00892F11" w:rsidRPr="008107BB" w:rsidRDefault="00892F11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Таким образом, корпоративная культура служит основным механизмом, через который самоуправление становится устойчивой управленческой практикой. Совпадение заявленных ценностей с повседневными действиями укрепляет дисциплину исполнения, а доверие позволяет поддерживать честную обратную связь, без которой невозможна подлинная самоорганизация [13, с. 4–6; 30, с. 6–9]. В итоге организация получает долгосрочную устойчивость: команды действуют гибко, но в установленных границах, а система управления сохраняет прозрачность и репутационную надёжность.</w:t>
      </w:r>
    </w:p>
    <w:p w14:paraId="371E53DC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Проведённый анализ позволяет обобщить ключевые теоретические подходы и определить место самоуправления в современной системе корпоративного управления. В отличие от иерархической модели, где решения сосредоточены в узком управленческом контуре, самоуправление формирует распределённую модель власти, основанную на участии сотрудников и команд в </w:t>
      </w:r>
      <w:r w:rsidRPr="008107BB">
        <w:rPr>
          <w:color w:val="000000"/>
          <w:sz w:val="28"/>
          <w:szCs w:val="28"/>
        </w:rPr>
        <w:lastRenderedPageBreak/>
        <w:t>достижении организационных целей [21, с. 5–10]. При этом централизованный контроль сохраняется, но его функция меняется — он становится координирующим и поддерживающим, а не директивным.</w:t>
      </w:r>
    </w:p>
    <w:p w14:paraId="2183EF3F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Формальные и неформальные органы самоуправления, действующие на разных уровнях организации, обеспечивают баланс между стратегической управляемостью и оперативной гибкостью. Формальные институты — наблюдательный совет, комитеты и правление — задают рамки подотчётности, определяют стратегию и контролируют выполнение решений, тогда как самоуправляемые команды и проектные группы выполняют функции оперативного управления и адаптации к изменениям внешней среды [26, с. 4–9]. Их взаимодействие формирует саморегулирующуюся систему, устойчивую к внешним колебаниям и способную быстро реагировать на внутренние вызовы.</w:t>
      </w:r>
    </w:p>
    <w:p w14:paraId="5D7E12EF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Самоуправление выполняет не только координационную, но и интеграционную роль. Оно объединяет участников вокруг общих целей, делает коммуникации более прозрачными и способствует ускоренному внедрению инноваций [31, с. 4–9]. Как отмечают современные исследователи, «самоуправление формирует коллективное чувство ответственности и доверия, которое невозможно воспроизвести в чисто административных структурах» [13, с. 3–6]. Именно корпоративная культура придаёт устойчивость этим процессам, превращая автономию в осознанную и дисциплинированную форму поведения.</w:t>
      </w:r>
    </w:p>
    <w:p w14:paraId="043C8287" w14:textId="3561D51F" w:rsidR="008B0677" w:rsidRPr="008107BB" w:rsidRDefault="00FC5FE2" w:rsidP="00006D76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Таким образом, самоуправление следует рассматривать как признак зрелости управленческой системы. Оно обеспечивает согласование интересов между уровнями управления, усиливает вовлечённость сотрудников и укрепляет устойчивость корпоративной среды. Такая модель создаёт пространство, где решения принимаются быстрее, но при этом остаются управляемыми, прозрачными и соответствующими этическим и правовым нормам [30, с. 5–8].</w:t>
      </w:r>
    </w:p>
    <w:p w14:paraId="242B7703" w14:textId="1C3D7A20" w:rsidR="000A12F6" w:rsidRPr="00006D76" w:rsidRDefault="0055527E" w:rsidP="00006D76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006D76">
        <w:rPr>
          <w:b/>
          <w:bCs/>
          <w:color w:val="000000"/>
          <w:sz w:val="28"/>
          <w:szCs w:val="28"/>
        </w:rPr>
        <w:t>1.2. Функции самоуправления и их роль в повышении эффективности управления персоналом</w:t>
      </w:r>
    </w:p>
    <w:p w14:paraId="79D43229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Связать самоуправление с измеряемым результатом возможно лишь через чёткую карту функций и показателей. В управленческой практике именно такая </w:t>
      </w:r>
      <w:r w:rsidRPr="008107BB">
        <w:rPr>
          <w:color w:val="000000"/>
          <w:sz w:val="28"/>
          <w:szCs w:val="28"/>
        </w:rPr>
        <w:lastRenderedPageBreak/>
        <w:t>систематизация позволяет проследить, как планирование, организация, мотивация, контроль и коммуникации влияют на производительность, вовлечённость и устойчивость кадрового контура. При этом соблюдение международных принципов корпоративного управления и требований регуляторов делает сравнение моделей разных организаций корректным и сопоставимым [30], [31].</w:t>
      </w:r>
    </w:p>
    <w:p w14:paraId="3288A39C" w14:textId="77777777" w:rsidR="00006D76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Планирование в контексте самоуправления проявляется в доле целей, обеспеченных измеримыми KPI, длительности горизонтов (квартал, год) и времени между постановкой задачи и запуском инициативы. В международной практике надзор за целями и стратегией рассматривается как условие своевременности решений и ориентации на ценность [31]. Организация определяется распределением ролей и ответственности, а также балансом между полномочиями и контролем. В банковской сфере этот баланс закрепляется моделью трёх линий защиты и системой комитетов, что обеспечивает независимую экспертизу решений и снижает риски. Мотивация строится на связке вознаграждения с результатом и риском: важен баланс между краткосрочными бонусами и долгосрочными стимулами, включая отсрочки выплат и корректировки при неблагоприятных событиях. Контроль и самоконтроль поддерживаются через независимость внутреннего аудита и его подотчётность совету директоров, что обеспечивает достоверность отчётности и предотвращает нарушения [24–28]. </w:t>
      </w:r>
    </w:p>
    <w:p w14:paraId="5C954607" w14:textId="4E571F89" w:rsidR="000A12F6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Как отмечается в ISO 37000, этика, подотчётность и участие стейкхолдеров являются ключевыми опорами создания организационной ценности [31]. Коммуникации характеризуются регулярностью и полнотой обратной связи: вовлечённость измеряется по охвату опросов и индексу доверия. В 2024 году в ПАО «Сбербанк России» уровень вовлечённости сотрудников составил 77 %, при охвате более 80 % персонала [11</w:t>
      </w:r>
      <w:r w:rsidR="002C277C" w:rsidRPr="008107BB">
        <w:rPr>
          <w:color w:val="000000"/>
          <w:sz w:val="28"/>
          <w:szCs w:val="28"/>
        </w:rPr>
        <w:t>, с. 7-12</w:t>
      </w:r>
      <w:r w:rsidRPr="008107BB">
        <w:rPr>
          <w:color w:val="000000"/>
          <w:sz w:val="28"/>
          <w:szCs w:val="28"/>
        </w:rPr>
        <w:t xml:space="preserve">]. Для анализа текучести персонала используется </w:t>
      </w:r>
      <w:proofErr w:type="spellStart"/>
      <w:r w:rsidRPr="008107BB">
        <w:rPr>
          <w:color w:val="000000"/>
          <w:sz w:val="28"/>
          <w:szCs w:val="28"/>
        </w:rPr>
        <w:t>макрофон</w:t>
      </w:r>
      <w:proofErr w:type="spellEnd"/>
      <w:r w:rsidRPr="008107BB">
        <w:rPr>
          <w:color w:val="000000"/>
          <w:sz w:val="28"/>
          <w:szCs w:val="28"/>
        </w:rPr>
        <w:t xml:space="preserve"> Росстата, отражающий тенденции рынка труда и средние значения по экономически активному населению [8–10]. Международные принципы G20/OECD и данные </w:t>
      </w:r>
      <w:proofErr w:type="spellStart"/>
      <w:r w:rsidRPr="008107BB">
        <w:rPr>
          <w:color w:val="000000"/>
          <w:sz w:val="28"/>
          <w:szCs w:val="28"/>
        </w:rPr>
        <w:t>Factbook</w:t>
      </w:r>
      <w:proofErr w:type="spellEnd"/>
      <w:r w:rsidRPr="008107BB">
        <w:rPr>
          <w:color w:val="000000"/>
          <w:sz w:val="28"/>
          <w:szCs w:val="28"/>
        </w:rPr>
        <w:t xml:space="preserve"> задают стандарты </w:t>
      </w:r>
      <w:r w:rsidRPr="008107BB">
        <w:rPr>
          <w:color w:val="000000"/>
          <w:sz w:val="28"/>
          <w:szCs w:val="28"/>
        </w:rPr>
        <w:lastRenderedPageBreak/>
        <w:t>сопоставимости управленческих ролей и метрик эффективности [29], [30].</w:t>
      </w:r>
      <w:r w:rsidR="00006D76">
        <w:rPr>
          <w:color w:val="000000"/>
          <w:sz w:val="28"/>
          <w:szCs w:val="28"/>
        </w:rPr>
        <w:t xml:space="preserve"> Резюме описанного подхода приведено в табл. 1.2.1.</w:t>
      </w:r>
    </w:p>
    <w:p w14:paraId="3D2BA9B2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3D15149" w14:textId="77777777" w:rsidR="00006D76" w:rsidRDefault="000A12F6" w:rsidP="00006D76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Таблица 1.2.1</w:t>
      </w:r>
    </w:p>
    <w:p w14:paraId="65AC7366" w14:textId="0C3DBBF7" w:rsidR="000A12F6" w:rsidRPr="008107BB" w:rsidRDefault="000A12F6" w:rsidP="00006D76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Функция</w:t>
      </w:r>
      <w:r w:rsidR="00006D76">
        <w:rPr>
          <w:color w:val="000000"/>
          <w:sz w:val="28"/>
          <w:szCs w:val="28"/>
        </w:rPr>
        <w:t>,</w:t>
      </w:r>
      <w:r w:rsidRPr="008107BB">
        <w:rPr>
          <w:color w:val="000000"/>
          <w:sz w:val="28"/>
          <w:szCs w:val="28"/>
        </w:rPr>
        <w:t xml:space="preserve"> KPI</w:t>
      </w:r>
      <w:r w:rsidR="00006D76">
        <w:rPr>
          <w:color w:val="000000"/>
          <w:sz w:val="28"/>
          <w:szCs w:val="28"/>
        </w:rPr>
        <w:t xml:space="preserve">, </w:t>
      </w:r>
      <w:r w:rsidRPr="008107BB">
        <w:rPr>
          <w:color w:val="000000"/>
          <w:sz w:val="28"/>
          <w:szCs w:val="28"/>
        </w:rPr>
        <w:t>Метрика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306"/>
        <w:gridCol w:w="2377"/>
        <w:gridCol w:w="2570"/>
      </w:tblGrid>
      <w:tr w:rsidR="002F64A8" w:rsidRPr="00006D76" w14:paraId="5DDA3F12" w14:textId="77777777" w:rsidTr="00006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40FBC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196C668E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KPI</w:t>
            </w:r>
          </w:p>
        </w:tc>
        <w:tc>
          <w:tcPr>
            <w:tcW w:w="0" w:type="auto"/>
            <w:vAlign w:val="center"/>
            <w:hideMark/>
          </w:tcPr>
          <w:p w14:paraId="6EA72575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Метрика (единицы)</w:t>
            </w:r>
          </w:p>
        </w:tc>
        <w:tc>
          <w:tcPr>
            <w:tcW w:w="0" w:type="auto"/>
            <w:vAlign w:val="center"/>
            <w:hideMark/>
          </w:tcPr>
          <w:p w14:paraId="1D54EB79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Источник данных</w:t>
            </w:r>
          </w:p>
        </w:tc>
      </w:tr>
      <w:tr w:rsidR="002F64A8" w:rsidRPr="00006D76" w14:paraId="7A0B207A" w14:textId="77777777" w:rsidTr="0000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85A2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Планирование</w:t>
            </w:r>
          </w:p>
        </w:tc>
        <w:tc>
          <w:tcPr>
            <w:tcW w:w="0" w:type="auto"/>
            <w:vAlign w:val="center"/>
            <w:hideMark/>
          </w:tcPr>
          <w:p w14:paraId="13BD6781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Time-</w:t>
            </w:r>
            <w:proofErr w:type="spellStart"/>
            <w:r w:rsidRPr="00006D76">
              <w:t>to</w:t>
            </w:r>
            <w:proofErr w:type="spellEnd"/>
            <w:r w:rsidRPr="00006D76">
              <w:t>-</w:t>
            </w:r>
            <w:proofErr w:type="spellStart"/>
            <w:r w:rsidRPr="00006D76">
              <w:t>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8768F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медиана дней от формулировки до решения (дни)</w:t>
            </w:r>
          </w:p>
        </w:tc>
        <w:tc>
          <w:tcPr>
            <w:tcW w:w="0" w:type="auto"/>
            <w:vAlign w:val="center"/>
            <w:hideMark/>
          </w:tcPr>
          <w:p w14:paraId="65293CB7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протоколы комитетов, система задач</w:t>
            </w:r>
          </w:p>
        </w:tc>
      </w:tr>
      <w:tr w:rsidR="002F64A8" w:rsidRPr="00006D76" w14:paraId="3797D871" w14:textId="77777777" w:rsidTr="0000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ED05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0436A6AC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Уровень делегирования</w:t>
            </w:r>
          </w:p>
        </w:tc>
        <w:tc>
          <w:tcPr>
            <w:tcW w:w="0" w:type="auto"/>
            <w:vAlign w:val="center"/>
            <w:hideMark/>
          </w:tcPr>
          <w:p w14:paraId="3FA4BD65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доля решений на уровне команды (%)</w:t>
            </w:r>
          </w:p>
        </w:tc>
        <w:tc>
          <w:tcPr>
            <w:tcW w:w="0" w:type="auto"/>
            <w:vAlign w:val="center"/>
            <w:hideMark/>
          </w:tcPr>
          <w:p w14:paraId="2E02AC47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матрица RACI, журнал делегирований</w:t>
            </w:r>
          </w:p>
        </w:tc>
      </w:tr>
      <w:tr w:rsidR="002F64A8" w:rsidRPr="00006D76" w14:paraId="7587406D" w14:textId="77777777" w:rsidTr="0000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26D0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Мотивация</w:t>
            </w:r>
          </w:p>
        </w:tc>
        <w:tc>
          <w:tcPr>
            <w:tcW w:w="0" w:type="auto"/>
            <w:vAlign w:val="center"/>
            <w:hideMark/>
          </w:tcPr>
          <w:p w14:paraId="4578E981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Доля командных KPI в бонусе</w:t>
            </w:r>
          </w:p>
        </w:tc>
        <w:tc>
          <w:tcPr>
            <w:tcW w:w="0" w:type="auto"/>
            <w:vAlign w:val="center"/>
            <w:hideMark/>
          </w:tcPr>
          <w:p w14:paraId="4AA2E1F0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удельный вес командных KPI в переменной части (%)</w:t>
            </w:r>
          </w:p>
        </w:tc>
        <w:tc>
          <w:tcPr>
            <w:tcW w:w="0" w:type="auto"/>
            <w:vAlign w:val="center"/>
            <w:hideMark/>
          </w:tcPr>
          <w:p w14:paraId="65C2997D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политика вознаграждения, решения НС</w:t>
            </w:r>
          </w:p>
        </w:tc>
      </w:tr>
      <w:tr w:rsidR="002F64A8" w:rsidRPr="00006D76" w14:paraId="1C426E90" w14:textId="77777777" w:rsidTr="0000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84A4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2E5068C3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Исполнение рекомендаций СВА</w:t>
            </w:r>
          </w:p>
        </w:tc>
        <w:tc>
          <w:tcPr>
            <w:tcW w:w="0" w:type="auto"/>
            <w:vAlign w:val="center"/>
            <w:hideMark/>
          </w:tcPr>
          <w:p w14:paraId="5DCFCADE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доля закрытых рекомендаций в срок (%)</w:t>
            </w:r>
          </w:p>
        </w:tc>
        <w:tc>
          <w:tcPr>
            <w:tcW w:w="0" w:type="auto"/>
            <w:vAlign w:val="center"/>
            <w:hideMark/>
          </w:tcPr>
          <w:p w14:paraId="07A6922D" w14:textId="57031C54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отчёты СВА</w:t>
            </w:r>
            <w:r w:rsidR="002C277C" w:rsidRPr="00006D76">
              <w:t xml:space="preserve"> (системы внутреннего аудита)</w:t>
            </w:r>
            <w:r w:rsidRPr="00006D76">
              <w:t xml:space="preserve"> и комитетов НС</w:t>
            </w:r>
          </w:p>
        </w:tc>
      </w:tr>
      <w:tr w:rsidR="002F64A8" w:rsidRPr="00006D76" w14:paraId="078D48E9" w14:textId="77777777" w:rsidTr="00006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5637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Коммуникации</w:t>
            </w:r>
          </w:p>
        </w:tc>
        <w:tc>
          <w:tcPr>
            <w:tcW w:w="0" w:type="auto"/>
            <w:vAlign w:val="center"/>
            <w:hideMark/>
          </w:tcPr>
          <w:p w14:paraId="5E3055E5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Охват обратной связи</w:t>
            </w:r>
          </w:p>
        </w:tc>
        <w:tc>
          <w:tcPr>
            <w:tcW w:w="0" w:type="auto"/>
            <w:vAlign w:val="center"/>
            <w:hideMark/>
          </w:tcPr>
          <w:p w14:paraId="7F5C0AD4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участие в пульс-опросах, доля от штата (%)</w:t>
            </w:r>
          </w:p>
        </w:tc>
        <w:tc>
          <w:tcPr>
            <w:tcW w:w="0" w:type="auto"/>
            <w:vAlign w:val="center"/>
            <w:hideMark/>
          </w:tcPr>
          <w:p w14:paraId="091862A7" w14:textId="77777777" w:rsidR="000A12F6" w:rsidRPr="00006D76" w:rsidRDefault="000A12F6" w:rsidP="008107BB">
            <w:pPr>
              <w:spacing w:line="360" w:lineRule="auto"/>
              <w:ind w:firstLine="709"/>
              <w:jc w:val="both"/>
            </w:pPr>
            <w:r w:rsidRPr="00006D76">
              <w:t>HR-панель, результаты опросов</w:t>
            </w:r>
          </w:p>
        </w:tc>
      </w:tr>
    </w:tbl>
    <w:p w14:paraId="5232B483" w14:textId="77777777" w:rsidR="000A12F6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[30], [31], [24–28], [11].</w:t>
      </w:r>
    </w:p>
    <w:p w14:paraId="30C88166" w14:textId="77777777" w:rsidR="00006D76" w:rsidRPr="008107BB" w:rsidRDefault="00006D7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E43E352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Представленная структура показывает, что скорость и качество управленческих решений зависят не только от применяемых методологий, но и от того, насколько делегированы полномочия на уровень команд. Рост доли решений, принимаемых внутри подразделений, обычно сокращает среднее время реакции и повышает гибкость процессов. Одновременно строгое соблюдение дисциплины контроля, выраженное в сроках исполнения рекомендаций СВА, минимизирует риск локальной оптимизации. Регулярная обратная связь </w:t>
      </w:r>
      <w:r w:rsidRPr="008107BB">
        <w:rPr>
          <w:color w:val="000000"/>
          <w:sz w:val="28"/>
          <w:szCs w:val="28"/>
        </w:rPr>
        <w:lastRenderedPageBreak/>
        <w:t>укрепляет доверие и удерживает сотрудников в фокусе корпоративных целей [24–28], [30], [31], [11].</w:t>
      </w:r>
    </w:p>
    <w:p w14:paraId="0D74C9E9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Системная увязка функций с KPI формирует прозрачный контур самоуправления: цели измеряются, ответственность закрепляется документально, мотивация направлена на поддержание инициативности, а контроль и коммуникации замыкают управленческий цикл. Такой подход создает устойчивую основу для развития самоуправляемых команд и последующей детализации их ролей и ритуалов [29], [30], [31].</w:t>
      </w:r>
    </w:p>
    <w:p w14:paraId="69108D1E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современных организациях самоуправляемые команды выступают ядром гибкой управленческой модели. Они основаны на принципе децентрализации решений, когда ответственность и функции распределяются между Product </w:t>
      </w:r>
      <w:proofErr w:type="spellStart"/>
      <w:r w:rsidRPr="008107BB">
        <w:rPr>
          <w:color w:val="000000"/>
          <w:sz w:val="28"/>
          <w:szCs w:val="28"/>
        </w:rPr>
        <w:t>Owner</w:t>
      </w:r>
      <w:proofErr w:type="spellEnd"/>
      <w:r w:rsidRPr="008107BB">
        <w:rPr>
          <w:color w:val="000000"/>
          <w:sz w:val="28"/>
          <w:szCs w:val="28"/>
        </w:rPr>
        <w:t xml:space="preserve">, </w:t>
      </w:r>
      <w:proofErr w:type="spellStart"/>
      <w:r w:rsidRPr="008107BB">
        <w:rPr>
          <w:color w:val="000000"/>
          <w:sz w:val="28"/>
          <w:szCs w:val="28"/>
        </w:rPr>
        <w:t>Scrum</w:t>
      </w:r>
      <w:proofErr w:type="spellEnd"/>
      <w:r w:rsidRPr="008107BB">
        <w:rPr>
          <w:color w:val="000000"/>
          <w:sz w:val="28"/>
          <w:szCs w:val="28"/>
        </w:rPr>
        <w:t xml:space="preserve"> Master и кросс-функциональными участниками. В банковской среде эти роли тесно связаны с комитетами по рискам и комплаенсу, что позволяет сохранять контроль и устойчивость процессов при высокой автономии команд [16–19], [31]. В стандарте ISO 37000 подчёркивается, что делегирование полномочий должно сопровождаться прозрачной подотчётностью и соблюдением этических норм, формирующих баланс свободы и ответственности [31].</w:t>
      </w:r>
    </w:p>
    <w:p w14:paraId="3B0297E2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Гибкость таких структур выражается в цикличности действий и способности быстро адаптироваться. Ключевые ритуалы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 xml:space="preserve"> — короткие итерации, планирования, ретроспективы и демонстрации результатов — повышают частоту обратной связи и уменьшают потери времени на исправления [32]. По данным McKinsey, внедрение гибких подходов позволяет сократить средний показатель Time-</w:t>
      </w:r>
      <w:proofErr w:type="spellStart"/>
      <w:r w:rsidRPr="008107BB">
        <w:rPr>
          <w:color w:val="000000"/>
          <w:sz w:val="28"/>
          <w:szCs w:val="28"/>
        </w:rPr>
        <w:t>to</w:t>
      </w:r>
      <w:proofErr w:type="spellEnd"/>
      <w:r w:rsidRPr="008107BB">
        <w:rPr>
          <w:color w:val="000000"/>
          <w:sz w:val="28"/>
          <w:szCs w:val="28"/>
        </w:rPr>
        <w:t>-</w:t>
      </w:r>
      <w:proofErr w:type="spellStart"/>
      <w:r w:rsidRPr="008107BB">
        <w:rPr>
          <w:color w:val="000000"/>
          <w:sz w:val="28"/>
          <w:szCs w:val="28"/>
        </w:rPr>
        <w:t>Decision</w:t>
      </w:r>
      <w:proofErr w:type="spellEnd"/>
      <w:r w:rsidRPr="008107BB">
        <w:rPr>
          <w:color w:val="000000"/>
          <w:sz w:val="28"/>
          <w:szCs w:val="28"/>
        </w:rPr>
        <w:t xml:space="preserve"> на 15–25 %, а Time-</w:t>
      </w:r>
      <w:proofErr w:type="spellStart"/>
      <w:r w:rsidRPr="008107BB">
        <w:rPr>
          <w:color w:val="000000"/>
          <w:sz w:val="28"/>
          <w:szCs w:val="28"/>
        </w:rPr>
        <w:t>to</w:t>
      </w:r>
      <w:proofErr w:type="spellEnd"/>
      <w:r w:rsidRPr="008107BB">
        <w:rPr>
          <w:color w:val="000000"/>
          <w:sz w:val="28"/>
          <w:szCs w:val="28"/>
        </w:rPr>
        <w:t>-Market — до 30 %, что подтверждает влияние самоорганизации на операционную эффективность [32]. Как отмечают эксперты, здоровая организация опирается на устойчивый каркас процессов, в рамках которого команды действуют свободно, не теряя управляемости — это и есть принцип «жёсткий каркас + гибкая сборка» [32].</w:t>
      </w:r>
    </w:p>
    <w:p w14:paraId="6D8986BA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Результативность самоуправляемых команд оценивается через измеримые показатели. Time-</w:t>
      </w:r>
      <w:proofErr w:type="spellStart"/>
      <w:r w:rsidRPr="008107BB">
        <w:rPr>
          <w:color w:val="000000"/>
          <w:sz w:val="28"/>
          <w:szCs w:val="28"/>
        </w:rPr>
        <w:t>to</w:t>
      </w:r>
      <w:proofErr w:type="spellEnd"/>
      <w:r w:rsidRPr="008107BB">
        <w:rPr>
          <w:color w:val="000000"/>
          <w:sz w:val="28"/>
          <w:szCs w:val="28"/>
        </w:rPr>
        <w:t>-Market и Time-</w:t>
      </w:r>
      <w:proofErr w:type="spellStart"/>
      <w:r w:rsidRPr="008107BB">
        <w:rPr>
          <w:color w:val="000000"/>
          <w:sz w:val="28"/>
          <w:szCs w:val="28"/>
        </w:rPr>
        <w:t>to</w:t>
      </w:r>
      <w:proofErr w:type="spellEnd"/>
      <w:r w:rsidRPr="008107BB">
        <w:rPr>
          <w:color w:val="000000"/>
          <w:sz w:val="28"/>
          <w:szCs w:val="28"/>
        </w:rPr>
        <w:t>-</w:t>
      </w:r>
      <w:proofErr w:type="spellStart"/>
      <w:r w:rsidRPr="008107BB">
        <w:rPr>
          <w:color w:val="000000"/>
          <w:sz w:val="28"/>
          <w:szCs w:val="28"/>
        </w:rPr>
        <w:t>Decision</w:t>
      </w:r>
      <w:proofErr w:type="spellEnd"/>
      <w:r w:rsidRPr="008107BB">
        <w:rPr>
          <w:color w:val="000000"/>
          <w:sz w:val="28"/>
          <w:szCs w:val="28"/>
        </w:rPr>
        <w:t xml:space="preserve"> определяются как медианные </w:t>
      </w:r>
      <w:r w:rsidRPr="008107BB">
        <w:rPr>
          <w:color w:val="000000"/>
          <w:sz w:val="28"/>
          <w:szCs w:val="28"/>
        </w:rPr>
        <w:lastRenderedPageBreak/>
        <w:t>значения по релизам или управленческим решениям в квартал, отражая скорость реакции на изменения [31], [32]. Дополнительные критерии — доля релизов без инцидентов первого уровня и частота релизов в месяц — позволяют оценить качество внутренней координации [32]. В финансовом секторе особое внимание уделяется мотивации: не менее 40 % переменной части вознаграждения управленцев приходится на командные KPI, а долгосрочные выплаты корректируются с учётом рисков, что стимулирует коллективную ответственность и устойчивость к краткосрочным сбоям [24–28].</w:t>
      </w:r>
    </w:p>
    <w:p w14:paraId="50026E4D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ПАО «Сбербанк России» модель самоуправления совмещает высокую автономию команд с жёсткой системой контроля. Внутренний аудит (СВА) подотчётен наблюдательному совету и административно подчинён президенту банка, а риск-функции интегрированы в трёхлинейную модель защиты, обеспечивающую баланс независимости и скорости решений [24–28]. Вовлечённость персонала служит ключевым индикатором зрелости самоуправления: в 2024 году индекс вовлечённости достиг 77 %, а доверие к топ-команде — 80 % [11].</w:t>
      </w:r>
    </w:p>
    <w:p w14:paraId="084E6CFF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Таким образом, самоуправляемые команды становятся инструментом согласования скорости и контроля. Их эффективность определяется ясным распределением ролей, прозрачными метриками и этичной культурой, в которой каждый участник осознаёт границы автономии и меру своей ответственности [31], [32].</w:t>
      </w:r>
    </w:p>
    <w:p w14:paraId="0D5A476F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Самоуправление заметно влияет на то, как формируются поведенческие нормы, вовлечённость и ответственность сотрудников. Для современных организаций это не просто управленческий инструмент, а способ поддержания внутренней мотивации и культуры осознанных действий. В стандарте ISO 37000 подчёркивается, что устойчивое создание ценности опирается на этику, подотчётность и участие заинтересованных сторон — именно эти принципы определяют основу автономных команд [31]. В такой среде формальный контроль постепенно уступает место доверию, а ключевым элементом становится личная ответственность за общий результат.</w:t>
      </w:r>
    </w:p>
    <w:p w14:paraId="5B732AB0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Организации, внедряющие гибкие модели управления, демонстрируют более высокий уровень вовлечённости и адаптивности сотрудников. Исследования McKinsey показывают, что «здоровые» компании превосходят другие по инновационной активности и вовлечённости примерно на 30 %, что связано с развитием когнитивной гибкости и коллективного обучения [32]. Сотрудники чаще проявляют инициативу, а принятие решений распределяется между уровнями, что снижает зависимость от вертикали власти. При этом роль руководителя меняется — он становится не контролёром, а координатором и наставником, создающим условия для совместного прогресса.</w:t>
      </w:r>
    </w:p>
    <w:p w14:paraId="6C399912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Кросс-функциональные взаимодействия усиливают обмен опытом и ускоряют распространение знаний. Внутренние сообщества практик, временные проектные группы и механизмы ротации участников создают динамичную экосистему обучения, где готовность к изменениям становится нормой [32]. Такие процессы тесно связаны с корпоративной культурой доверия и открытости. В соответствии с принципами G20/OECD, прозрачность и управление конфликтами интересов снижают агентские издержки и формируют атмосферу самоконтроля и ответственности [30].</w:t>
      </w:r>
    </w:p>
    <w:p w14:paraId="78B24065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Эмпирические данные подтверждают эти тенденции. В 2024 году индекс вовлечённости сотрудников ПАО «Сбербанк России» достиг 77 %, а более 80 % работников приняли участие в пульс-опросах, отражающих уровень доверия и удовлетворённости условиями труда [11]. Эти инструменты обратной связи позволяют оперативно отслеживать динамику командного климата и выявлять зоны развития. Макроэкономические данные Росстата также фиксируют постепенное снижение текучести кадров в секторах, где применяются формы участия работников в управлении [8–10].</w:t>
      </w:r>
    </w:p>
    <w:p w14:paraId="695D6271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итоге самоуправление трансформирует управленческую логику: коллективное принятие решений становится источником устойчивости, а доверие — главным нематериальным активом. Взаимосвязь между вовлечённостью, ответственностью и результативностью формирует основу для </w:t>
      </w:r>
      <w:r w:rsidRPr="008107BB">
        <w:rPr>
          <w:color w:val="000000"/>
          <w:sz w:val="28"/>
          <w:szCs w:val="28"/>
        </w:rPr>
        <w:lastRenderedPageBreak/>
        <w:t>долгосрочного развития организации, укрепляя её способность к обучению и инновациям [30], [31], [32].</w:t>
      </w:r>
    </w:p>
    <w:p w14:paraId="2B31C473" w14:textId="7446E954" w:rsidR="000A12F6" w:rsidRPr="00793478" w:rsidRDefault="0055527E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93478">
        <w:rPr>
          <w:b/>
          <w:bCs/>
          <w:color w:val="000000"/>
          <w:sz w:val="28"/>
          <w:szCs w:val="28"/>
        </w:rPr>
        <w:t>1.3. Нормативно-правовое и корпоративное регулирование самоуправления в организациях</w:t>
      </w:r>
    </w:p>
    <w:p w14:paraId="4704829E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Система правовых норм, регулирующих самоуправление в организациях, в России имеет многоуровневую структуру, где каждый уровень задаёт свою меру автономии и ответственности. Базой выступает корпоративное законодательство, на которое наслаиваются банковские регламенты и внутренние акты компаний. Такой подход позволяет совмещать свободу управленческих решений с требованиями прозрачности и контроля [1, с. 1–6], [3, с. 2–5].</w:t>
      </w:r>
    </w:p>
    <w:p w14:paraId="1313CE47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Закон № 208-ФЗ «Об акционерных обществах» определяет полномочия общего собрания акционеров, совета директоров и исполнительных органов, устанавливая порядок одобрения крупных сделок и изменений устава [1, с. 7–11]. В банковской сфере действует дополнительный норматив — закон № 395-1 «О банках и банковской деятельности», который закрепляет особые требования к органам управления кредитных организаций и даёт Банку России полномочия по регулированию и надзору [3, с. 3–7]. Рекомендательный Кодекс корпоративного управления Банка России (ККУ ЦБ) вводит принципы эффективности совета директоров, функционирования комитетов и прозрачности через механизм «соблюдай или объясняй», используемый в публичной отчётности эмитентов [4, с. 2–6], [5, с. 4–9].</w:t>
      </w:r>
    </w:p>
    <w:p w14:paraId="79DD3C53" w14:textId="77777777" w:rsidR="000A12F6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Практическая реализация этих принципов обеспечивается положениями ЦБ № 242-П «Об организации внутреннего контроля» и № 716-П «О требованиях к системе управления операционным риском». Они обязывают банки выстраивать трёхуровневую систему защиты, обеспечивать независимость контрольных подразделений и регулярно отчитываться перед наблюдательным советом и профильными комитетами [6, с. 1–8], [7, с. 1–10]. На уровне конкретных организаций эти рамки конкретизируются локальными актами: кодексами корпоративного управления, положениями о совете директоров, </w:t>
      </w:r>
      <w:r w:rsidRPr="008107BB">
        <w:rPr>
          <w:color w:val="000000"/>
          <w:sz w:val="28"/>
          <w:szCs w:val="28"/>
        </w:rPr>
        <w:lastRenderedPageBreak/>
        <w:t>внутреннем аудите и комплаенсе, а также политиками раскрытия информации [11, с. 2–6].</w:t>
      </w:r>
    </w:p>
    <w:p w14:paraId="71F05798" w14:textId="77777777" w:rsidR="00793478" w:rsidRPr="008107BB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7A543F6" w14:textId="77777777" w:rsidR="00793478" w:rsidRPr="00793478" w:rsidRDefault="000A12F6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</w:pPr>
      <w:r w:rsidRPr="00793478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Таблица 1.3.1</w:t>
      </w:r>
    </w:p>
    <w:p w14:paraId="376047BF" w14:textId="2EDDC331" w:rsidR="000A12F6" w:rsidRPr="00793478" w:rsidRDefault="000A12F6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793478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Нормативная база и охват</w:t>
      </w:r>
      <w:r w:rsidR="00793478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самоуправления в организации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639"/>
        <w:gridCol w:w="2112"/>
        <w:gridCol w:w="2877"/>
      </w:tblGrid>
      <w:tr w:rsidR="00793478" w:rsidRPr="00793478" w14:paraId="71F93A66" w14:textId="77777777" w:rsidTr="00793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D2D27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НПА</w:t>
            </w:r>
          </w:p>
        </w:tc>
        <w:tc>
          <w:tcPr>
            <w:tcW w:w="0" w:type="auto"/>
            <w:vAlign w:val="center"/>
            <w:hideMark/>
          </w:tcPr>
          <w:p w14:paraId="25A9DE94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Предмет регулирования</w:t>
            </w:r>
          </w:p>
        </w:tc>
        <w:tc>
          <w:tcPr>
            <w:tcW w:w="0" w:type="auto"/>
            <w:vAlign w:val="center"/>
            <w:hideMark/>
          </w:tcPr>
          <w:p w14:paraId="00CC8A18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Для кого</w:t>
            </w:r>
          </w:p>
        </w:tc>
        <w:tc>
          <w:tcPr>
            <w:tcW w:w="0" w:type="auto"/>
            <w:vAlign w:val="center"/>
            <w:hideMark/>
          </w:tcPr>
          <w:p w14:paraId="41DA6248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Ключевые положения по самоуправлению</w:t>
            </w:r>
          </w:p>
        </w:tc>
      </w:tr>
      <w:tr w:rsidR="000A12F6" w:rsidRPr="00793478" w14:paraId="34EBE671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42FC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[1] 208-ФЗ «Об акционерных обществах»</w:t>
            </w:r>
          </w:p>
        </w:tc>
        <w:tc>
          <w:tcPr>
            <w:tcW w:w="0" w:type="auto"/>
            <w:vAlign w:val="center"/>
            <w:hideMark/>
          </w:tcPr>
          <w:p w14:paraId="66106E9F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Компетенция органов АО, порядок принятия решений, существенные действия</w:t>
            </w:r>
          </w:p>
        </w:tc>
        <w:tc>
          <w:tcPr>
            <w:tcW w:w="0" w:type="auto"/>
            <w:vAlign w:val="center"/>
            <w:hideMark/>
          </w:tcPr>
          <w:p w14:paraId="1F70C8FE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Публичные и непубличные АО</w:t>
            </w:r>
          </w:p>
        </w:tc>
        <w:tc>
          <w:tcPr>
            <w:tcW w:w="0" w:type="auto"/>
            <w:vAlign w:val="center"/>
            <w:hideMark/>
          </w:tcPr>
          <w:p w14:paraId="44DB878C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Разграничение полномочий ОСА, НС и ИО; кворумы; обязательность локальных документов</w:t>
            </w:r>
          </w:p>
        </w:tc>
      </w:tr>
      <w:tr w:rsidR="000A12F6" w:rsidRPr="00793478" w14:paraId="069F074E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5C0F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[3] Закон «О банках и банковской деятельности»</w:t>
            </w:r>
          </w:p>
        </w:tc>
        <w:tc>
          <w:tcPr>
            <w:tcW w:w="0" w:type="auto"/>
            <w:vAlign w:val="center"/>
            <w:hideMark/>
          </w:tcPr>
          <w:p w14:paraId="317C9194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Статус кредитной организации, надзор и операционные стандарты</w:t>
            </w:r>
          </w:p>
        </w:tc>
        <w:tc>
          <w:tcPr>
            <w:tcW w:w="0" w:type="auto"/>
            <w:vAlign w:val="center"/>
            <w:hideMark/>
          </w:tcPr>
          <w:p w14:paraId="12E9A459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Банки и группы</w:t>
            </w:r>
          </w:p>
        </w:tc>
        <w:tc>
          <w:tcPr>
            <w:tcW w:w="0" w:type="auto"/>
            <w:vAlign w:val="center"/>
            <w:hideMark/>
          </w:tcPr>
          <w:p w14:paraId="2852AC0C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Полномочия ЦБ, регулирование рисков, контроль устойчивости</w:t>
            </w:r>
          </w:p>
        </w:tc>
      </w:tr>
      <w:tr w:rsidR="000A12F6" w:rsidRPr="00793478" w14:paraId="060E3ED0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DEA1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[4], [5] ККУ Банка России</w:t>
            </w:r>
          </w:p>
        </w:tc>
        <w:tc>
          <w:tcPr>
            <w:tcW w:w="0" w:type="auto"/>
            <w:vAlign w:val="center"/>
            <w:hideMark/>
          </w:tcPr>
          <w:p w14:paraId="63548F2B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Принципы прав акционеров, эффективность совета, комитеты, раскрытие</w:t>
            </w:r>
          </w:p>
        </w:tc>
        <w:tc>
          <w:tcPr>
            <w:tcW w:w="0" w:type="auto"/>
            <w:vAlign w:val="center"/>
            <w:hideMark/>
          </w:tcPr>
          <w:p w14:paraId="3E0545CE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Публичные общества</w:t>
            </w:r>
          </w:p>
        </w:tc>
        <w:tc>
          <w:tcPr>
            <w:tcW w:w="0" w:type="auto"/>
            <w:vAlign w:val="center"/>
            <w:hideMark/>
          </w:tcPr>
          <w:p w14:paraId="6B53B9DD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Механизм «соблюдай или объясняй»; роль комитетов; этические нормы</w:t>
            </w:r>
          </w:p>
        </w:tc>
      </w:tr>
      <w:tr w:rsidR="000A12F6" w:rsidRPr="00793478" w14:paraId="7245D7EB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57D9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[6] Положение № 242-П</w:t>
            </w:r>
          </w:p>
        </w:tc>
        <w:tc>
          <w:tcPr>
            <w:tcW w:w="0" w:type="auto"/>
            <w:vAlign w:val="center"/>
            <w:hideMark/>
          </w:tcPr>
          <w:p w14:paraId="02131912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Система внутреннего контроля, распределение ответственности</w:t>
            </w:r>
          </w:p>
        </w:tc>
        <w:tc>
          <w:tcPr>
            <w:tcW w:w="0" w:type="auto"/>
            <w:vAlign w:val="center"/>
            <w:hideMark/>
          </w:tcPr>
          <w:p w14:paraId="31B576F8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Кредитные организации</w:t>
            </w:r>
          </w:p>
        </w:tc>
        <w:tc>
          <w:tcPr>
            <w:tcW w:w="0" w:type="auto"/>
            <w:vAlign w:val="center"/>
            <w:hideMark/>
          </w:tcPr>
          <w:p w14:paraId="19A1E11D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Три линии защиты; регламентация процедур контроля; отчётность НС</w:t>
            </w:r>
          </w:p>
        </w:tc>
      </w:tr>
      <w:tr w:rsidR="000A12F6" w:rsidRPr="00793478" w14:paraId="03AFFD43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5006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[7] Положение № 716-П (08.04.2020 / вступило в силу 01.10.2020)</w:t>
            </w:r>
          </w:p>
        </w:tc>
        <w:tc>
          <w:tcPr>
            <w:tcW w:w="0" w:type="auto"/>
            <w:vAlign w:val="center"/>
            <w:hideMark/>
          </w:tcPr>
          <w:p w14:paraId="54FFE78C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Управление операционным риском, идентификация и мониторинг</w:t>
            </w:r>
          </w:p>
        </w:tc>
        <w:tc>
          <w:tcPr>
            <w:tcW w:w="0" w:type="auto"/>
            <w:vAlign w:val="center"/>
            <w:hideMark/>
          </w:tcPr>
          <w:p w14:paraId="7862B8F4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Кредитные организации</w:t>
            </w:r>
          </w:p>
        </w:tc>
        <w:tc>
          <w:tcPr>
            <w:tcW w:w="0" w:type="auto"/>
            <w:vAlign w:val="center"/>
            <w:hideMark/>
          </w:tcPr>
          <w:p w14:paraId="7E5E5356" w14:textId="77777777" w:rsidR="000A12F6" w:rsidRPr="00793478" w:rsidRDefault="000A12F6" w:rsidP="008107BB">
            <w:pPr>
              <w:spacing w:line="360" w:lineRule="auto"/>
              <w:ind w:firstLine="709"/>
              <w:jc w:val="both"/>
            </w:pPr>
            <w:r w:rsidRPr="00793478">
              <w:t>Надзор НС и комитета по рискам; стресс-тестирование; регулярная отчётность</w:t>
            </w:r>
          </w:p>
        </w:tc>
      </w:tr>
    </w:tbl>
    <w:p w14:paraId="0A7CF946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B411804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</w:pPr>
    </w:p>
    <w:p w14:paraId="579F136C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</w:pPr>
    </w:p>
    <w:p w14:paraId="2EADD144" w14:textId="0140AF72" w:rsidR="00793478" w:rsidRPr="00793478" w:rsidRDefault="00793478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sz w:val="32"/>
          <w:szCs w:val="32"/>
        </w:rPr>
      </w:pPr>
      <w:r w:rsidRPr="00793478">
        <w:rPr>
          <w:sz w:val="28"/>
          <w:szCs w:val="28"/>
        </w:rPr>
        <w:lastRenderedPageBreak/>
        <w:t>Продолжение табл. 1.3.1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670"/>
        <w:gridCol w:w="2390"/>
        <w:gridCol w:w="2754"/>
      </w:tblGrid>
      <w:tr w:rsidR="00793478" w:rsidRPr="00793478" w14:paraId="3E6ABFCC" w14:textId="77777777" w:rsidTr="00793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43538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НПА</w:t>
            </w:r>
          </w:p>
        </w:tc>
        <w:tc>
          <w:tcPr>
            <w:tcW w:w="0" w:type="auto"/>
            <w:vAlign w:val="center"/>
            <w:hideMark/>
          </w:tcPr>
          <w:p w14:paraId="04BA96F0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Предмет регулирования</w:t>
            </w:r>
          </w:p>
        </w:tc>
        <w:tc>
          <w:tcPr>
            <w:tcW w:w="0" w:type="auto"/>
            <w:vAlign w:val="center"/>
            <w:hideMark/>
          </w:tcPr>
          <w:p w14:paraId="053D36C1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Для кого</w:t>
            </w:r>
          </w:p>
        </w:tc>
        <w:tc>
          <w:tcPr>
            <w:tcW w:w="0" w:type="auto"/>
            <w:vAlign w:val="center"/>
            <w:hideMark/>
          </w:tcPr>
          <w:p w14:paraId="186A3B1E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Ключевые положения по самоуправлению</w:t>
            </w:r>
          </w:p>
        </w:tc>
      </w:tr>
      <w:tr w:rsidR="00793478" w:rsidRPr="00793478" w14:paraId="229F2116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A30E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[2] Трудовой кодекс РФ</w:t>
            </w:r>
          </w:p>
        </w:tc>
        <w:tc>
          <w:tcPr>
            <w:tcW w:w="0" w:type="auto"/>
            <w:vAlign w:val="center"/>
            <w:hideMark/>
          </w:tcPr>
          <w:p w14:paraId="2A434BDE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Трудовые отношения и локальные нормативные акты</w:t>
            </w:r>
          </w:p>
        </w:tc>
        <w:tc>
          <w:tcPr>
            <w:tcW w:w="0" w:type="auto"/>
            <w:vAlign w:val="center"/>
            <w:hideMark/>
          </w:tcPr>
          <w:p w14:paraId="72C2602F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Работодатели, работники</w:t>
            </w:r>
          </w:p>
        </w:tc>
        <w:tc>
          <w:tcPr>
            <w:tcW w:w="0" w:type="auto"/>
            <w:vAlign w:val="center"/>
            <w:hideMark/>
          </w:tcPr>
          <w:p w14:paraId="25F0D16E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База для регламентов о дисциплине, этике и вовлечённости</w:t>
            </w:r>
          </w:p>
        </w:tc>
      </w:tr>
      <w:tr w:rsidR="00793478" w:rsidRPr="00793478" w14:paraId="106FBCE5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FE57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[11] Локальные акты эмитента (IR-раздел)</w:t>
            </w:r>
          </w:p>
        </w:tc>
        <w:tc>
          <w:tcPr>
            <w:tcW w:w="0" w:type="auto"/>
            <w:vAlign w:val="center"/>
            <w:hideMark/>
          </w:tcPr>
          <w:p w14:paraId="195E3609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Положения о НС и комитетах, кодекс КУ, дивидендная политика</w:t>
            </w:r>
          </w:p>
        </w:tc>
        <w:tc>
          <w:tcPr>
            <w:tcW w:w="0" w:type="auto"/>
            <w:vAlign w:val="center"/>
            <w:hideMark/>
          </w:tcPr>
          <w:p w14:paraId="4E4BB65C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Публичные эмитенты</w:t>
            </w:r>
          </w:p>
        </w:tc>
        <w:tc>
          <w:tcPr>
            <w:tcW w:w="0" w:type="auto"/>
            <w:vAlign w:val="center"/>
            <w:hideMark/>
          </w:tcPr>
          <w:p w14:paraId="499FBF03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Детализация ролей и мандатов; практическое самоуправление</w:t>
            </w:r>
          </w:p>
        </w:tc>
      </w:tr>
    </w:tbl>
    <w:p w14:paraId="68BF808C" w14:textId="7BBFDC8D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Источник: составлено автором по [1; 2; 3; 4; 5; 6; 7; 11].</w:t>
      </w:r>
    </w:p>
    <w:p w14:paraId="20EF6D36" w14:textId="77777777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53C02E0" w14:textId="72314F63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Иерархия представленных актов демонстрирует системность подхода: федеральные законы определяют основы компетенций, банковские положения придают глубину управлению рисками и контролю, а ККУ ЦБ задаёт стандарты этики, прозрачности и ответственности [4, с. 5–9], [6, с. 3–7], [11, с. 3–6].</w:t>
      </w:r>
    </w:p>
    <w:p w14:paraId="7BF4E306" w14:textId="33033FCC" w:rsidR="000A12F6" w:rsidRPr="008107BB" w:rsidRDefault="000A12F6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На практике самоуправление строится на равновесии распределённой ответственности и формализованной подотчётности: автономия подразделений возможна при наличии закреплённых процедур эскалации, независимости контроля и прозрачности решений [7, с. 5–10], [3, с. 4–7]. Для банков такая конфигурация особенно значима — она поддерживает дисциплину процессов, не лишая их гибкости, и формирует устойчивую основу для сопоставления с международными стандартами.</w:t>
      </w:r>
    </w:p>
    <w:p w14:paraId="52E5A6C3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Международные ориентиры по корпоративному управлению задают понятные критерии качества для органов самоуправления, помогая увязать интересы акционеров, менеджмента и стейкхолдеров с требованиями прозрачности и устойчивости решений [29, с. 1–4]. Для российской практики эти документы работают как эталон регулирования и методическая основа для </w:t>
      </w:r>
      <w:r w:rsidRPr="008107BB">
        <w:rPr>
          <w:color w:val="000000"/>
          <w:sz w:val="28"/>
          <w:szCs w:val="28"/>
        </w:rPr>
        <w:lastRenderedPageBreak/>
        <w:t>рекомендаций мегарегулятора и внутренних корпоративных кодексов [30, с. 3–6].</w:t>
      </w:r>
    </w:p>
    <w:p w14:paraId="4F3B7223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Редакция Принципов G20/OECD 2023 года структурирует требования в шести блоках: права акционеров, роль институциональных инвесторов, участие заинтересованных сторон, раскрытие информации, обязанности совета и устойчивость деятельности [30, с. 7–11]. В обновлении усилены темы ESG, цифровизации рынков капитала и защиты миноритариев, что повышает сопоставимость практик и ожиданий к работе советов [29, с. 2–5]. Характер документа — рамочный: он служит базой для национальных систем, не подменяя внутреннее право, что позволяет адаптировать его в российской юрисдикции без конфликтов норм [30, с. 10–12].</w:t>
      </w:r>
    </w:p>
    <w:p w14:paraId="369686C0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Сопоставительный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93478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>OECD</w:t>
      </w:r>
      <w:r w:rsidRPr="008107BB">
        <w:rPr>
          <w:rStyle w:val="ae"/>
          <w:rFonts w:eastAsiaTheme="majorEastAsia"/>
          <w:color w:val="000000"/>
          <w:sz w:val="28"/>
          <w:szCs w:val="28"/>
        </w:rPr>
        <w:t xml:space="preserve"> </w:t>
      </w:r>
      <w:r w:rsidRPr="00793478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 xml:space="preserve">Corporate </w:t>
      </w:r>
      <w:proofErr w:type="spellStart"/>
      <w:r w:rsidRPr="00793478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>Governance</w:t>
      </w:r>
      <w:proofErr w:type="spellEnd"/>
      <w:r w:rsidRPr="00793478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793478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>Factbook</w:t>
      </w:r>
      <w:proofErr w:type="spellEnd"/>
      <w:r w:rsidRPr="00793478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 xml:space="preserve"> 2023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охватывает 49 юрисдикций и фиксирует распространённость комитета по аудиту у публичных компаний на уровне около 98 процентов, а требований к раскрытию политики вознаграждения — более чем в 80 процентах случаев [29, с. 5–8]. Отмечается устойчивый рост роли независимых директоров; в странах ОЭСР их доля в советах часто превышает половину состава, что усиливает разделение надзорных и исполнительных функций [30, с. 9–10].</w:t>
      </w:r>
    </w:p>
    <w:p w14:paraId="47BC4C04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Стандарт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93478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>ISO 37000:2021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формулирует принципы результативности, этичности, подотчётности, открытости и надёжности, адресуя их «</w:t>
      </w:r>
      <w:proofErr w:type="spellStart"/>
      <w:r w:rsidRPr="008107BB">
        <w:rPr>
          <w:color w:val="000000"/>
          <w:sz w:val="28"/>
          <w:szCs w:val="28"/>
        </w:rPr>
        <w:t>governing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body</w:t>
      </w:r>
      <w:proofErr w:type="spellEnd"/>
      <w:r w:rsidRPr="008107BB">
        <w:rPr>
          <w:color w:val="000000"/>
          <w:sz w:val="28"/>
          <w:szCs w:val="28"/>
        </w:rPr>
        <w:t>» как носителю стратегической ответственности [31, с. 2–7]. В акценте — не чек-лист норм, а культура решений и качество лидерства, то есть поведенческая основа самоуправления, поддерживающая доверие и дисциплину исполнения [31, с. 7–10]. Как кратко указано в документе, «назначение руководящего органа — направлять, контролировать и обеспечивать устойчивую ценность» [31, с. 6–7].</w:t>
      </w:r>
    </w:p>
    <w:p w14:paraId="1DBD0E3F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сумме G20/OECD и ISO 37000 задают проверяемые требования к прозрачности, независимости советов, работе комитетов и коммуникации со стейкхолдерами, а их интеграция через национальные кодексы позволяет сочетать лучшие практики с особенностями отраслевого регулирования [29, с. 8–</w:t>
      </w:r>
      <w:r w:rsidRPr="008107BB">
        <w:rPr>
          <w:color w:val="000000"/>
          <w:sz w:val="28"/>
          <w:szCs w:val="28"/>
        </w:rPr>
        <w:lastRenderedPageBreak/>
        <w:t>11]. Такой подход облегчает перенос глобальных стандартов в российскую практику без утраты регуляторной согласованности и управленческой эффективности [30, с. 10–12], [31, с. 7–10].</w:t>
      </w:r>
    </w:p>
    <w:p w14:paraId="04E0D3E9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Внедрение международных принципов корпоративного управления в российскую практику опирается на многоуровневую систему национальных норм и регуляторных документов. Особенно чётко это прослеживается в банковской отрасли, где требования Банка России, положения о внутреннем контроле и корпоративные кодексы объединяются в единую архитектуру самоуправления [4, с. 2–6], [6, с. 1–8], [7, с. 1–10]. Такое сочетание позволяет использовать международные стандарты как ориентиры управленческой зрелости, при этом соблюдая внутренние правовые рамки и отраслевую специфику.</w:t>
      </w:r>
    </w:p>
    <w:p w14:paraId="402E5395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Ключевым инструментом адаптации стал принцип «соблюдай или объясняй», закреплённый в Кодексе корпоративного управления Банка России. Он стимулирует публичные компании раскрывать степень соответствия своим корпоративным политикам, предоставляя инвесторам и регулятору информацию о составе советов директоров, независимости комитетов и прозрачности вознаграждений [4, с. 5–8], [5, с. 7–10]. В крупнейших организациях, включая ПАО «Сбербанк России», отчётность дополняется собственными кодексами корпоративного управления, утверждёнными наблюдательными советами и публикуемыми в открытом доступе [11, с. 4–7]. Это формирует управленческую культуру, где подотчётность воспринимается как элемент доверия, а не формальное требование.</w:t>
      </w:r>
    </w:p>
    <w:p w14:paraId="4C494EF9" w14:textId="77777777" w:rsidR="008B0677" w:rsidRPr="00793478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Нормативные документы ЦБ — Положения № 242-П и № 716-П — институционализируют базовые принципы ISO 37000 и G20/OECD: прозрачность, ответственность и распределение полномочий. Они предписывают организациям наличие трёх линий защиты, независимого внутреннего аудита, регулярной отчётности и надзора за операционными рисками [6, с. 3–7], [7, с. 4–10]. Эта модель полностью соотносится с международной практикой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8107BB">
        <w:rPr>
          <w:rStyle w:val="ae"/>
          <w:rFonts w:eastAsiaTheme="majorEastAsia"/>
          <w:color w:val="000000"/>
          <w:sz w:val="28"/>
          <w:szCs w:val="28"/>
        </w:rPr>
        <w:t>risk</w:t>
      </w:r>
      <w:proofErr w:type="spellEnd"/>
      <w:r w:rsidRPr="008107BB">
        <w:rPr>
          <w:rStyle w:val="ae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8107BB">
        <w:rPr>
          <w:rStyle w:val="ae"/>
          <w:rFonts w:eastAsiaTheme="majorEastAsia"/>
          <w:color w:val="000000"/>
          <w:sz w:val="28"/>
          <w:szCs w:val="28"/>
        </w:rPr>
        <w:t>oversight</w:t>
      </w:r>
      <w:proofErr w:type="spellEnd"/>
      <w:r w:rsidRPr="008107BB">
        <w:rPr>
          <w:color w:val="000000"/>
          <w:sz w:val="28"/>
          <w:szCs w:val="28"/>
        </w:rPr>
        <w:t xml:space="preserve">, где именно наблюдательный совет и </w:t>
      </w:r>
      <w:r w:rsidRPr="008107BB">
        <w:rPr>
          <w:color w:val="000000"/>
          <w:sz w:val="28"/>
          <w:szCs w:val="28"/>
        </w:rPr>
        <w:lastRenderedPageBreak/>
        <w:t>комитет по рискам обеспечивают устойчивость и этичность управления [30, с. 6–10], [31, с. 5–9].</w:t>
      </w:r>
    </w:p>
    <w:p w14:paraId="356EAF73" w14:textId="77777777" w:rsidR="00793478" w:rsidRPr="00793478" w:rsidRDefault="008B0677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</w:pPr>
      <w:r w:rsidRPr="00793478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Таблица 1.3.2</w:t>
      </w:r>
    </w:p>
    <w:p w14:paraId="33678A1D" w14:textId="3F7638D2" w:rsidR="008B0677" w:rsidRPr="00793478" w:rsidRDefault="008B0677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793478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Соотнесение международных принципов и российской </w:t>
      </w:r>
      <w:proofErr w:type="spellStart"/>
      <w:r w:rsidRPr="00793478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регуляторики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026"/>
        <w:gridCol w:w="2376"/>
        <w:gridCol w:w="2844"/>
      </w:tblGrid>
      <w:tr w:rsidR="00793478" w:rsidRPr="00793478" w14:paraId="0261C81D" w14:textId="77777777" w:rsidTr="007934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A4457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Элемент международного стандарта</w:t>
            </w:r>
          </w:p>
        </w:tc>
        <w:tc>
          <w:tcPr>
            <w:tcW w:w="0" w:type="auto"/>
            <w:vAlign w:val="center"/>
            <w:hideMark/>
          </w:tcPr>
          <w:p w14:paraId="3E8C9439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Российский аналог</w:t>
            </w:r>
          </w:p>
        </w:tc>
        <w:tc>
          <w:tcPr>
            <w:tcW w:w="0" w:type="auto"/>
            <w:vAlign w:val="center"/>
            <w:hideMark/>
          </w:tcPr>
          <w:p w14:paraId="321F27A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Механизм имплементации</w:t>
            </w:r>
          </w:p>
        </w:tc>
        <w:tc>
          <w:tcPr>
            <w:tcW w:w="0" w:type="auto"/>
            <w:vAlign w:val="center"/>
            <w:hideMark/>
          </w:tcPr>
          <w:p w14:paraId="7040D615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Результат для практики</w:t>
            </w:r>
          </w:p>
        </w:tc>
      </w:tr>
      <w:tr w:rsidR="00793478" w:rsidRPr="00793478" w14:paraId="181103BA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A3F9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Принцип подотчётности (ISO 37000)</w:t>
            </w:r>
          </w:p>
        </w:tc>
        <w:tc>
          <w:tcPr>
            <w:tcW w:w="0" w:type="auto"/>
            <w:vAlign w:val="center"/>
            <w:hideMark/>
          </w:tcPr>
          <w:p w14:paraId="3D0D8471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Положение № 242-П, Кодекс КУ Банка России</w:t>
            </w:r>
          </w:p>
        </w:tc>
        <w:tc>
          <w:tcPr>
            <w:tcW w:w="0" w:type="auto"/>
            <w:vAlign w:val="center"/>
            <w:hideMark/>
          </w:tcPr>
          <w:p w14:paraId="4A9EAC8E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Регламентация трёх линий защиты, отчётность ВА и комплаенса перед НС</w:t>
            </w:r>
          </w:p>
        </w:tc>
        <w:tc>
          <w:tcPr>
            <w:tcW w:w="0" w:type="auto"/>
            <w:vAlign w:val="center"/>
            <w:hideMark/>
          </w:tcPr>
          <w:p w14:paraId="444EA4B1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Повышение прозрачности и независимости контроля</w:t>
            </w:r>
          </w:p>
        </w:tc>
      </w:tr>
      <w:tr w:rsidR="00793478" w:rsidRPr="00793478" w14:paraId="7FE6C6DE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BFD9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 xml:space="preserve">Независимость совета (G20/OECD, </w:t>
            </w:r>
            <w:proofErr w:type="spellStart"/>
            <w:r w:rsidRPr="00793478">
              <w:t>Factbook</w:t>
            </w:r>
            <w:proofErr w:type="spellEnd"/>
            <w:r w:rsidRPr="00793478">
              <w:t>)</w:t>
            </w:r>
          </w:p>
        </w:tc>
        <w:tc>
          <w:tcPr>
            <w:tcW w:w="0" w:type="auto"/>
            <w:vAlign w:val="center"/>
            <w:hideMark/>
          </w:tcPr>
          <w:p w14:paraId="3374DA6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Требования к НС и комитетам ПАО</w:t>
            </w:r>
          </w:p>
        </w:tc>
        <w:tc>
          <w:tcPr>
            <w:tcW w:w="0" w:type="auto"/>
            <w:vAlign w:val="center"/>
            <w:hideMark/>
          </w:tcPr>
          <w:p w14:paraId="24EB4A7B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Раскрытие состава, критериев независимости и функций</w:t>
            </w:r>
          </w:p>
        </w:tc>
        <w:tc>
          <w:tcPr>
            <w:tcW w:w="0" w:type="auto"/>
            <w:vAlign w:val="center"/>
            <w:hideMark/>
          </w:tcPr>
          <w:p w14:paraId="719518D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Сбалансированный надзор и разделение полномочий</w:t>
            </w:r>
          </w:p>
        </w:tc>
      </w:tr>
      <w:tr w:rsidR="00793478" w:rsidRPr="00793478" w14:paraId="61BA3B15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3FE3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ESG и устойчивость (G20/OECD 2023)</w:t>
            </w:r>
          </w:p>
        </w:tc>
        <w:tc>
          <w:tcPr>
            <w:tcW w:w="0" w:type="auto"/>
            <w:vAlign w:val="center"/>
            <w:hideMark/>
          </w:tcPr>
          <w:p w14:paraId="6167D070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ККУ ЦБ, годовая отчётность эмитентов</w:t>
            </w:r>
          </w:p>
        </w:tc>
        <w:tc>
          <w:tcPr>
            <w:tcW w:w="0" w:type="auto"/>
            <w:vAlign w:val="center"/>
            <w:hideMark/>
          </w:tcPr>
          <w:p w14:paraId="66B444E2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Разделы «Ответственное управление», «Устойчивое развитие»</w:t>
            </w:r>
          </w:p>
        </w:tc>
        <w:tc>
          <w:tcPr>
            <w:tcW w:w="0" w:type="auto"/>
            <w:vAlign w:val="center"/>
            <w:hideMark/>
          </w:tcPr>
          <w:p w14:paraId="2CC37708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Раскрытие нефинансовых показателей, укрепление культуры ответственности</w:t>
            </w:r>
          </w:p>
        </w:tc>
      </w:tr>
      <w:tr w:rsidR="00793478" w:rsidRPr="00793478" w14:paraId="1AD079A5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71EA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Управление рисками (ISO 37000, OECD)</w:t>
            </w:r>
          </w:p>
        </w:tc>
        <w:tc>
          <w:tcPr>
            <w:tcW w:w="0" w:type="auto"/>
            <w:vAlign w:val="center"/>
            <w:hideMark/>
          </w:tcPr>
          <w:p w14:paraId="0E13FD52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Положение № 716-П, комитет по рискам</w:t>
            </w:r>
          </w:p>
        </w:tc>
        <w:tc>
          <w:tcPr>
            <w:tcW w:w="0" w:type="auto"/>
            <w:vAlign w:val="center"/>
            <w:hideMark/>
          </w:tcPr>
          <w:p w14:paraId="2FE9E810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Стресс-тесты, лимиты, инцидент-менеджмент</w:t>
            </w:r>
          </w:p>
        </w:tc>
        <w:tc>
          <w:tcPr>
            <w:tcW w:w="0" w:type="auto"/>
            <w:vAlign w:val="center"/>
            <w:hideMark/>
          </w:tcPr>
          <w:p w14:paraId="3B788D4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Минимизация операционных рисков, рост доверия инвесторов</w:t>
            </w:r>
          </w:p>
        </w:tc>
      </w:tr>
      <w:tr w:rsidR="00793478" w:rsidRPr="00793478" w14:paraId="05A74324" w14:textId="77777777" w:rsidTr="007934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5FCB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Культура и этика управления</w:t>
            </w:r>
          </w:p>
        </w:tc>
        <w:tc>
          <w:tcPr>
            <w:tcW w:w="0" w:type="auto"/>
            <w:vAlign w:val="center"/>
            <w:hideMark/>
          </w:tcPr>
          <w:p w14:paraId="4382D912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Локальные кодексы компаний</w:t>
            </w:r>
          </w:p>
        </w:tc>
        <w:tc>
          <w:tcPr>
            <w:tcW w:w="0" w:type="auto"/>
            <w:vAlign w:val="center"/>
            <w:hideMark/>
          </w:tcPr>
          <w:p w14:paraId="0DCE57B7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Обязательное утверждение советом, публичное раскрытие</w:t>
            </w:r>
          </w:p>
        </w:tc>
        <w:tc>
          <w:tcPr>
            <w:tcW w:w="0" w:type="auto"/>
            <w:vAlign w:val="center"/>
            <w:hideMark/>
          </w:tcPr>
          <w:p w14:paraId="4007C898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Укрепление этических норм и вовлечённости сотрудников</w:t>
            </w:r>
          </w:p>
        </w:tc>
      </w:tr>
    </w:tbl>
    <w:p w14:paraId="7CC78056" w14:textId="77777777" w:rsidR="008B0677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[4; 5; 6; 7; 11; 29; 30; 31].</w:t>
      </w:r>
    </w:p>
    <w:p w14:paraId="65B9EC8D" w14:textId="77777777" w:rsidR="00793478" w:rsidRPr="008107BB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C934F4B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Проведённое сопоставление показывает, что российская банковская </w:t>
      </w:r>
      <w:proofErr w:type="spellStart"/>
      <w:r w:rsidRPr="008107BB">
        <w:rPr>
          <w:color w:val="000000"/>
          <w:sz w:val="28"/>
          <w:szCs w:val="28"/>
        </w:rPr>
        <w:t>регуляторика</w:t>
      </w:r>
      <w:proofErr w:type="spellEnd"/>
      <w:r w:rsidRPr="008107BB">
        <w:rPr>
          <w:color w:val="000000"/>
          <w:sz w:val="28"/>
          <w:szCs w:val="28"/>
        </w:rPr>
        <w:t xml:space="preserve"> по сути совпадает с международными стандартами, различаясь лишь степенью обязательности. Если глобальные принципы действуют как </w:t>
      </w:r>
      <w:r w:rsidRPr="008107BB">
        <w:rPr>
          <w:color w:val="000000"/>
          <w:sz w:val="28"/>
          <w:szCs w:val="28"/>
        </w:rPr>
        <w:lastRenderedPageBreak/>
        <w:t>рекомендации, то российские акты придают им юридическую силу, формируя эффект «мягкого права», когда нормы и добровольные стандарты взаимно дополняют друг друга [30, с. 10–12], [31, с. 7–9].</w:t>
      </w:r>
    </w:p>
    <w:p w14:paraId="0A55A0E1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прикладном измерении это выражается в повышении прозрачности корпоративных процедур и усилении роли наблюдательных советов. Для крупных эмитентов такая модель создаёт устойчивый баланс между самостоятельностью подразделений и надзором со стороны совета, что способствует формированию зрелой корпоративной культуры, соответствующей мировым ориентирам [6, с. 6–9], [11, с. 6–8].</w:t>
      </w:r>
    </w:p>
    <w:p w14:paraId="16C8E74D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Проведённый теоретический анализ позволяет рассматривать самоуправление не как дополнение к корпоративному управлению, а как его центральный элемент. Эффективность управленческих решений, как показали рассмотренные источники, во многом зависит от того, насколько организация способна совместить вертикальные механизмы контроля с горизонтальными практиками участия и распределённой ответственности. Классические управленческие функции — планирование, организация, мотивация, контроль и коммуникация — в самоуправляемых системах приобретают децентрализованный и более гибкий характер [21, с. 15–18], [22, с. 19–23].</w:t>
      </w:r>
    </w:p>
    <w:p w14:paraId="345E3EB4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Анализ правовой и нормативной базы подтвердил наличие в России устойчивого и сбалансированного регулирования. Федеральные законы № 208-ФЗ и № 395-1 определяют компетенцию и ответственность органов управления, положения Банка России конкретизируют внутренние процедуры контроля и риск-менеджмента, а международные стандарты G20/OECD и ISO 37000 задают универсальные ориентиры прозрачности, подотчётности и этичности управления [1, с. 7–11], [6, с. 3–7], [30, с. 8–11]. Такое сочетание уровней — от императивных норм до принципов «мягкого права» — обеспечивает баланс между регуляторной дисциплиной и управленческой гибкостью.</w:t>
      </w:r>
    </w:p>
    <w:p w14:paraId="1E984F0B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С точки зрения организационной культуры, самоуправление отражает сдвиг управленческой парадигмы от административного контроля к модели доверия и взаимной ответственности. Как подчёркивается в литературе, </w:t>
      </w:r>
      <w:r w:rsidRPr="008107BB">
        <w:rPr>
          <w:color w:val="000000"/>
          <w:sz w:val="28"/>
          <w:szCs w:val="28"/>
        </w:rPr>
        <w:lastRenderedPageBreak/>
        <w:t>«культура участия становится условием управленческой устойчивости и фактором вовлечённости персонала» [32, с. 12–14]. Для банковского сектора этот переход особенно значим: сочетание регламентированной отчётности и инициативной самоорганизации снижает операционные риски, укрепляет доверие и стимулирует инновации.</w:t>
      </w:r>
    </w:p>
    <w:p w14:paraId="541D0FB1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Таким образом, в первой главе обосновано, что самоуправление выступает логическим продолжением традиционного управления, расширяя его возможности за счёт прозрачности, распределения функций и ответственности. Правовые, организационные и культурные основания, выявленные в теоретической части, создают базу для дальнейшего анализа — практической реализации моделей самоуправления в ПАО «Сбербанк России» и оценки их влияния на эффективность корпоративной системы.</w:t>
      </w:r>
    </w:p>
    <w:p w14:paraId="2FB33909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6373873" w14:textId="77777777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E050739" w14:textId="44B415F0" w:rsidR="0048437E" w:rsidRPr="008107BB" w:rsidRDefault="0048437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  <w:sectPr w:rsidR="0048437E" w:rsidRPr="008107BB" w:rsidSect="008279A9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6A643154" w14:textId="355DFAA6" w:rsidR="0055527E" w:rsidRPr="00793478" w:rsidRDefault="0055527E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32"/>
          <w:szCs w:val="32"/>
        </w:rPr>
      </w:pPr>
      <w:r w:rsidRPr="00793478">
        <w:rPr>
          <w:b/>
          <w:bCs/>
          <w:color w:val="000000"/>
          <w:sz w:val="32"/>
          <w:szCs w:val="32"/>
        </w:rPr>
        <w:lastRenderedPageBreak/>
        <w:t>2. АНАЛИЗ ФУНКЦИЙ И ОРГАНОВ САМОУПРАВЛЕНИЯ В ПАО «СБЕРБАНК РОССИИ»</w:t>
      </w:r>
    </w:p>
    <w:p w14:paraId="220E63EC" w14:textId="77777777" w:rsidR="000A12F6" w:rsidRDefault="0055527E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93478">
        <w:rPr>
          <w:b/>
          <w:bCs/>
          <w:color w:val="000000"/>
          <w:sz w:val="28"/>
          <w:szCs w:val="28"/>
        </w:rPr>
        <w:t>2.1. Система органов управления и самоуправления в Сбере</w:t>
      </w:r>
    </w:p>
    <w:p w14:paraId="2D81719B" w14:textId="77777777" w:rsidR="00793478" w:rsidRPr="00793478" w:rsidRDefault="00793478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2A0141B6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Институциональная конфигурация ПАО «Сбербанк России» задаёт чёткое разделение стратегических и операционных ролей при высокой нагрузке на качество решений. Масштаб бизнеса это подтверждает: по итогам 2024 года чистая прибыль составила 1,58 трлн руб., рентабельность собственного капитала — 24%, показатель операционной эффективности (CIR) — 30,3%; клиентская база — 109,9 млн физических и 3,3 млн корпоративных клиентов, численность персонала — около 217 тыс. человек [11, с. 6–10]. На таком уровне устойчивость процессов, прозрачность ответственности и независимость контроля становятся практическими требованиями, а не декларациями [11, с. 6–10].</w:t>
      </w:r>
    </w:p>
    <w:p w14:paraId="0D42BCE2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Распределение компетенций опирается на закон об акционерных обществах и регуляторные документы Банка России. Общему собранию акционеров принадлежит исключительная компетенция по уставу, распределению прибыли, избранию Наблюдательного совета и утверждению аудитора; НС обеспечивает стратегический и контрольный контур, Правление отвечает за текущее управление [1, с. 4–8]. Рекомендации Кодекса корпоративного управления Банка России закрепляют наличие профильных комитетов НС, требования к независимости и процедурам надзора, поскольку «комитеты позволяют углублять экспертизу и повышать качество решений» [4, с. 3–5]. Система внутреннего контроля построена по модели трёх линий защиты, где Служба внутреннего аудита независима от операционного менеджмента и подотчётна НС [6, с. 2–6]. Корпоративные документы Сбера конкретизируют эти правила: регламенты НС, Правления, корпоративного секретаря, комитетов и СВА; ежегодные материалы к ОСА подтверждают принятые решения, в том числе по дивидендам и оценке работы органов [24, с. 2–5; 27, с. 3–6; 28, с. 4–7].</w:t>
      </w:r>
    </w:p>
    <w:p w14:paraId="521C0D89" w14:textId="77777777" w:rsidR="00793478" w:rsidRDefault="00793478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14:paraId="49C875AC" w14:textId="77777777" w:rsidR="00793478" w:rsidRDefault="00793478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</w:p>
    <w:p w14:paraId="18BC3694" w14:textId="19401092" w:rsidR="00793478" w:rsidRDefault="008B0677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Таблица 2.1.1</w:t>
      </w:r>
    </w:p>
    <w:p w14:paraId="5454F4CE" w14:textId="58E30824" w:rsidR="008B0677" w:rsidRPr="008107BB" w:rsidRDefault="008B0677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Карта органов управления Сбера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034"/>
        <w:gridCol w:w="1560"/>
        <w:gridCol w:w="1956"/>
        <w:gridCol w:w="2241"/>
      </w:tblGrid>
      <w:tr w:rsidR="00793478" w:rsidRPr="00793478" w14:paraId="75299B94" w14:textId="77777777" w:rsidTr="00793478">
        <w:trPr>
          <w:tblHeader/>
          <w:tblCellSpacing w:w="15" w:type="dxa"/>
        </w:trPr>
        <w:tc>
          <w:tcPr>
            <w:tcW w:w="931" w:type="pct"/>
            <w:vAlign w:val="center"/>
            <w:hideMark/>
          </w:tcPr>
          <w:p w14:paraId="5A406058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Орган</w:t>
            </w:r>
          </w:p>
        </w:tc>
        <w:tc>
          <w:tcPr>
            <w:tcW w:w="1041" w:type="pct"/>
            <w:vAlign w:val="center"/>
            <w:hideMark/>
          </w:tcPr>
          <w:p w14:paraId="72BD042E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Компетенции</w:t>
            </w:r>
          </w:p>
        </w:tc>
        <w:tc>
          <w:tcPr>
            <w:tcW w:w="795" w:type="pct"/>
            <w:vAlign w:val="center"/>
            <w:hideMark/>
          </w:tcPr>
          <w:p w14:paraId="58564E59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Регламент (ключевой документ)</w:t>
            </w:r>
          </w:p>
        </w:tc>
        <w:tc>
          <w:tcPr>
            <w:tcW w:w="1000" w:type="pct"/>
            <w:vAlign w:val="center"/>
            <w:hideMark/>
          </w:tcPr>
          <w:p w14:paraId="02088CEB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Периодичность работы</w:t>
            </w:r>
          </w:p>
        </w:tc>
        <w:tc>
          <w:tcPr>
            <w:tcW w:w="1140" w:type="pct"/>
            <w:vAlign w:val="center"/>
            <w:hideMark/>
          </w:tcPr>
          <w:p w14:paraId="1D12CC05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Отчётность/адресат</w:t>
            </w:r>
          </w:p>
        </w:tc>
      </w:tr>
      <w:tr w:rsidR="00793478" w:rsidRPr="00793478" w14:paraId="49D4238C" w14:textId="77777777" w:rsidTr="00793478">
        <w:trPr>
          <w:tblCellSpacing w:w="15" w:type="dxa"/>
        </w:trPr>
        <w:tc>
          <w:tcPr>
            <w:tcW w:w="931" w:type="pct"/>
            <w:vAlign w:val="center"/>
            <w:hideMark/>
          </w:tcPr>
          <w:p w14:paraId="584283B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Общее собрание акционеров (ОСА)</w:t>
            </w:r>
          </w:p>
        </w:tc>
        <w:tc>
          <w:tcPr>
            <w:tcW w:w="1041" w:type="pct"/>
            <w:vAlign w:val="center"/>
            <w:hideMark/>
          </w:tcPr>
          <w:p w14:paraId="0AC3BC34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Устав, распределение прибыли и дивидендов, избрание НС, утверждение аудитора, одобрение значимых сделок</w:t>
            </w:r>
          </w:p>
        </w:tc>
        <w:tc>
          <w:tcPr>
            <w:tcW w:w="795" w:type="pct"/>
            <w:vAlign w:val="center"/>
            <w:hideMark/>
          </w:tcPr>
          <w:p w14:paraId="1217DDA0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Закон № 208-ФЗ; Положение об ОСА (IR-раздел)</w:t>
            </w:r>
          </w:p>
        </w:tc>
        <w:tc>
          <w:tcPr>
            <w:tcW w:w="1000" w:type="pct"/>
            <w:vAlign w:val="center"/>
            <w:hideMark/>
          </w:tcPr>
          <w:p w14:paraId="389E089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Ежегодно, внеочередные при необходимости</w:t>
            </w:r>
          </w:p>
        </w:tc>
        <w:tc>
          <w:tcPr>
            <w:tcW w:w="1140" w:type="pct"/>
            <w:vAlign w:val="center"/>
            <w:hideMark/>
          </w:tcPr>
          <w:p w14:paraId="21BC2495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Протоколы и решения доступны акционерам; раскрытие на IR-сайте</w:t>
            </w:r>
          </w:p>
        </w:tc>
      </w:tr>
      <w:tr w:rsidR="00793478" w:rsidRPr="00793478" w14:paraId="0A163AC2" w14:textId="77777777" w:rsidTr="00793478">
        <w:trPr>
          <w:tblCellSpacing w:w="15" w:type="dxa"/>
        </w:trPr>
        <w:tc>
          <w:tcPr>
            <w:tcW w:w="931" w:type="pct"/>
            <w:vAlign w:val="center"/>
            <w:hideMark/>
          </w:tcPr>
          <w:p w14:paraId="6A648D45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Наблюдательный совет (НС)</w:t>
            </w:r>
          </w:p>
        </w:tc>
        <w:tc>
          <w:tcPr>
            <w:tcW w:w="1041" w:type="pct"/>
            <w:vAlign w:val="center"/>
            <w:hideMark/>
          </w:tcPr>
          <w:p w14:paraId="2E8C80FC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Стратегия, контроль за Правлением, кадровые решения топ-уровня, риск-надзор, утверждение внутренних политик</w:t>
            </w:r>
          </w:p>
        </w:tc>
        <w:tc>
          <w:tcPr>
            <w:tcW w:w="795" w:type="pct"/>
            <w:vAlign w:val="center"/>
            <w:hideMark/>
          </w:tcPr>
          <w:p w14:paraId="5F3D131F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Положение о НС; Кодекс КУ Сбера</w:t>
            </w:r>
          </w:p>
        </w:tc>
        <w:tc>
          <w:tcPr>
            <w:tcW w:w="1000" w:type="pct"/>
            <w:vAlign w:val="center"/>
            <w:hideMark/>
          </w:tcPr>
          <w:p w14:paraId="4513625B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Заседания по годовому плану, очно/заочно</w:t>
            </w:r>
          </w:p>
        </w:tc>
        <w:tc>
          <w:tcPr>
            <w:tcW w:w="1140" w:type="pct"/>
            <w:vAlign w:val="center"/>
            <w:hideMark/>
          </w:tcPr>
          <w:p w14:paraId="13B10B9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Отчёт перед ОСА; раскрытие в Годовом отчёте</w:t>
            </w:r>
          </w:p>
        </w:tc>
      </w:tr>
      <w:tr w:rsidR="00793478" w:rsidRPr="00793478" w14:paraId="204BE8C2" w14:textId="77777777" w:rsidTr="00793478">
        <w:trPr>
          <w:tblCellSpacing w:w="15" w:type="dxa"/>
        </w:trPr>
        <w:tc>
          <w:tcPr>
            <w:tcW w:w="931" w:type="pct"/>
            <w:vAlign w:val="center"/>
            <w:hideMark/>
          </w:tcPr>
          <w:p w14:paraId="11D8DFF9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Комитеты НС</w:t>
            </w:r>
          </w:p>
        </w:tc>
        <w:tc>
          <w:tcPr>
            <w:tcW w:w="1041" w:type="pct"/>
            <w:vAlign w:val="center"/>
            <w:hideMark/>
          </w:tcPr>
          <w:p w14:paraId="48150F79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Профильный надзор: аудит; кадры и вознаграждения; риски; стратегия и устойчивое развитие</w:t>
            </w:r>
          </w:p>
        </w:tc>
        <w:tc>
          <w:tcPr>
            <w:tcW w:w="795" w:type="pct"/>
            <w:vAlign w:val="center"/>
            <w:hideMark/>
          </w:tcPr>
          <w:p w14:paraId="6AFF81C0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Положения о комитетах НС</w:t>
            </w:r>
          </w:p>
        </w:tc>
        <w:tc>
          <w:tcPr>
            <w:tcW w:w="1000" w:type="pct"/>
            <w:vAlign w:val="center"/>
            <w:hideMark/>
          </w:tcPr>
          <w:p w14:paraId="6721990F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По календарю НС, не реже 1 раза в квартал</w:t>
            </w:r>
          </w:p>
        </w:tc>
        <w:tc>
          <w:tcPr>
            <w:tcW w:w="1140" w:type="pct"/>
            <w:vAlign w:val="center"/>
            <w:hideMark/>
          </w:tcPr>
          <w:p w14:paraId="0EF9CD76" w14:textId="77777777" w:rsidR="008B0677" w:rsidRPr="00793478" w:rsidRDefault="008B0677" w:rsidP="008107BB">
            <w:pPr>
              <w:spacing w:line="360" w:lineRule="auto"/>
              <w:ind w:firstLine="709"/>
              <w:jc w:val="both"/>
            </w:pPr>
            <w:r w:rsidRPr="00793478">
              <w:t>Отчёты комитетов в НС, выдержки в Годовом отчёте</w:t>
            </w:r>
          </w:p>
        </w:tc>
      </w:tr>
    </w:tbl>
    <w:p w14:paraId="5159134B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AB213FE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113B189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88EADB7" w14:textId="1DE3FECB" w:rsidR="00793478" w:rsidRDefault="00793478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Продолжение табл. 2.1.1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034"/>
        <w:gridCol w:w="1560"/>
        <w:gridCol w:w="1956"/>
        <w:gridCol w:w="2241"/>
      </w:tblGrid>
      <w:tr w:rsidR="00793478" w:rsidRPr="00793478" w14:paraId="7A0B0388" w14:textId="77777777" w:rsidTr="00982CD6">
        <w:trPr>
          <w:tblHeader/>
          <w:tblCellSpacing w:w="15" w:type="dxa"/>
        </w:trPr>
        <w:tc>
          <w:tcPr>
            <w:tcW w:w="931" w:type="pct"/>
            <w:vAlign w:val="center"/>
            <w:hideMark/>
          </w:tcPr>
          <w:p w14:paraId="62F89E2D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Орган</w:t>
            </w:r>
          </w:p>
        </w:tc>
        <w:tc>
          <w:tcPr>
            <w:tcW w:w="1041" w:type="pct"/>
            <w:vAlign w:val="center"/>
            <w:hideMark/>
          </w:tcPr>
          <w:p w14:paraId="76D91B8E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Компетенции</w:t>
            </w:r>
          </w:p>
        </w:tc>
        <w:tc>
          <w:tcPr>
            <w:tcW w:w="795" w:type="pct"/>
            <w:vAlign w:val="center"/>
            <w:hideMark/>
          </w:tcPr>
          <w:p w14:paraId="0203166B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Регламент (ключевой документ)</w:t>
            </w:r>
          </w:p>
        </w:tc>
        <w:tc>
          <w:tcPr>
            <w:tcW w:w="1000" w:type="pct"/>
            <w:vAlign w:val="center"/>
            <w:hideMark/>
          </w:tcPr>
          <w:p w14:paraId="4B7FB5B3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Периодичность работы</w:t>
            </w:r>
          </w:p>
        </w:tc>
        <w:tc>
          <w:tcPr>
            <w:tcW w:w="1140" w:type="pct"/>
            <w:vAlign w:val="center"/>
            <w:hideMark/>
          </w:tcPr>
          <w:p w14:paraId="7D6A8205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Отчётность/адресат</w:t>
            </w:r>
          </w:p>
        </w:tc>
      </w:tr>
      <w:tr w:rsidR="00793478" w:rsidRPr="00793478" w14:paraId="7CAB5449" w14:textId="77777777" w:rsidTr="00982CD6">
        <w:trPr>
          <w:tblCellSpacing w:w="15" w:type="dxa"/>
        </w:trPr>
        <w:tc>
          <w:tcPr>
            <w:tcW w:w="931" w:type="pct"/>
            <w:vAlign w:val="center"/>
            <w:hideMark/>
          </w:tcPr>
          <w:p w14:paraId="614602F4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Правление</w:t>
            </w:r>
          </w:p>
        </w:tc>
        <w:tc>
          <w:tcPr>
            <w:tcW w:w="1041" w:type="pct"/>
            <w:vAlign w:val="center"/>
            <w:hideMark/>
          </w:tcPr>
          <w:p w14:paraId="55EC3B42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Операционное управление, исполнение стратегии, бюджет, внутренние регламенты</w:t>
            </w:r>
          </w:p>
        </w:tc>
        <w:tc>
          <w:tcPr>
            <w:tcW w:w="795" w:type="pct"/>
            <w:vAlign w:val="center"/>
            <w:hideMark/>
          </w:tcPr>
          <w:p w14:paraId="62AA2D0A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Положение о Правлении</w:t>
            </w:r>
          </w:p>
        </w:tc>
        <w:tc>
          <w:tcPr>
            <w:tcW w:w="1000" w:type="pct"/>
            <w:vAlign w:val="center"/>
            <w:hideMark/>
          </w:tcPr>
          <w:p w14:paraId="358EBF36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Еженедельно/по плану Председателя</w:t>
            </w:r>
          </w:p>
        </w:tc>
        <w:tc>
          <w:tcPr>
            <w:tcW w:w="1140" w:type="pct"/>
            <w:vAlign w:val="center"/>
            <w:hideMark/>
          </w:tcPr>
          <w:p w14:paraId="404A47A5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Отчёты НС и ОСА по установленным форматам</w:t>
            </w:r>
          </w:p>
        </w:tc>
      </w:tr>
      <w:tr w:rsidR="00793478" w:rsidRPr="00793478" w14:paraId="6420B427" w14:textId="77777777" w:rsidTr="00982CD6">
        <w:trPr>
          <w:tblCellSpacing w:w="15" w:type="dxa"/>
        </w:trPr>
        <w:tc>
          <w:tcPr>
            <w:tcW w:w="931" w:type="pct"/>
            <w:vAlign w:val="center"/>
            <w:hideMark/>
          </w:tcPr>
          <w:p w14:paraId="53CD826F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Корпоративный секретарь</w:t>
            </w:r>
          </w:p>
        </w:tc>
        <w:tc>
          <w:tcPr>
            <w:tcW w:w="1041" w:type="pct"/>
            <w:vAlign w:val="center"/>
            <w:hideMark/>
          </w:tcPr>
          <w:p w14:paraId="0E11B737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Права акционеров, раскрытие, координация работы органов, взаимодействие с регулятором</w:t>
            </w:r>
          </w:p>
        </w:tc>
        <w:tc>
          <w:tcPr>
            <w:tcW w:w="795" w:type="pct"/>
            <w:vAlign w:val="center"/>
            <w:hideMark/>
          </w:tcPr>
          <w:p w14:paraId="58AE791E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Положение о Корпоративном секретаре</w:t>
            </w:r>
          </w:p>
        </w:tc>
        <w:tc>
          <w:tcPr>
            <w:tcW w:w="1000" w:type="pct"/>
            <w:vAlign w:val="center"/>
            <w:hideMark/>
          </w:tcPr>
          <w:p w14:paraId="38696052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Постоянно</w:t>
            </w:r>
          </w:p>
        </w:tc>
        <w:tc>
          <w:tcPr>
            <w:tcW w:w="1140" w:type="pct"/>
            <w:vAlign w:val="center"/>
            <w:hideMark/>
          </w:tcPr>
          <w:p w14:paraId="3DA0FD42" w14:textId="77777777" w:rsidR="00793478" w:rsidRPr="00793478" w:rsidRDefault="00793478" w:rsidP="00982CD6">
            <w:pPr>
              <w:spacing w:line="360" w:lineRule="auto"/>
              <w:ind w:firstLine="709"/>
              <w:jc w:val="both"/>
            </w:pPr>
            <w:r w:rsidRPr="00793478">
              <w:t>Прямой канал к Председателю НС; отчётность НС</w:t>
            </w:r>
          </w:p>
        </w:tc>
      </w:tr>
    </w:tbl>
    <w:p w14:paraId="52C2ABF1" w14:textId="4601E272" w:rsidR="008B0677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[1, с. 4–8; 11, с. 6–12; 24, с. 2–5; 27, с. 3–6].</w:t>
      </w:r>
    </w:p>
    <w:p w14:paraId="2C7A9209" w14:textId="77777777" w:rsidR="00793478" w:rsidRPr="008107BB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14B1425" w14:textId="77777777" w:rsidR="008B0677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Сводная карта фиксирует разнесение уровней решений и формализованные каналы отчётности. Это снижает агентские риски и делает сопоставимыми решения НС с результатами, отражёнными в годовой отчётности [11, с. 6–10; 26, с. 6–9].</w:t>
      </w:r>
    </w:p>
    <w:p w14:paraId="78F7135E" w14:textId="799F4727" w:rsidR="00793478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2.1.2 представлены комитеты наблюдательного совета Сбера и их цели, ключевые показатели эффективности.</w:t>
      </w:r>
    </w:p>
    <w:p w14:paraId="61FD7669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2361E24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B1AC0DA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19DE3E4" w14:textId="77777777" w:rsidR="00793478" w:rsidRDefault="00793478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C34CF16" w14:textId="77777777" w:rsidR="00793478" w:rsidRPr="008107BB" w:rsidRDefault="00793478" w:rsidP="00021417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65DE1C79" w14:textId="77777777" w:rsidR="002557DE" w:rsidRPr="008107BB" w:rsidRDefault="008B0677" w:rsidP="00793478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Таблица 2.1.2</w:t>
      </w:r>
    </w:p>
    <w:p w14:paraId="08508FE2" w14:textId="360635E2" w:rsidR="008B0677" w:rsidRPr="008107BB" w:rsidRDefault="008B0677" w:rsidP="00793478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Комитеты НС</w:t>
      </w:r>
      <w:r w:rsidR="00021417">
        <w:rPr>
          <w:color w:val="000000"/>
          <w:sz w:val="28"/>
          <w:szCs w:val="28"/>
        </w:rPr>
        <w:t xml:space="preserve"> Сбера</w:t>
      </w:r>
      <w:r w:rsidRPr="008107BB">
        <w:rPr>
          <w:color w:val="000000"/>
          <w:sz w:val="28"/>
          <w:szCs w:val="28"/>
        </w:rPr>
        <w:t>: состав мандата и фокус надзора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664"/>
        <w:gridCol w:w="2860"/>
        <w:gridCol w:w="2119"/>
      </w:tblGrid>
      <w:tr w:rsidR="008B0677" w:rsidRPr="00021417" w14:paraId="43DEF361" w14:textId="77777777" w:rsidTr="0025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C8CAC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Комитет НС</w:t>
            </w:r>
          </w:p>
        </w:tc>
        <w:tc>
          <w:tcPr>
            <w:tcW w:w="0" w:type="auto"/>
            <w:vAlign w:val="center"/>
            <w:hideMark/>
          </w:tcPr>
          <w:p w14:paraId="179D6579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Мандат</w:t>
            </w:r>
          </w:p>
        </w:tc>
        <w:tc>
          <w:tcPr>
            <w:tcW w:w="0" w:type="auto"/>
            <w:vAlign w:val="center"/>
            <w:hideMark/>
          </w:tcPr>
          <w:p w14:paraId="0C4A9546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Типовые KPI надзора</w:t>
            </w:r>
          </w:p>
        </w:tc>
        <w:tc>
          <w:tcPr>
            <w:tcW w:w="0" w:type="auto"/>
            <w:vAlign w:val="center"/>
            <w:hideMark/>
          </w:tcPr>
          <w:p w14:paraId="244D4864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Ключевые документы</w:t>
            </w:r>
          </w:p>
        </w:tc>
      </w:tr>
      <w:tr w:rsidR="008B0677" w:rsidRPr="00021417" w14:paraId="68293449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9BEA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 аудиту</w:t>
            </w:r>
          </w:p>
        </w:tc>
        <w:tc>
          <w:tcPr>
            <w:tcW w:w="0" w:type="auto"/>
            <w:vAlign w:val="center"/>
            <w:hideMark/>
          </w:tcPr>
          <w:p w14:paraId="33094B6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Качество финансовой отчётности, взаимодействие с внешним аудитом, эффективность СВК/СВА</w:t>
            </w:r>
          </w:p>
        </w:tc>
        <w:tc>
          <w:tcPr>
            <w:tcW w:w="0" w:type="auto"/>
            <w:vAlign w:val="center"/>
            <w:hideMark/>
          </w:tcPr>
          <w:p w14:paraId="069DAD3F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Своевременность и полнота отчётности, статус рекомендаций СВА, независимость внешнего аудитора</w:t>
            </w:r>
          </w:p>
        </w:tc>
        <w:tc>
          <w:tcPr>
            <w:tcW w:w="0" w:type="auto"/>
            <w:vAlign w:val="center"/>
            <w:hideMark/>
          </w:tcPr>
          <w:p w14:paraId="6A0BF7AA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Положение о Комитете по аудиту; Кодекс КУ Сбера</w:t>
            </w:r>
          </w:p>
        </w:tc>
      </w:tr>
      <w:tr w:rsidR="008B0677" w:rsidRPr="00021417" w14:paraId="78052A75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B435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 кадрам и вознаграждениям</w:t>
            </w:r>
          </w:p>
        </w:tc>
        <w:tc>
          <w:tcPr>
            <w:tcW w:w="0" w:type="auto"/>
            <w:vAlign w:val="center"/>
            <w:hideMark/>
          </w:tcPr>
          <w:p w14:paraId="7B59070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Номинации, вознаграждение топ-менеджмента, преемственность</w:t>
            </w:r>
          </w:p>
        </w:tc>
        <w:tc>
          <w:tcPr>
            <w:tcW w:w="0" w:type="auto"/>
            <w:vAlign w:val="center"/>
            <w:hideMark/>
          </w:tcPr>
          <w:p w14:paraId="216EA295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Соответствие политикам вознаграждения, удержание ключевых руководителей, планы преемственности</w:t>
            </w:r>
          </w:p>
        </w:tc>
        <w:tc>
          <w:tcPr>
            <w:tcW w:w="0" w:type="auto"/>
            <w:vAlign w:val="center"/>
            <w:hideMark/>
          </w:tcPr>
          <w:p w14:paraId="2C5FF34A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Положение о Комитете по кадрам и вознаграждениям</w:t>
            </w:r>
          </w:p>
        </w:tc>
      </w:tr>
      <w:tr w:rsidR="008B0677" w:rsidRPr="00021417" w14:paraId="0AB8DEEE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BCC4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 управлению рисками</w:t>
            </w:r>
          </w:p>
        </w:tc>
        <w:tc>
          <w:tcPr>
            <w:tcW w:w="0" w:type="auto"/>
            <w:vAlign w:val="center"/>
            <w:hideMark/>
          </w:tcPr>
          <w:p w14:paraId="5D68AB8E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Риск-аппетит, политики и процедуры, мониторинг ключевых рисков</w:t>
            </w:r>
          </w:p>
        </w:tc>
        <w:tc>
          <w:tcPr>
            <w:tcW w:w="0" w:type="auto"/>
            <w:vAlign w:val="center"/>
            <w:hideMark/>
          </w:tcPr>
          <w:p w14:paraId="138A4646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Соблюдение риск-лимитов, инциденты, эффективность методов контроля</w:t>
            </w:r>
          </w:p>
        </w:tc>
        <w:tc>
          <w:tcPr>
            <w:tcW w:w="0" w:type="auto"/>
            <w:vAlign w:val="center"/>
            <w:hideMark/>
          </w:tcPr>
          <w:p w14:paraId="3AB69D2F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Положение о Комитете по рискам</w:t>
            </w:r>
          </w:p>
        </w:tc>
      </w:tr>
      <w:tr w:rsidR="008B0677" w:rsidRPr="00021417" w14:paraId="16B6333F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158B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 стратегии и устойчивому развитию</w:t>
            </w:r>
          </w:p>
        </w:tc>
        <w:tc>
          <w:tcPr>
            <w:tcW w:w="0" w:type="auto"/>
            <w:vAlign w:val="center"/>
            <w:hideMark/>
          </w:tcPr>
          <w:p w14:paraId="35406178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Стратегические приоритеты, ESG-повестка, инвестиционные решения</w:t>
            </w:r>
          </w:p>
        </w:tc>
        <w:tc>
          <w:tcPr>
            <w:tcW w:w="0" w:type="auto"/>
            <w:vAlign w:val="center"/>
            <w:hideMark/>
          </w:tcPr>
          <w:p w14:paraId="01E808B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Выполнение стратегических KPI, показатели устойчивого развития</w:t>
            </w:r>
          </w:p>
        </w:tc>
        <w:tc>
          <w:tcPr>
            <w:tcW w:w="0" w:type="auto"/>
            <w:vAlign w:val="center"/>
            <w:hideMark/>
          </w:tcPr>
          <w:p w14:paraId="3DA24ECF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Положение о стратегическом комитете; Кодекс КУ Сбера</w:t>
            </w:r>
          </w:p>
        </w:tc>
      </w:tr>
    </w:tbl>
    <w:p w14:paraId="66D8AC69" w14:textId="77777777" w:rsidR="008B0677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[4, с. 3–7; 11, с. 8–12; 24, с. 2–5; 26, с. 6–9].</w:t>
      </w:r>
    </w:p>
    <w:p w14:paraId="4B270923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15B1EA6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Распределение мандатов охватывает ключевые области надзора: достоверность отчётности, риски, человеческий капитал и стратегию. Такая конфигурация поддерживает глубину рассмотрения без потери целостности повестки [4, с. 6–7].</w:t>
      </w:r>
    </w:p>
    <w:p w14:paraId="7271F216" w14:textId="65D2230D" w:rsidR="002557DE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Эффективность внутреннего контроля в Сбере опирается на системное распределение ролей между подразделениями и органами управления. Для поддержания прозрачности и предсказуемости процессов банк применяет модель трёх линий защиты, рекомендованную Банком России и международными стандартами. Она фиксирует, кто отвечает за предотвращение рисков, кто — за их мониторинг, и кто — за независимую оценку надежности контрольных процедур. Логика взаимодействия сторон представлена в таблице 2.1.3.</w:t>
      </w:r>
    </w:p>
    <w:p w14:paraId="5179A491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F754855" w14:textId="77777777" w:rsidR="00021417" w:rsidRDefault="008B067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Таблица 2.1.3</w:t>
      </w:r>
    </w:p>
    <w:p w14:paraId="3FB38C5D" w14:textId="70776547" w:rsidR="008B0677" w:rsidRPr="008107BB" w:rsidRDefault="002C277C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>М</w:t>
      </w:r>
      <w:r w:rsidRPr="008107BB">
        <w:rPr>
          <w:rStyle w:val="ae"/>
          <w:rFonts w:eastAsiaTheme="majorEastAsia"/>
          <w:i w:val="0"/>
          <w:iCs w:val="0"/>
          <w:color w:val="000000"/>
          <w:sz w:val="28"/>
          <w:szCs w:val="28"/>
        </w:rPr>
        <w:t>одель трёх линий защиты</w:t>
      </w:r>
      <w:r w:rsidRPr="008107BB">
        <w:rPr>
          <w:color w:val="000000"/>
          <w:sz w:val="28"/>
          <w:szCs w:val="28"/>
        </w:rPr>
        <w:t xml:space="preserve"> </w:t>
      </w:r>
      <w:r w:rsidR="008B0677" w:rsidRPr="008107BB">
        <w:rPr>
          <w:color w:val="000000"/>
          <w:sz w:val="28"/>
          <w:szCs w:val="28"/>
        </w:rPr>
        <w:t>(3LoD)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433"/>
        <w:gridCol w:w="2827"/>
        <w:gridCol w:w="2526"/>
      </w:tblGrid>
      <w:tr w:rsidR="008B0677" w:rsidRPr="00021417" w14:paraId="54F363F5" w14:textId="77777777" w:rsidTr="00021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C9F4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Линия</w:t>
            </w:r>
          </w:p>
        </w:tc>
        <w:tc>
          <w:tcPr>
            <w:tcW w:w="0" w:type="auto"/>
            <w:vAlign w:val="center"/>
            <w:hideMark/>
          </w:tcPr>
          <w:p w14:paraId="731667C9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Роль</w:t>
            </w:r>
          </w:p>
        </w:tc>
        <w:tc>
          <w:tcPr>
            <w:tcW w:w="0" w:type="auto"/>
            <w:vAlign w:val="center"/>
            <w:hideMark/>
          </w:tcPr>
          <w:p w14:paraId="3D988ECB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Основные функции</w:t>
            </w:r>
          </w:p>
        </w:tc>
        <w:tc>
          <w:tcPr>
            <w:tcW w:w="0" w:type="auto"/>
            <w:vAlign w:val="center"/>
            <w:hideMark/>
          </w:tcPr>
          <w:p w14:paraId="20AAD67E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Индикаторы эффективности</w:t>
            </w:r>
          </w:p>
        </w:tc>
      </w:tr>
      <w:tr w:rsidR="008B0677" w:rsidRPr="00021417" w14:paraId="1A574F65" w14:textId="77777777" w:rsidTr="0002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9316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1-я: бизнес-подразделения</w:t>
            </w:r>
          </w:p>
        </w:tc>
        <w:tc>
          <w:tcPr>
            <w:tcW w:w="0" w:type="auto"/>
            <w:vAlign w:val="center"/>
            <w:hideMark/>
          </w:tcPr>
          <w:p w14:paraId="196D67BF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Владение процессами и первичный контроль</w:t>
            </w:r>
          </w:p>
        </w:tc>
        <w:tc>
          <w:tcPr>
            <w:tcW w:w="0" w:type="auto"/>
            <w:vAlign w:val="center"/>
            <w:hideMark/>
          </w:tcPr>
          <w:p w14:paraId="1531B91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Операционные процедуры, разделение обязанностей, контрольные листы</w:t>
            </w:r>
          </w:p>
        </w:tc>
        <w:tc>
          <w:tcPr>
            <w:tcW w:w="0" w:type="auto"/>
            <w:vAlign w:val="center"/>
            <w:hideMark/>
          </w:tcPr>
          <w:p w14:paraId="2F95A13C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Доля операций, прошедших контроль; количество инцидентов</w:t>
            </w:r>
          </w:p>
        </w:tc>
      </w:tr>
      <w:tr w:rsidR="008B0677" w:rsidRPr="00021417" w14:paraId="0030B876" w14:textId="77777777" w:rsidTr="0002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8BF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2-я: риск-менеджмент и комплаенс</w:t>
            </w:r>
          </w:p>
        </w:tc>
        <w:tc>
          <w:tcPr>
            <w:tcW w:w="0" w:type="auto"/>
            <w:vAlign w:val="center"/>
            <w:hideMark/>
          </w:tcPr>
          <w:p w14:paraId="2B3E638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Методология и независимый мониторинг</w:t>
            </w:r>
          </w:p>
        </w:tc>
        <w:tc>
          <w:tcPr>
            <w:tcW w:w="0" w:type="auto"/>
            <w:vAlign w:val="center"/>
            <w:hideMark/>
          </w:tcPr>
          <w:p w14:paraId="137C4C98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Политики и лимиты, мониторинг рисков, KRI, комплаенс-контроль</w:t>
            </w:r>
          </w:p>
        </w:tc>
        <w:tc>
          <w:tcPr>
            <w:tcW w:w="0" w:type="auto"/>
            <w:vAlign w:val="center"/>
            <w:hideMark/>
          </w:tcPr>
          <w:p w14:paraId="229318F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Соблюдение лимитов; число нарушений; время реакции</w:t>
            </w:r>
          </w:p>
        </w:tc>
      </w:tr>
      <w:tr w:rsidR="008B0677" w:rsidRPr="00021417" w14:paraId="5258CF45" w14:textId="77777777" w:rsidTr="0002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3159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3-я: СВА</w:t>
            </w:r>
          </w:p>
        </w:tc>
        <w:tc>
          <w:tcPr>
            <w:tcW w:w="0" w:type="auto"/>
            <w:vAlign w:val="center"/>
            <w:hideMark/>
          </w:tcPr>
          <w:p w14:paraId="5C6F2329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Независимая оценка эффективности контроля</w:t>
            </w:r>
          </w:p>
        </w:tc>
        <w:tc>
          <w:tcPr>
            <w:tcW w:w="0" w:type="auto"/>
            <w:vAlign w:val="center"/>
            <w:hideMark/>
          </w:tcPr>
          <w:p w14:paraId="2EA4BF7A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 xml:space="preserve">Аудит процессов и ИТ-среды, рекомендации, </w:t>
            </w:r>
            <w:proofErr w:type="spellStart"/>
            <w:r w:rsidRPr="00021417">
              <w:t>Follow-up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26E29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Выполнение плана аудита; доля закрытых рекомендаций</w:t>
            </w:r>
          </w:p>
        </w:tc>
      </w:tr>
    </w:tbl>
    <w:p w14:paraId="341462A2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[6, с. 2–6; 11, с. 9–12; 26, с. 6–9].</w:t>
      </w:r>
      <w:r w:rsidRPr="008107BB">
        <w:rPr>
          <w:color w:val="000000"/>
          <w:sz w:val="28"/>
          <w:szCs w:val="28"/>
        </w:rPr>
        <w:br/>
        <w:t>Примечание: индикаторы фиксируются в процентах, количестве случаев и календарных днях.</w:t>
      </w:r>
    </w:p>
    <w:p w14:paraId="10A811A7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E3911C9" w14:textId="5E713D72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Анализ представленной структуры показывает, что модель трёх линий защиты обеспечивает баланс между автономией подразделений и эффективным </w:t>
      </w:r>
      <w:r w:rsidRPr="008107BB">
        <w:rPr>
          <w:color w:val="000000"/>
          <w:sz w:val="28"/>
          <w:szCs w:val="28"/>
        </w:rPr>
        <w:lastRenderedPageBreak/>
        <w:t>контролем. Первая линия концентрируется на предотвращении ошибок «на месте их возникновения», формируя культуру ответственности за результат. Вторая линия превращает контроль в постоянный процесс управления рисками, а не в разовые проверки, обеспечивая методологическую целостность всей системы. Третья линия — Служба внутреннего аудита — даёт независимую оценку эффективности, выявляет системные отклонения и формирует рекомендации по улучшению [6, с. 2–6; 11, с. 9–12; 26, с. 6–9]. Такое распределение ролей позволяет Сберу оперативно реагировать на риски и поддерживать доверие акционеров и регуляторов.</w:t>
      </w:r>
    </w:p>
    <w:p w14:paraId="522D63BB" w14:textId="1F0F90BA" w:rsidR="002557DE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Ключевое место в системе внутреннего контроля занимает Служба внутреннего аудита, которая обеспечивает независимую оценку процессов и подотчётна Наблюдательному совету. Её деятельность регулируется внутренним положением и ежегодно отражается в отчётных материалах банка. Для наглядности каналы отчётности, объекты аудита и формы взаимодействия сведены в таблицу 2.1.4.</w:t>
      </w:r>
    </w:p>
    <w:p w14:paraId="744013A3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2A6E449" w14:textId="77777777" w:rsidR="002557DE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Таблица 2.1.4</w:t>
      </w:r>
    </w:p>
    <w:p w14:paraId="0D18BA9E" w14:textId="1985875E" w:rsidR="008B0677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СВА: подотчётность и взаимодействие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351"/>
        <w:gridCol w:w="2013"/>
        <w:gridCol w:w="2700"/>
      </w:tblGrid>
      <w:tr w:rsidR="008B0677" w:rsidRPr="00021417" w14:paraId="334283F6" w14:textId="77777777" w:rsidTr="0025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C0A1B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Канал отчётности</w:t>
            </w:r>
          </w:p>
        </w:tc>
        <w:tc>
          <w:tcPr>
            <w:tcW w:w="0" w:type="auto"/>
            <w:vAlign w:val="center"/>
            <w:hideMark/>
          </w:tcPr>
          <w:p w14:paraId="30DC64F5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1219D8DC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Объект аудита</w:t>
            </w:r>
          </w:p>
        </w:tc>
        <w:tc>
          <w:tcPr>
            <w:tcW w:w="0" w:type="auto"/>
            <w:vAlign w:val="center"/>
            <w:hideMark/>
          </w:tcPr>
          <w:p w14:paraId="04A118D6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Эскалации/</w:t>
            </w:r>
            <w:proofErr w:type="spellStart"/>
            <w:r w:rsidRPr="00021417">
              <w:t>Follow-up</w:t>
            </w:r>
            <w:proofErr w:type="spellEnd"/>
          </w:p>
        </w:tc>
      </w:tr>
      <w:tr w:rsidR="008B0677" w:rsidRPr="00021417" w14:paraId="6DE2876D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536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Наблюдательный совет (через Комитет по аудиту)</w:t>
            </w:r>
          </w:p>
        </w:tc>
        <w:tc>
          <w:tcPr>
            <w:tcW w:w="0" w:type="auto"/>
            <w:vAlign w:val="center"/>
            <w:hideMark/>
          </w:tcPr>
          <w:p w14:paraId="75047000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 годовому плану и по итогам проверок</w:t>
            </w:r>
          </w:p>
        </w:tc>
        <w:tc>
          <w:tcPr>
            <w:tcW w:w="0" w:type="auto"/>
            <w:vAlign w:val="center"/>
            <w:hideMark/>
          </w:tcPr>
          <w:p w14:paraId="46499FF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Процессы, ИТ-среда, проекты, соответствие политикам</w:t>
            </w:r>
          </w:p>
        </w:tc>
        <w:tc>
          <w:tcPr>
            <w:tcW w:w="0" w:type="auto"/>
            <w:vAlign w:val="center"/>
            <w:hideMark/>
          </w:tcPr>
          <w:p w14:paraId="1189C8A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Рекомендации со сроками, контроль статусов на заседаниях комитета</w:t>
            </w:r>
          </w:p>
        </w:tc>
      </w:tr>
      <w:tr w:rsidR="008B0677" w:rsidRPr="00021417" w14:paraId="2C5E6990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509E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Правление (информирование)</w:t>
            </w:r>
          </w:p>
        </w:tc>
        <w:tc>
          <w:tcPr>
            <w:tcW w:w="0" w:type="auto"/>
            <w:vAlign w:val="center"/>
            <w:hideMark/>
          </w:tcPr>
          <w:p w14:paraId="0A8B8628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 запросу/в пределах мандата</w:t>
            </w:r>
          </w:p>
        </w:tc>
        <w:tc>
          <w:tcPr>
            <w:tcW w:w="0" w:type="auto"/>
            <w:vAlign w:val="center"/>
            <w:hideMark/>
          </w:tcPr>
          <w:p w14:paraId="25A66E5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Исполнение рекомендаций в исполнительном контуре</w:t>
            </w:r>
          </w:p>
        </w:tc>
        <w:tc>
          <w:tcPr>
            <w:tcW w:w="0" w:type="auto"/>
            <w:vAlign w:val="center"/>
            <w:hideMark/>
          </w:tcPr>
          <w:p w14:paraId="7CE305B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Отчёты о прогрессе, корректирующие мероприятия</w:t>
            </w:r>
          </w:p>
        </w:tc>
      </w:tr>
    </w:tbl>
    <w:p w14:paraId="61E42FCF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27BDF70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F9D02D5" w14:textId="4F37B910" w:rsidR="00021417" w:rsidRDefault="0002141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Продолжение табл. 2.1.4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381"/>
        <w:gridCol w:w="2193"/>
        <w:gridCol w:w="2877"/>
      </w:tblGrid>
      <w:tr w:rsidR="00021417" w:rsidRPr="00021417" w14:paraId="0B34A50D" w14:textId="77777777" w:rsidTr="00021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78AAD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Канал отчётности</w:t>
            </w:r>
          </w:p>
        </w:tc>
        <w:tc>
          <w:tcPr>
            <w:tcW w:w="0" w:type="auto"/>
            <w:vAlign w:val="center"/>
            <w:hideMark/>
          </w:tcPr>
          <w:p w14:paraId="2ACFF3C7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06C7E679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Объект аудита</w:t>
            </w:r>
          </w:p>
        </w:tc>
        <w:tc>
          <w:tcPr>
            <w:tcW w:w="0" w:type="auto"/>
            <w:vAlign w:val="center"/>
            <w:hideMark/>
          </w:tcPr>
          <w:p w14:paraId="3DE166E1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Эскалации/</w:t>
            </w:r>
            <w:proofErr w:type="spellStart"/>
            <w:r w:rsidRPr="00021417">
              <w:t>Follow-up</w:t>
            </w:r>
            <w:proofErr w:type="spellEnd"/>
          </w:p>
        </w:tc>
      </w:tr>
      <w:tr w:rsidR="00021417" w:rsidRPr="00021417" w14:paraId="2D930D02" w14:textId="77777777" w:rsidTr="0002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1290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Внешний аудитор/регулятор (по требованию закона)</w:t>
            </w:r>
          </w:p>
        </w:tc>
        <w:tc>
          <w:tcPr>
            <w:tcW w:w="0" w:type="auto"/>
            <w:vAlign w:val="center"/>
            <w:hideMark/>
          </w:tcPr>
          <w:p w14:paraId="65D3C32D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По требованиям</w:t>
            </w:r>
          </w:p>
        </w:tc>
        <w:tc>
          <w:tcPr>
            <w:tcW w:w="0" w:type="auto"/>
            <w:vAlign w:val="center"/>
            <w:hideMark/>
          </w:tcPr>
          <w:p w14:paraId="07F37D47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Процедуры, влияющие на достоверность отчётности</w:t>
            </w:r>
          </w:p>
        </w:tc>
        <w:tc>
          <w:tcPr>
            <w:tcW w:w="0" w:type="auto"/>
            <w:vAlign w:val="center"/>
            <w:hideMark/>
          </w:tcPr>
          <w:p w14:paraId="2319BDC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Предоставление материалов в пределах компетенции</w:t>
            </w:r>
          </w:p>
        </w:tc>
      </w:tr>
    </w:tbl>
    <w:p w14:paraId="36F6B2F5" w14:textId="3E3A693D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[24, с. 3–5; 28, с. 4–7; 11, с. 10–12].</w:t>
      </w:r>
    </w:p>
    <w:p w14:paraId="2281F640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13C44A9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Подотчётность СВА НС и прямое взаимодействие с комитетом по аудиту закрепляют независимость третьей линии, а публичное «мнение СВА» в пакете к ОСА демонстрирует зрелость контроля и прозрачность коммуникаций с акционерами [28, с. 4–6]. В совокупности такая архитектура увязывает стратегию, риски и операционные решения, что поддерживает устойчивость финансовых результатов при текущем масштабе деятельности [11, с. 6–12; 26, с. 6–9].</w:t>
      </w:r>
    </w:p>
    <w:p w14:paraId="6A91DB41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В крупных организациях с разветвлённой структурой управления всё заметнее значение приобретают неформальные и гибридные формы самоуправления, которые дополняют классическую иерархию. В Сбербанке подобные механизмы развиваются на уровне команд, продуктовых направлений и профессиональных сообществ, создавая гибкую сеть горизонтальных связей. Их задача — ускорять принятие решений, обеспечивать обмен знаниями и вовлекать сотрудников в процесс постоянных улучшений [11, с. 7–10]. Благодаря этому управленческая система становится более адаптивной и устойчивой, а коммуникации — короче и прозрачнее.</w:t>
      </w:r>
    </w:p>
    <w:p w14:paraId="7895465E" w14:textId="1FCD0400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 xml:space="preserve">Практическая реализация гибридных моделей базируется на </w:t>
      </w:r>
      <w:proofErr w:type="spellStart"/>
      <w:r w:rsidRPr="008107BB">
        <w:rPr>
          <w:sz w:val="28"/>
          <w:szCs w:val="28"/>
        </w:rPr>
        <w:t>agile</w:t>
      </w:r>
      <w:proofErr w:type="spellEnd"/>
      <w:r w:rsidRPr="008107BB">
        <w:rPr>
          <w:sz w:val="28"/>
          <w:szCs w:val="28"/>
        </w:rPr>
        <w:t xml:space="preserve">-подходе, который Сбер официально внедрил в 2018 году. К 2024 году </w:t>
      </w:r>
      <w:proofErr w:type="spellStart"/>
      <w:r w:rsidRPr="008107BB">
        <w:rPr>
          <w:sz w:val="28"/>
          <w:szCs w:val="28"/>
        </w:rPr>
        <w:t>agile</w:t>
      </w:r>
      <w:proofErr w:type="spellEnd"/>
      <w:r w:rsidRPr="008107BB">
        <w:rPr>
          <w:sz w:val="28"/>
          <w:szCs w:val="28"/>
        </w:rPr>
        <w:t xml:space="preserve"> стал основой большинства продуктовых направлений. Ключевыми единицами этой модели выступают</w:t>
      </w:r>
      <w:r w:rsidRPr="008107BB">
        <w:rPr>
          <w:rStyle w:val="apple-converted-space"/>
          <w:rFonts w:eastAsiaTheme="majorEastAsia"/>
          <w:sz w:val="28"/>
          <w:szCs w:val="28"/>
        </w:rPr>
        <w:t> </w:t>
      </w:r>
      <w:r w:rsidR="002557DE" w:rsidRPr="008107BB">
        <w:rPr>
          <w:rStyle w:val="apple-converted-space"/>
          <w:rFonts w:eastAsiaTheme="majorEastAsia"/>
          <w:sz w:val="28"/>
          <w:szCs w:val="28"/>
        </w:rPr>
        <w:t>«</w:t>
      </w:r>
      <w:proofErr w:type="spellStart"/>
      <w:r w:rsidRPr="008107BB">
        <w:rPr>
          <w:rStyle w:val="ae"/>
          <w:rFonts w:eastAsiaTheme="majorEastAsia"/>
          <w:i w:val="0"/>
          <w:iCs w:val="0"/>
          <w:sz w:val="28"/>
          <w:szCs w:val="28"/>
        </w:rPr>
        <w:t>tribes</w:t>
      </w:r>
      <w:proofErr w:type="spellEnd"/>
      <w:r w:rsidR="002557DE" w:rsidRPr="008107BB">
        <w:rPr>
          <w:rStyle w:val="ae"/>
          <w:rFonts w:eastAsiaTheme="majorEastAsia"/>
          <w:i w:val="0"/>
          <w:iCs w:val="0"/>
          <w:sz w:val="28"/>
          <w:szCs w:val="28"/>
        </w:rPr>
        <w:t>»</w:t>
      </w:r>
      <w:r w:rsidRPr="008107BB">
        <w:rPr>
          <w:rStyle w:val="apple-converted-space"/>
          <w:rFonts w:eastAsiaTheme="majorEastAsia"/>
          <w:sz w:val="28"/>
          <w:szCs w:val="28"/>
        </w:rPr>
        <w:t> </w:t>
      </w:r>
      <w:r w:rsidRPr="008107BB">
        <w:rPr>
          <w:sz w:val="28"/>
          <w:szCs w:val="28"/>
        </w:rPr>
        <w:t>(племена),</w:t>
      </w:r>
      <w:r w:rsidRPr="008107BB">
        <w:rPr>
          <w:rStyle w:val="apple-converted-space"/>
          <w:rFonts w:eastAsiaTheme="majorEastAsia"/>
          <w:sz w:val="28"/>
          <w:szCs w:val="28"/>
        </w:rPr>
        <w:t> </w:t>
      </w:r>
      <w:r w:rsidR="002557DE" w:rsidRPr="008107BB">
        <w:rPr>
          <w:rStyle w:val="apple-converted-space"/>
          <w:rFonts w:eastAsiaTheme="majorEastAsia"/>
          <w:sz w:val="28"/>
          <w:szCs w:val="28"/>
        </w:rPr>
        <w:t>«</w:t>
      </w:r>
      <w:proofErr w:type="spellStart"/>
      <w:r w:rsidRPr="008107BB">
        <w:rPr>
          <w:rStyle w:val="ae"/>
          <w:rFonts w:eastAsiaTheme="majorEastAsia"/>
          <w:i w:val="0"/>
          <w:iCs w:val="0"/>
          <w:sz w:val="28"/>
          <w:szCs w:val="28"/>
        </w:rPr>
        <w:t>squads</w:t>
      </w:r>
      <w:proofErr w:type="spellEnd"/>
      <w:r w:rsidR="002557DE" w:rsidRPr="008107BB">
        <w:rPr>
          <w:rStyle w:val="ae"/>
          <w:rFonts w:eastAsiaTheme="majorEastAsia"/>
          <w:i w:val="0"/>
          <w:iCs w:val="0"/>
          <w:sz w:val="28"/>
          <w:szCs w:val="28"/>
        </w:rPr>
        <w:t>»</w:t>
      </w:r>
      <w:r w:rsidRPr="008107BB">
        <w:rPr>
          <w:rStyle w:val="apple-converted-space"/>
          <w:rFonts w:eastAsiaTheme="majorEastAsia"/>
          <w:sz w:val="28"/>
          <w:szCs w:val="28"/>
        </w:rPr>
        <w:t> </w:t>
      </w:r>
      <w:r w:rsidRPr="008107BB">
        <w:rPr>
          <w:sz w:val="28"/>
          <w:szCs w:val="28"/>
        </w:rPr>
        <w:t>(команды) и</w:t>
      </w:r>
      <w:r w:rsidRPr="008107BB">
        <w:rPr>
          <w:rStyle w:val="apple-converted-space"/>
          <w:rFonts w:eastAsiaTheme="majorEastAsia"/>
          <w:sz w:val="28"/>
          <w:szCs w:val="28"/>
        </w:rPr>
        <w:t> </w:t>
      </w:r>
      <w:r w:rsidR="002557DE" w:rsidRPr="008107BB">
        <w:rPr>
          <w:rStyle w:val="apple-converted-space"/>
          <w:rFonts w:eastAsiaTheme="majorEastAsia"/>
          <w:sz w:val="28"/>
          <w:szCs w:val="28"/>
        </w:rPr>
        <w:t>«</w:t>
      </w:r>
      <w:proofErr w:type="spellStart"/>
      <w:r w:rsidRPr="008107BB">
        <w:rPr>
          <w:rStyle w:val="ae"/>
          <w:rFonts w:eastAsiaTheme="majorEastAsia"/>
          <w:i w:val="0"/>
          <w:iCs w:val="0"/>
          <w:sz w:val="28"/>
          <w:szCs w:val="28"/>
        </w:rPr>
        <w:t>chapters</w:t>
      </w:r>
      <w:proofErr w:type="spellEnd"/>
      <w:r w:rsidR="002557DE" w:rsidRPr="008107BB">
        <w:rPr>
          <w:rStyle w:val="ae"/>
          <w:rFonts w:eastAsiaTheme="majorEastAsia"/>
          <w:i w:val="0"/>
          <w:iCs w:val="0"/>
          <w:sz w:val="28"/>
          <w:szCs w:val="28"/>
        </w:rPr>
        <w:t>»</w:t>
      </w:r>
      <w:r w:rsidRPr="008107BB">
        <w:rPr>
          <w:rStyle w:val="apple-converted-space"/>
          <w:rFonts w:eastAsiaTheme="majorEastAsia"/>
          <w:sz w:val="28"/>
          <w:szCs w:val="28"/>
        </w:rPr>
        <w:t> </w:t>
      </w:r>
      <w:r w:rsidRPr="008107BB">
        <w:rPr>
          <w:sz w:val="28"/>
          <w:szCs w:val="28"/>
        </w:rPr>
        <w:t xml:space="preserve">(гильдии), объединяющие специалистов разных профилей по принципу проектного </w:t>
      </w:r>
      <w:r w:rsidRPr="008107BB">
        <w:rPr>
          <w:sz w:val="28"/>
          <w:szCs w:val="28"/>
        </w:rPr>
        <w:lastRenderedPageBreak/>
        <w:t>взаимодействия. Каждая команда обладает операционной автономией, самостоятельным бэклогом и ответственностью за результат, но работает в рамках стратегических ориентиров, утверждённых Наблюдательным советом [32, с. 5–9].</w:t>
      </w:r>
    </w:p>
    <w:p w14:paraId="160B9761" w14:textId="7C69D7B9" w:rsidR="00072D74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 xml:space="preserve">Коллегиальные площадки, такие как форумы решений и советы практик, обеспечивают согласованность действий между командами. На этих встречах обсуждаются продуктовые инициативы, стандарты работы и метрики эффективности. Решения, затрагивающие стратегические вопросы, проходят согласование с профильными комитетами НС, что позволяет сохранять баланс между автономией и контролем. Согласно годовому отчёту за 2024 год, около 65 % внутренних инновационных проектов были инициированы самими сотрудниками в рамках </w:t>
      </w:r>
      <w:proofErr w:type="spellStart"/>
      <w:r w:rsidRPr="008107BB">
        <w:rPr>
          <w:sz w:val="28"/>
          <w:szCs w:val="28"/>
        </w:rPr>
        <w:t>agile</w:t>
      </w:r>
      <w:proofErr w:type="spellEnd"/>
      <w:r w:rsidRPr="008107BB">
        <w:rPr>
          <w:sz w:val="28"/>
          <w:szCs w:val="28"/>
        </w:rPr>
        <w:t>-команд и советов практик [11, с. 9–11].</w:t>
      </w:r>
      <w:r w:rsidR="002557DE" w:rsidRPr="008107BB">
        <w:rPr>
          <w:sz w:val="28"/>
          <w:szCs w:val="28"/>
        </w:rPr>
        <w:t xml:space="preserve"> </w:t>
      </w:r>
      <w:r w:rsidRPr="008107BB">
        <w:rPr>
          <w:sz w:val="28"/>
          <w:szCs w:val="28"/>
        </w:rPr>
        <w:t>Табл</w:t>
      </w:r>
      <w:r w:rsidR="002557DE" w:rsidRPr="008107BB">
        <w:rPr>
          <w:sz w:val="28"/>
          <w:szCs w:val="28"/>
        </w:rPr>
        <w:t>.</w:t>
      </w:r>
      <w:r w:rsidRPr="008107BB">
        <w:rPr>
          <w:sz w:val="28"/>
          <w:szCs w:val="28"/>
        </w:rPr>
        <w:t xml:space="preserve"> 2.1.5 отражает ключевые формы гибридного самоуправления, их назначение и практические результаты.</w:t>
      </w:r>
    </w:p>
    <w:p w14:paraId="13D73462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A0089F9" w14:textId="77777777" w:rsidR="002557DE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 w:rsidRPr="008107BB">
        <w:rPr>
          <w:sz w:val="28"/>
          <w:szCs w:val="28"/>
        </w:rPr>
        <w:t>Таблица 2.1.5</w:t>
      </w:r>
    </w:p>
    <w:p w14:paraId="55BB123E" w14:textId="56DA912F" w:rsidR="00072D74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8107BB">
        <w:rPr>
          <w:sz w:val="28"/>
          <w:szCs w:val="28"/>
        </w:rPr>
        <w:t>Гибридные и неформальные формы самоуправления в Сбере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896"/>
        <w:gridCol w:w="2681"/>
        <w:gridCol w:w="2324"/>
      </w:tblGrid>
      <w:tr w:rsidR="00021417" w:rsidRPr="00021417" w14:paraId="11343941" w14:textId="77777777" w:rsidTr="0025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7C299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8B1148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Формат реализации</w:t>
            </w:r>
          </w:p>
        </w:tc>
        <w:tc>
          <w:tcPr>
            <w:tcW w:w="0" w:type="auto"/>
            <w:vAlign w:val="center"/>
            <w:hideMark/>
          </w:tcPr>
          <w:p w14:paraId="5C6DCB5F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Основные функции</w:t>
            </w:r>
          </w:p>
        </w:tc>
        <w:tc>
          <w:tcPr>
            <w:tcW w:w="0" w:type="auto"/>
            <w:vAlign w:val="center"/>
            <w:hideMark/>
          </w:tcPr>
          <w:p w14:paraId="7B1FE229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Результаты и эффекты</w:t>
            </w:r>
          </w:p>
        </w:tc>
      </w:tr>
      <w:tr w:rsidR="00021417" w:rsidRPr="00021417" w14:paraId="5C872FD0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3DE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proofErr w:type="spellStart"/>
            <w:r w:rsidRPr="00021417">
              <w:t>Tribes</w:t>
            </w:r>
            <w:proofErr w:type="spellEnd"/>
            <w:r w:rsidRPr="00021417">
              <w:t xml:space="preserve"> (племена)</w:t>
            </w:r>
          </w:p>
        </w:tc>
        <w:tc>
          <w:tcPr>
            <w:tcW w:w="0" w:type="auto"/>
            <w:vAlign w:val="center"/>
            <w:hideMark/>
          </w:tcPr>
          <w:p w14:paraId="61A528E6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Кластеры по бизнес-направлениям</w:t>
            </w:r>
          </w:p>
        </w:tc>
        <w:tc>
          <w:tcPr>
            <w:tcW w:w="0" w:type="auto"/>
            <w:vAlign w:val="center"/>
            <w:hideMark/>
          </w:tcPr>
          <w:p w14:paraId="181EF92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Распределение ролей, приоритизация задач, интеграция результатов</w:t>
            </w:r>
          </w:p>
        </w:tc>
        <w:tc>
          <w:tcPr>
            <w:tcW w:w="0" w:type="auto"/>
            <w:vAlign w:val="center"/>
            <w:hideMark/>
          </w:tcPr>
          <w:p w14:paraId="77499287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Сокращение сроков вывода продуктов на рынок</w:t>
            </w:r>
          </w:p>
        </w:tc>
      </w:tr>
      <w:tr w:rsidR="00021417" w:rsidRPr="00021417" w14:paraId="11A56C75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389F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proofErr w:type="spellStart"/>
            <w:r w:rsidRPr="00021417">
              <w:t>Squads</w:t>
            </w:r>
            <w:proofErr w:type="spellEnd"/>
            <w:r w:rsidRPr="00021417">
              <w:t xml:space="preserve"> (команды)</w:t>
            </w:r>
          </w:p>
        </w:tc>
        <w:tc>
          <w:tcPr>
            <w:tcW w:w="0" w:type="auto"/>
            <w:vAlign w:val="center"/>
            <w:hideMark/>
          </w:tcPr>
          <w:p w14:paraId="0C83017C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Кросс-функциональные проектные группы</w:t>
            </w:r>
          </w:p>
        </w:tc>
        <w:tc>
          <w:tcPr>
            <w:tcW w:w="0" w:type="auto"/>
            <w:vAlign w:val="center"/>
            <w:hideMark/>
          </w:tcPr>
          <w:p w14:paraId="18DC9DBC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Разработка и внедрение решений</w:t>
            </w:r>
          </w:p>
        </w:tc>
        <w:tc>
          <w:tcPr>
            <w:tcW w:w="0" w:type="auto"/>
            <w:vAlign w:val="center"/>
            <w:hideMark/>
          </w:tcPr>
          <w:p w14:paraId="629BE4CD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Повышение вовлечённости, снижение издержек на согласования</w:t>
            </w:r>
          </w:p>
        </w:tc>
      </w:tr>
      <w:tr w:rsidR="00021417" w:rsidRPr="00021417" w14:paraId="35BFDB65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9222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proofErr w:type="spellStart"/>
            <w:r w:rsidRPr="00021417">
              <w:t>Chapters</w:t>
            </w:r>
            <w:proofErr w:type="spellEnd"/>
            <w:r w:rsidRPr="00021417">
              <w:t xml:space="preserve"> (гильдии)</w:t>
            </w:r>
          </w:p>
        </w:tc>
        <w:tc>
          <w:tcPr>
            <w:tcW w:w="0" w:type="auto"/>
            <w:vAlign w:val="center"/>
            <w:hideMark/>
          </w:tcPr>
          <w:p w14:paraId="0578DCB9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Профессиональные сообщества экспертов</w:t>
            </w:r>
          </w:p>
        </w:tc>
        <w:tc>
          <w:tcPr>
            <w:tcW w:w="0" w:type="auto"/>
            <w:vAlign w:val="center"/>
            <w:hideMark/>
          </w:tcPr>
          <w:p w14:paraId="08B86BC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Стандартизация практик, обмен опытом</w:t>
            </w:r>
          </w:p>
        </w:tc>
        <w:tc>
          <w:tcPr>
            <w:tcW w:w="0" w:type="auto"/>
            <w:vAlign w:val="center"/>
            <w:hideMark/>
          </w:tcPr>
          <w:p w14:paraId="260C0245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Рост качества компетенций и единых подходов</w:t>
            </w:r>
          </w:p>
        </w:tc>
      </w:tr>
    </w:tbl>
    <w:p w14:paraId="622FC93B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9FBE7DE" w14:textId="4F80C5B6" w:rsidR="00021417" w:rsidRDefault="0002141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табл. 2.1.5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214"/>
        <w:gridCol w:w="2964"/>
        <w:gridCol w:w="2704"/>
      </w:tblGrid>
      <w:tr w:rsidR="00021417" w:rsidRPr="00021417" w14:paraId="6D502C8E" w14:textId="77777777" w:rsidTr="00021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45B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B7E1916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Формат реализации</w:t>
            </w:r>
          </w:p>
        </w:tc>
        <w:tc>
          <w:tcPr>
            <w:tcW w:w="0" w:type="auto"/>
            <w:vAlign w:val="center"/>
            <w:hideMark/>
          </w:tcPr>
          <w:p w14:paraId="4F952806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Основные функции</w:t>
            </w:r>
          </w:p>
        </w:tc>
        <w:tc>
          <w:tcPr>
            <w:tcW w:w="0" w:type="auto"/>
            <w:vAlign w:val="center"/>
            <w:hideMark/>
          </w:tcPr>
          <w:p w14:paraId="282D4F83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Результаты и эффекты</w:t>
            </w:r>
          </w:p>
        </w:tc>
      </w:tr>
      <w:tr w:rsidR="00021417" w:rsidRPr="00021417" w14:paraId="27835E04" w14:textId="77777777" w:rsidTr="0002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D9A3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Форумы решений</w:t>
            </w:r>
          </w:p>
        </w:tc>
        <w:tc>
          <w:tcPr>
            <w:tcW w:w="0" w:type="auto"/>
            <w:vAlign w:val="center"/>
            <w:hideMark/>
          </w:tcPr>
          <w:p w14:paraId="05753010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Внутренние площадки для обсуждений</w:t>
            </w:r>
          </w:p>
        </w:tc>
        <w:tc>
          <w:tcPr>
            <w:tcW w:w="0" w:type="auto"/>
            <w:vAlign w:val="center"/>
            <w:hideMark/>
          </w:tcPr>
          <w:p w14:paraId="7BC19439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Коллегиальные решения по продуктам и улучшениям</w:t>
            </w:r>
          </w:p>
        </w:tc>
        <w:tc>
          <w:tcPr>
            <w:tcW w:w="0" w:type="auto"/>
            <w:vAlign w:val="center"/>
            <w:hideMark/>
          </w:tcPr>
          <w:p w14:paraId="4C605AA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Ускорение обратной связи и повышение прозрачности</w:t>
            </w:r>
          </w:p>
        </w:tc>
      </w:tr>
      <w:tr w:rsidR="00021417" w:rsidRPr="00021417" w14:paraId="76654F23" w14:textId="77777777" w:rsidTr="00021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77A5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Советы практик</w:t>
            </w:r>
          </w:p>
        </w:tc>
        <w:tc>
          <w:tcPr>
            <w:tcW w:w="0" w:type="auto"/>
            <w:vAlign w:val="center"/>
            <w:hideMark/>
          </w:tcPr>
          <w:p w14:paraId="0D8CFDFD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Группы экспертов-наставников</w:t>
            </w:r>
          </w:p>
        </w:tc>
        <w:tc>
          <w:tcPr>
            <w:tcW w:w="0" w:type="auto"/>
            <w:vAlign w:val="center"/>
            <w:hideMark/>
          </w:tcPr>
          <w:p w14:paraId="74F88EED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Методологическая поддержка и развитие сотрудников</w:t>
            </w:r>
          </w:p>
        </w:tc>
        <w:tc>
          <w:tcPr>
            <w:tcW w:w="0" w:type="auto"/>
            <w:vAlign w:val="center"/>
            <w:hideMark/>
          </w:tcPr>
          <w:p w14:paraId="7E9006E4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Тиражирование лучших практик и сокращение ошибок</w:t>
            </w:r>
          </w:p>
        </w:tc>
      </w:tr>
    </w:tbl>
    <w:p w14:paraId="7A86411C" w14:textId="5E2C3D12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Источник: составлено автором по [11, с. 6–11; 32, с. 5–9].</w:t>
      </w:r>
    </w:p>
    <w:p w14:paraId="5D6F24D5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B7CD49F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Хотя эти структуры не имеют юридического статуса, они закреплены во внутренних документах и опираются на корпоративную культуру доверия и открытого взаимодействия. Такой формат создаёт дополнительный слой управления, где инициатива идёт снизу, а роль НС и Правления сводится к стратегическому курированию и управлению рисками.</w:t>
      </w:r>
    </w:p>
    <w:p w14:paraId="4EF59E92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Совмещение формальных и гибридных механизмов повышает адаптивность банка к внешним изменениям и усиливает внутреннюю согласованность процессов. Подобный подход отражает принципы стандарта ISO 37000:2021, согласно которому «эффективность управления возрастает, когда решения принимаются на том уровне, где сосредоточена релевантная информация» [7, с. 8–10].</w:t>
      </w:r>
    </w:p>
    <w:p w14:paraId="315856F1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Связь между классическими органами управления и автономными командами в Сбере выстроена как система взаимных границ и точек сопряжения. Формальные структуры — общее собрание акционеров, Наблюдательный совет, комитеты и Правление — определяют стратегические ориентиры и контрольные рамки, тогда как продуктовые команды реализуют эти решения на операционном уровне. Баланс обеспечивается через регламенты, систему метрик и распределение ролей: НС формирует риск-лимиты и стратегические KPI, а конкретизация действий передаётся тем подразделениям, где сосредоточена </w:t>
      </w:r>
      <w:r w:rsidRPr="008107BB">
        <w:rPr>
          <w:color w:val="000000"/>
          <w:sz w:val="28"/>
          <w:szCs w:val="28"/>
        </w:rPr>
        <w:lastRenderedPageBreak/>
        <w:t>предметная экспертиза [11, с. 6–10]. Такой подход позволяет согласовывать долгосрочные цели и результаты при высокой скорости изменений.</w:t>
      </w:r>
    </w:p>
    <w:p w14:paraId="250C31B8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Логика управления строится по принципу «стратегия — политика — процесс». Наблюдательный совет утверждает стратегию развития и ключевые политики — в области риска, вознаграждения и внутреннего контроля; профильные комитеты проводят углублённый надзор; Правление переводит эти решения в операционные стандарты, а команды принимают решения в рамках установленных границ [4, с. 3–7; 26, с. 6–9]. Как подчеркивается в рекомендациях Банка России, комитеты усиливают экспертный уровень надзора, обеспечивая обоснованность управленческих решений при сохранении ответственности на каждом уровне [4, с. 5–6].</w:t>
      </w:r>
    </w:p>
    <w:p w14:paraId="5FDC3556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Модель трёх линий защиты становится инструментом стыковки автономии и контроля. Первая линия — продуктовые команды, управляющие процессами и рисками на уровне исполнения; вторая — риск-менеджмент и комплаенс, формирующие методологию и систему мониторинга; третья — Служба внутреннего аудита, осуществляющая независимую оценку эффективности управления [6, с. 2–6]. В этой модели автономия не исключает контроль, а опирается на него: отклонения фиксируются ключевыми риск-индикаторами (KRI), </w:t>
      </w:r>
      <w:proofErr w:type="spellStart"/>
      <w:r w:rsidRPr="008107BB">
        <w:rPr>
          <w:color w:val="000000"/>
          <w:sz w:val="28"/>
          <w:szCs w:val="28"/>
        </w:rPr>
        <w:t>эскалируются</w:t>
      </w:r>
      <w:proofErr w:type="spellEnd"/>
      <w:r w:rsidRPr="008107BB">
        <w:rPr>
          <w:color w:val="000000"/>
          <w:sz w:val="28"/>
          <w:szCs w:val="28"/>
        </w:rPr>
        <w:t xml:space="preserve"> в профильные комитеты НС, а корректирующие меры закрепляются в регламентах [6, с. 3–5; 11, с. 9–12]. Это позволяет сокращать промежуток между выявлением проблемы и управленческим действием, повышая устойчивость всей системы.</w:t>
      </w:r>
    </w:p>
    <w:p w14:paraId="1DF707C0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Отдельное значение имеет работа корпоративного секретаря, который обеспечивает корректность процедур, прозрачность коммуникаций между акционерами, Наблюдательным советом и исполнительными органами, а также доступность информации [26, с. 6–8]. Система раскрытия данных интегрирует финансовые результаты, риски, отчёты СВА, статус стратегических проектов и ESG-показатели в единый годовой отчёт и материалы к собранию акционеров [11, с. 6–12]. В соответствии с ISO 37000 эффективное управление достигается </w:t>
      </w:r>
      <w:r w:rsidRPr="008107BB">
        <w:rPr>
          <w:color w:val="000000"/>
          <w:sz w:val="28"/>
          <w:szCs w:val="28"/>
        </w:rPr>
        <w:lastRenderedPageBreak/>
        <w:t>тогда, когда решения принимаются там, где сосредоточена релевантная информация [7, с. 8–10].</w:t>
      </w:r>
    </w:p>
    <w:p w14:paraId="28F10C9F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Такое сочетание формальных институтов и гибких командных практик создаёт взаимодополняющую систему: первые обеспечивают прозрачность и ответственность, вторые — скорость и адаптивность. Сохранение дисциплины метрик и устойчивых каналов эскалации превращает автономию команд в управляемый источник эффективности, а не в фактор риска [11, с. 9–12; 6, с. 4–6].</w:t>
      </w:r>
    </w:p>
    <w:p w14:paraId="6C3E2D39" w14:textId="1A2DC03F" w:rsidR="008B0677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системе управления Сбера формальные органы и гибридные практики образуют устойчивую управленческую экосистему. Наблюдательный совет задаёт стратегию и стандарты прозрачности, Правление обеспечивает операционное исполнение, а комитеты усиливают контроль и экспертизу. Одновременно команды и советы практик поддерживают адаптивность и инновационность. Такое сочетание централизации и самоуправления позволяет банку сохранять лидерство и устойчивость в динамичной среде [11, с. 6–12; 26, с. 6–9].</w:t>
      </w:r>
    </w:p>
    <w:p w14:paraId="7509A2D9" w14:textId="77777777" w:rsidR="000A12F6" w:rsidRPr="00021417" w:rsidRDefault="0055527E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021417">
        <w:rPr>
          <w:b/>
          <w:bCs/>
          <w:color w:val="000000"/>
          <w:sz w:val="28"/>
          <w:szCs w:val="28"/>
        </w:rPr>
        <w:t>2.2. Реализация функций самоуправления в корпоративной практике Сбера</w:t>
      </w:r>
    </w:p>
    <w:p w14:paraId="3F30571F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На практике HR-контур становится тем местом, где автономия команд соединяется с требованиями устойчивости. В Сбере кадровые процедуры опираются на ценности и </w:t>
      </w:r>
      <w:proofErr w:type="spellStart"/>
      <w:r w:rsidRPr="008107BB">
        <w:rPr>
          <w:color w:val="000000"/>
          <w:sz w:val="28"/>
          <w:szCs w:val="28"/>
        </w:rPr>
        <w:t>регуляторику</w:t>
      </w:r>
      <w:proofErr w:type="spellEnd"/>
      <w:r w:rsidRPr="008107BB">
        <w:rPr>
          <w:color w:val="000000"/>
          <w:sz w:val="28"/>
          <w:szCs w:val="28"/>
        </w:rPr>
        <w:t xml:space="preserve"> для банков, поэтому управленческие решения принимаются ближе к задаче, а рамки ответственности и риска остаются прозрачными [11, с. 3–7; 24, с. 5–9]. К концу 2024 года в банке работает около 217 тыс. сотрудников; соответствие ценностям регулярно оценивается и влияет на карьеру и вознаграждение [11, с. 8–10].</w:t>
      </w:r>
    </w:p>
    <w:p w14:paraId="3C8B075F" w14:textId="77777777" w:rsidR="008B0677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Подбор, оценка, развитие и вознаграждение связаны общей логикой: отбор под конкретную роль и ответственность, циклы оценки поведения и результата, баланс фиксированной и переменной оплаты. Политика по ключевым категориям сформирована с учётом требований Банка России и распространяется на работников, принимающих риск, функции риск-</w:t>
      </w:r>
      <w:r w:rsidRPr="008107BB">
        <w:rPr>
          <w:color w:val="000000"/>
          <w:sz w:val="28"/>
          <w:szCs w:val="28"/>
        </w:rPr>
        <w:lastRenderedPageBreak/>
        <w:t xml:space="preserve">менеджмента и внутреннего контроля [24, с. 6–11]. Переменная часть включает годовые премии и отсроченные выплаты; для </w:t>
      </w:r>
      <w:proofErr w:type="spellStart"/>
      <w:r w:rsidRPr="008107BB">
        <w:rPr>
          <w:color w:val="000000"/>
          <w:sz w:val="28"/>
          <w:szCs w:val="28"/>
        </w:rPr>
        <w:t>risk-takers</w:t>
      </w:r>
      <w:proofErr w:type="spellEnd"/>
      <w:r w:rsidRPr="008107BB">
        <w:rPr>
          <w:color w:val="000000"/>
          <w:sz w:val="28"/>
          <w:szCs w:val="28"/>
        </w:rPr>
        <w:t xml:space="preserve"> переменная доля не ниже 40 %, тогда как для внутреннего контроля фиксированная часть не менее 50 % [24, с. 9–11]. Идентификация позиций </w:t>
      </w:r>
      <w:proofErr w:type="spellStart"/>
      <w:r w:rsidRPr="008107BB">
        <w:rPr>
          <w:color w:val="000000"/>
          <w:sz w:val="28"/>
          <w:szCs w:val="28"/>
        </w:rPr>
        <w:t>risk-takers</w:t>
      </w:r>
      <w:proofErr w:type="spellEnd"/>
      <w:r w:rsidRPr="008107BB">
        <w:rPr>
          <w:color w:val="000000"/>
          <w:sz w:val="28"/>
          <w:szCs w:val="28"/>
        </w:rPr>
        <w:t xml:space="preserve"> утверждается Правлением; Президент применяет критерии к иным ролям, влияющим на риск [24, с. 7–8]. В надзорном контуре действуют доплаты за работу в комитетах Наблюдательного совета: 20 % для членов, 30 % для председателей и старшего независимого директора, 50 % для председателя НС [26, с. 4–6; 24, с. 10–11]. Характерная формулировка политики — «вознаграждение соотносится с принятым риском» [24, с. 6–7].</w:t>
      </w:r>
    </w:p>
    <w:p w14:paraId="4F40BFEF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59680CC" w14:textId="77777777" w:rsidR="002557DE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Таблица 2.2.1</w:t>
      </w:r>
    </w:p>
    <w:p w14:paraId="3CA68973" w14:textId="1D12CEDC" w:rsidR="008B0677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Элементы мотивации ключевых работников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42"/>
        <w:gridCol w:w="1768"/>
        <w:gridCol w:w="2017"/>
        <w:gridCol w:w="1646"/>
      </w:tblGrid>
      <w:tr w:rsidR="002F64A8" w:rsidRPr="00021417" w14:paraId="281878C4" w14:textId="77777777" w:rsidTr="0025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3D49F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430BB6B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C92C1AD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Горизонт</w:t>
            </w:r>
          </w:p>
        </w:tc>
        <w:tc>
          <w:tcPr>
            <w:tcW w:w="0" w:type="auto"/>
            <w:vAlign w:val="center"/>
            <w:hideMark/>
          </w:tcPr>
          <w:p w14:paraId="351CE077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Риск-связь</w:t>
            </w:r>
          </w:p>
        </w:tc>
        <w:tc>
          <w:tcPr>
            <w:tcW w:w="0" w:type="auto"/>
            <w:vAlign w:val="center"/>
            <w:hideMark/>
          </w:tcPr>
          <w:p w14:paraId="2FDC0E2C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Документ-источник</w:t>
            </w:r>
          </w:p>
        </w:tc>
      </w:tr>
      <w:tr w:rsidR="002F64A8" w:rsidRPr="00021417" w14:paraId="15E7DCCF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B551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Фиксированная часть</w:t>
            </w:r>
          </w:p>
        </w:tc>
        <w:tc>
          <w:tcPr>
            <w:tcW w:w="0" w:type="auto"/>
            <w:vAlign w:val="center"/>
            <w:hideMark/>
          </w:tcPr>
          <w:p w14:paraId="4D81D485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Оклад с учётом роли и рынка</w:t>
            </w:r>
          </w:p>
        </w:tc>
        <w:tc>
          <w:tcPr>
            <w:tcW w:w="0" w:type="auto"/>
            <w:vAlign w:val="center"/>
            <w:hideMark/>
          </w:tcPr>
          <w:p w14:paraId="08C2C1F8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3297FDCB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База для функций контроля</w:t>
            </w:r>
          </w:p>
        </w:tc>
        <w:tc>
          <w:tcPr>
            <w:tcW w:w="0" w:type="auto"/>
            <w:vAlign w:val="center"/>
            <w:hideMark/>
          </w:tcPr>
          <w:p w14:paraId="0BF01F27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[24, с. 6–8]</w:t>
            </w:r>
          </w:p>
        </w:tc>
      </w:tr>
      <w:tr w:rsidR="002F64A8" w:rsidRPr="00021417" w14:paraId="4BAD8D71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A92B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Годовая премия</w:t>
            </w:r>
          </w:p>
        </w:tc>
        <w:tc>
          <w:tcPr>
            <w:tcW w:w="0" w:type="auto"/>
            <w:vAlign w:val="center"/>
            <w:hideMark/>
          </w:tcPr>
          <w:p w14:paraId="7C7CCAC2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KPI банка и подразделения, поведение</w:t>
            </w:r>
          </w:p>
        </w:tc>
        <w:tc>
          <w:tcPr>
            <w:tcW w:w="0" w:type="auto"/>
            <w:vAlign w:val="center"/>
            <w:hideMark/>
          </w:tcPr>
          <w:p w14:paraId="5A7B6325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1 год</w:t>
            </w:r>
          </w:p>
        </w:tc>
        <w:tc>
          <w:tcPr>
            <w:tcW w:w="0" w:type="auto"/>
            <w:vAlign w:val="center"/>
            <w:hideMark/>
          </w:tcPr>
          <w:p w14:paraId="4A976738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Корректировки по риску и ценностям</w:t>
            </w:r>
          </w:p>
        </w:tc>
        <w:tc>
          <w:tcPr>
            <w:tcW w:w="0" w:type="auto"/>
            <w:vAlign w:val="center"/>
            <w:hideMark/>
          </w:tcPr>
          <w:p w14:paraId="2D5FB4F3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[24, с. 9–11; 11, с. 9–10]</w:t>
            </w:r>
          </w:p>
        </w:tc>
      </w:tr>
      <w:tr w:rsidR="002F64A8" w:rsidRPr="00021417" w14:paraId="3F1B9C30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069C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Долгосрочное вознаграждение</w:t>
            </w:r>
          </w:p>
        </w:tc>
        <w:tc>
          <w:tcPr>
            <w:tcW w:w="0" w:type="auto"/>
            <w:vAlign w:val="center"/>
            <w:hideMark/>
          </w:tcPr>
          <w:p w14:paraId="20C2715B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 xml:space="preserve">Отсрочка, </w:t>
            </w:r>
            <w:proofErr w:type="spellStart"/>
            <w:r w:rsidRPr="00021417">
              <w:rPr>
                <w:sz w:val="20"/>
                <w:szCs w:val="20"/>
              </w:rPr>
              <w:t>корректируемость</w:t>
            </w:r>
            <w:proofErr w:type="spellEnd"/>
            <w:r w:rsidRPr="00021417">
              <w:rPr>
                <w:sz w:val="20"/>
                <w:szCs w:val="20"/>
              </w:rPr>
              <w:t xml:space="preserve"> по риску</w:t>
            </w:r>
          </w:p>
        </w:tc>
        <w:tc>
          <w:tcPr>
            <w:tcW w:w="0" w:type="auto"/>
            <w:vAlign w:val="center"/>
            <w:hideMark/>
          </w:tcPr>
          <w:p w14:paraId="5E836C00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3–4 года</w:t>
            </w:r>
          </w:p>
        </w:tc>
        <w:tc>
          <w:tcPr>
            <w:tcW w:w="0" w:type="auto"/>
            <w:vAlign w:val="center"/>
            <w:hideMark/>
          </w:tcPr>
          <w:p w14:paraId="72D321D3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 xml:space="preserve">Обязательно для </w:t>
            </w:r>
            <w:proofErr w:type="spellStart"/>
            <w:r w:rsidRPr="00021417">
              <w:rPr>
                <w:sz w:val="20"/>
                <w:szCs w:val="20"/>
              </w:rPr>
              <w:t>risk-takers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59616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[24, с. 9–11]</w:t>
            </w:r>
          </w:p>
        </w:tc>
      </w:tr>
      <w:tr w:rsidR="002F64A8" w:rsidRPr="00021417" w14:paraId="1A07884B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C13F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Командные выплаты (</w:t>
            </w:r>
            <w:proofErr w:type="spellStart"/>
            <w:r w:rsidRPr="00021417">
              <w:rPr>
                <w:sz w:val="20"/>
                <w:szCs w:val="20"/>
              </w:rPr>
              <w:t>agile</w:t>
            </w:r>
            <w:proofErr w:type="spellEnd"/>
            <w:r w:rsidRPr="0002141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593F44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 xml:space="preserve">Ответственность за цели </w:t>
            </w:r>
            <w:proofErr w:type="spellStart"/>
            <w:r w:rsidRPr="00021417">
              <w:rPr>
                <w:sz w:val="20"/>
                <w:szCs w:val="20"/>
              </w:rPr>
              <w:t>трайба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CE214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1 год</w:t>
            </w:r>
          </w:p>
        </w:tc>
        <w:tc>
          <w:tcPr>
            <w:tcW w:w="0" w:type="auto"/>
            <w:vAlign w:val="center"/>
            <w:hideMark/>
          </w:tcPr>
          <w:p w14:paraId="7DD9F2F4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Через цели и допуски качества</w:t>
            </w:r>
          </w:p>
        </w:tc>
        <w:tc>
          <w:tcPr>
            <w:tcW w:w="0" w:type="auto"/>
            <w:vAlign w:val="center"/>
            <w:hideMark/>
          </w:tcPr>
          <w:p w14:paraId="2D4A64BE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[11, с. 9–10]</w:t>
            </w:r>
          </w:p>
        </w:tc>
      </w:tr>
      <w:tr w:rsidR="002F64A8" w:rsidRPr="00021417" w14:paraId="11E784AF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72B9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proofErr w:type="spellStart"/>
            <w:r w:rsidRPr="00021417">
              <w:rPr>
                <w:sz w:val="20"/>
                <w:szCs w:val="20"/>
              </w:rPr>
              <w:t>Комитетные</w:t>
            </w:r>
            <w:proofErr w:type="spellEnd"/>
            <w:r w:rsidRPr="00021417">
              <w:rPr>
                <w:sz w:val="20"/>
                <w:szCs w:val="20"/>
              </w:rPr>
              <w:t xml:space="preserve"> доплаты НС</w:t>
            </w:r>
          </w:p>
        </w:tc>
        <w:tc>
          <w:tcPr>
            <w:tcW w:w="0" w:type="auto"/>
            <w:vAlign w:val="center"/>
            <w:hideMark/>
          </w:tcPr>
          <w:p w14:paraId="7BB1F600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20/30/50 % за участие и руководство</w:t>
            </w:r>
          </w:p>
        </w:tc>
        <w:tc>
          <w:tcPr>
            <w:tcW w:w="0" w:type="auto"/>
            <w:vAlign w:val="center"/>
            <w:hideMark/>
          </w:tcPr>
          <w:p w14:paraId="7537532F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Период расчёта</w:t>
            </w:r>
          </w:p>
        </w:tc>
        <w:tc>
          <w:tcPr>
            <w:tcW w:w="0" w:type="auto"/>
            <w:vAlign w:val="center"/>
            <w:hideMark/>
          </w:tcPr>
          <w:p w14:paraId="667F3592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Усиление надзора</w:t>
            </w:r>
          </w:p>
        </w:tc>
        <w:tc>
          <w:tcPr>
            <w:tcW w:w="0" w:type="auto"/>
            <w:vAlign w:val="center"/>
            <w:hideMark/>
          </w:tcPr>
          <w:p w14:paraId="393719DA" w14:textId="77777777" w:rsidR="008B0677" w:rsidRPr="00021417" w:rsidRDefault="008B0677" w:rsidP="008107BB">
            <w:pPr>
              <w:spacing w:line="360" w:lineRule="auto"/>
              <w:ind w:firstLine="709"/>
              <w:jc w:val="both"/>
              <w:rPr>
                <w:sz w:val="20"/>
                <w:szCs w:val="20"/>
              </w:rPr>
            </w:pPr>
            <w:r w:rsidRPr="00021417">
              <w:rPr>
                <w:sz w:val="20"/>
                <w:szCs w:val="20"/>
              </w:rPr>
              <w:t>[26, с. 4–6; 24, с. 10–11]</w:t>
            </w:r>
          </w:p>
        </w:tc>
      </w:tr>
    </w:tbl>
    <w:p w14:paraId="24634D3C" w14:textId="0509E964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sz w:val="28"/>
          <w:szCs w:val="28"/>
        </w:rPr>
        <w:t>Источник: составлено автором по [24, с. 6–11; 11, с. 8–10; 26, с. 4–6].</w:t>
      </w:r>
    </w:p>
    <w:p w14:paraId="04A690B4" w14:textId="6E6C564B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Примечание: горизонты — календарные годы, проценты считаются от базового вознаграждения.</w:t>
      </w:r>
    </w:p>
    <w:p w14:paraId="60DBC6BD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2F9FE81" w14:textId="1096CF97" w:rsidR="008B0677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Эта конструкция фиксирует коллективную ответственность и дисциплину риска: отсроченные выплаты удерживают фокус на устойчивых результатах, а </w:t>
      </w:r>
      <w:proofErr w:type="spellStart"/>
      <w:r w:rsidRPr="008107BB">
        <w:rPr>
          <w:color w:val="000000"/>
          <w:sz w:val="28"/>
          <w:szCs w:val="28"/>
        </w:rPr>
        <w:lastRenderedPageBreak/>
        <w:t>комитетные</w:t>
      </w:r>
      <w:proofErr w:type="spellEnd"/>
      <w:r w:rsidRPr="008107BB">
        <w:rPr>
          <w:color w:val="000000"/>
          <w:sz w:val="28"/>
          <w:szCs w:val="28"/>
        </w:rPr>
        <w:t xml:space="preserve"> доплаты повышают личную вовлечённость в контроль качества управления [24, с. 6–9; 11, с. 9–10].</w:t>
      </w:r>
    </w:p>
    <w:p w14:paraId="792A80B7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584CE3D" w14:textId="77777777" w:rsidR="002557DE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Таблица 2.2.2</w:t>
      </w:r>
    </w:p>
    <w:p w14:paraId="7BA59A03" w14:textId="5454D539" w:rsidR="008B0677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Метрики вовлечённости и самоорганизации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268"/>
        <w:gridCol w:w="2552"/>
        <w:gridCol w:w="2403"/>
      </w:tblGrid>
      <w:tr w:rsidR="00021417" w:rsidRPr="00021417" w14:paraId="3E707EB3" w14:textId="77777777" w:rsidTr="00021417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B126EBC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Метрика</w:t>
            </w:r>
          </w:p>
        </w:tc>
        <w:tc>
          <w:tcPr>
            <w:tcW w:w="2238" w:type="dxa"/>
            <w:vAlign w:val="center"/>
            <w:hideMark/>
          </w:tcPr>
          <w:p w14:paraId="2D2EEFB3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Источник</w:t>
            </w:r>
          </w:p>
        </w:tc>
        <w:tc>
          <w:tcPr>
            <w:tcW w:w="2522" w:type="dxa"/>
            <w:vAlign w:val="center"/>
            <w:hideMark/>
          </w:tcPr>
          <w:p w14:paraId="7CAE71DA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Целевой уровень</w:t>
            </w:r>
          </w:p>
        </w:tc>
        <w:tc>
          <w:tcPr>
            <w:tcW w:w="2358" w:type="dxa"/>
            <w:vAlign w:val="center"/>
            <w:hideMark/>
          </w:tcPr>
          <w:p w14:paraId="4B52B18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Периодичность</w:t>
            </w:r>
          </w:p>
        </w:tc>
      </w:tr>
      <w:tr w:rsidR="00021417" w:rsidRPr="00021417" w14:paraId="4CF268AA" w14:textId="77777777" w:rsidTr="0002141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CB974E3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Оценка по ценностям</w:t>
            </w:r>
          </w:p>
        </w:tc>
        <w:tc>
          <w:tcPr>
            <w:tcW w:w="2238" w:type="dxa"/>
            <w:vAlign w:val="center"/>
            <w:hideMark/>
          </w:tcPr>
          <w:p w14:paraId="71C61CD3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HR-оценка, 360/калибровка</w:t>
            </w:r>
          </w:p>
        </w:tc>
        <w:tc>
          <w:tcPr>
            <w:tcW w:w="2522" w:type="dxa"/>
            <w:vAlign w:val="center"/>
            <w:hideMark/>
          </w:tcPr>
          <w:p w14:paraId="584CCE4D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Соответствие стандартам</w:t>
            </w:r>
          </w:p>
        </w:tc>
        <w:tc>
          <w:tcPr>
            <w:tcW w:w="2358" w:type="dxa"/>
            <w:vAlign w:val="center"/>
            <w:hideMark/>
          </w:tcPr>
          <w:p w14:paraId="15933F5C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1–2 раза в год</w:t>
            </w:r>
          </w:p>
        </w:tc>
      </w:tr>
      <w:tr w:rsidR="00021417" w:rsidRPr="00021417" w14:paraId="433C38FD" w14:textId="77777777" w:rsidTr="0002141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AA61D19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Внутренние переходы, удержание</w:t>
            </w:r>
          </w:p>
        </w:tc>
        <w:tc>
          <w:tcPr>
            <w:tcW w:w="2238" w:type="dxa"/>
            <w:vAlign w:val="center"/>
            <w:hideMark/>
          </w:tcPr>
          <w:p w14:paraId="21B70BAB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HR-аналитика</w:t>
            </w:r>
          </w:p>
        </w:tc>
        <w:tc>
          <w:tcPr>
            <w:tcW w:w="2522" w:type="dxa"/>
            <w:vAlign w:val="center"/>
            <w:hideMark/>
          </w:tcPr>
          <w:p w14:paraId="064772D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Рост доли внутренних закрытий</w:t>
            </w:r>
          </w:p>
        </w:tc>
        <w:tc>
          <w:tcPr>
            <w:tcW w:w="2358" w:type="dxa"/>
            <w:vAlign w:val="center"/>
            <w:hideMark/>
          </w:tcPr>
          <w:p w14:paraId="7E0C91A4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Квартально</w:t>
            </w:r>
          </w:p>
        </w:tc>
      </w:tr>
      <w:tr w:rsidR="00021417" w:rsidRPr="00021417" w14:paraId="48BC7743" w14:textId="77777777" w:rsidTr="0002141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86317DA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Частота релизов/цикл поставки (</w:t>
            </w:r>
            <w:proofErr w:type="spellStart"/>
            <w:r w:rsidRPr="00021417">
              <w:t>agile</w:t>
            </w:r>
            <w:proofErr w:type="spellEnd"/>
            <w:r w:rsidRPr="00021417">
              <w:t>)</w:t>
            </w:r>
          </w:p>
        </w:tc>
        <w:tc>
          <w:tcPr>
            <w:tcW w:w="2238" w:type="dxa"/>
            <w:vAlign w:val="center"/>
            <w:hideMark/>
          </w:tcPr>
          <w:p w14:paraId="0C96ED26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Инженерная аналитика</w:t>
            </w:r>
          </w:p>
        </w:tc>
        <w:tc>
          <w:tcPr>
            <w:tcW w:w="2522" w:type="dxa"/>
            <w:vAlign w:val="center"/>
            <w:hideMark/>
          </w:tcPr>
          <w:p w14:paraId="15149450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Стабильный высокий темп</w:t>
            </w:r>
          </w:p>
        </w:tc>
        <w:tc>
          <w:tcPr>
            <w:tcW w:w="2358" w:type="dxa"/>
            <w:vAlign w:val="center"/>
            <w:hideMark/>
          </w:tcPr>
          <w:p w14:paraId="518A7BCE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Еженедельно/ежемесячно</w:t>
            </w:r>
          </w:p>
        </w:tc>
      </w:tr>
      <w:tr w:rsidR="00021417" w:rsidRPr="00021417" w14:paraId="494F24EB" w14:textId="77777777" w:rsidTr="00021417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1380EA0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Исполнение поручений аудита</w:t>
            </w:r>
          </w:p>
        </w:tc>
        <w:tc>
          <w:tcPr>
            <w:tcW w:w="2238" w:type="dxa"/>
            <w:vAlign w:val="center"/>
            <w:hideMark/>
          </w:tcPr>
          <w:p w14:paraId="5E95B5F6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Отчётность СВА/комитету</w:t>
            </w:r>
          </w:p>
        </w:tc>
        <w:tc>
          <w:tcPr>
            <w:tcW w:w="2522" w:type="dxa"/>
            <w:vAlign w:val="center"/>
            <w:hideMark/>
          </w:tcPr>
          <w:p w14:paraId="30729428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100 % в срок</w:t>
            </w:r>
          </w:p>
        </w:tc>
        <w:tc>
          <w:tcPr>
            <w:tcW w:w="2358" w:type="dxa"/>
            <w:vAlign w:val="center"/>
            <w:hideMark/>
          </w:tcPr>
          <w:p w14:paraId="36AA9627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Квартально</w:t>
            </w:r>
          </w:p>
        </w:tc>
      </w:tr>
    </w:tbl>
    <w:p w14:paraId="44C3ECDA" w14:textId="2B62527F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Источник: составлено автором по [11, с. 8–11].</w:t>
      </w:r>
    </w:p>
    <w:p w14:paraId="49DB0F3B" w14:textId="73E433DB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Примечание: целевые значения закрепляются локальными актами и ежегодно валидируются.</w:t>
      </w:r>
    </w:p>
    <w:p w14:paraId="4A2CBF18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63564E8" w14:textId="2049A822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Набор индикаторов покрывает поведенческую и операционную стороны самоуправления: ценности, удержание, устойчивость поставки и дисциплину исполнения поручений, что облегчает согласование границ автономии с требованиями контроля [11, с. 9–11].</w:t>
      </w:r>
    </w:p>
    <w:p w14:paraId="296CF408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прикладном плане HR-контур служит «несущей рамой»: ценности материализуются в оценке и карьерных шагах, а риск-ориентированная компенсация и регулярные метрики задают понятные правила для командной автономии без избыточной бюрократии [24, с. 6–11; 11, с. 8–10].</w:t>
      </w:r>
    </w:p>
    <w:p w14:paraId="06F19B97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Контроль и аудит в банковской сфере выступают не только инструментом защиты, но и механизмом развития. Через внутренний аудит и комплаенс формируются условия, в которых команды могут принимать решения </w:t>
      </w:r>
      <w:r w:rsidRPr="008107BB">
        <w:rPr>
          <w:color w:val="000000"/>
          <w:sz w:val="28"/>
          <w:szCs w:val="28"/>
        </w:rPr>
        <w:lastRenderedPageBreak/>
        <w:t>самостоятельно, сохраняя прозрачность и устойчивость процессов [11, с. 9–11]. В Сбере эта система организована по модели трёх линий защиты. Центральное место занимает Служба внутреннего аудита (СВА) — независимый элемент корпоративного самоуправления, подотчётный Наблюдательному совету и административно подчинённый Президенту, Председателю Правления [24, с. 4–6]. Руководитель СВА назначается и освобождается исключительно решением Наблюдательного совета, что гарантирует независимость и исключает влияние со стороны операционного менеджмента [11, с. 9–10].</w:t>
      </w:r>
    </w:p>
    <w:p w14:paraId="7DEAA979" w14:textId="77777777" w:rsidR="00072D74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Работа СВА строится на принципах постоянства, объективности и профессиональной компетентности. Проверки охватывают финансовые, операционные и IT-процессы. По итогам 2024 года службой выдано свыше 900 поручений по корректировке процессов, и большинство из них исполнено в установленный срок [11, с. 9–11]. Это подтверждает, что контроль в Сбере выполняет не карательную, а консультативную функцию, поддерживая самоорганизацию команд и улучшая качество управленческих решений.</w:t>
      </w:r>
    </w:p>
    <w:p w14:paraId="4167BBEE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98BAC4B" w14:textId="77777777" w:rsidR="002557DE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Таблица 2.2.3</w:t>
      </w:r>
    </w:p>
    <w:p w14:paraId="2E747AF3" w14:textId="338828A2" w:rsidR="00072D74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Структура внутреннего контроля и аудита в Сбере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905"/>
        <w:gridCol w:w="2487"/>
        <w:gridCol w:w="2585"/>
      </w:tblGrid>
      <w:tr w:rsidR="00021417" w:rsidRPr="00021417" w14:paraId="20409837" w14:textId="77777777" w:rsidTr="0025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D76A5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Линия защиты</w:t>
            </w:r>
          </w:p>
        </w:tc>
        <w:tc>
          <w:tcPr>
            <w:tcW w:w="0" w:type="auto"/>
            <w:vAlign w:val="center"/>
            <w:hideMark/>
          </w:tcPr>
          <w:p w14:paraId="44DD84E3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Основные функции</w:t>
            </w:r>
          </w:p>
        </w:tc>
        <w:tc>
          <w:tcPr>
            <w:tcW w:w="0" w:type="auto"/>
            <w:vAlign w:val="center"/>
            <w:hideMark/>
          </w:tcPr>
          <w:p w14:paraId="013FD65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Канал отчётности</w:t>
            </w:r>
          </w:p>
        </w:tc>
        <w:tc>
          <w:tcPr>
            <w:tcW w:w="0" w:type="auto"/>
            <w:vAlign w:val="center"/>
            <w:hideMark/>
          </w:tcPr>
          <w:p w14:paraId="090F0507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Ключевые показатели эффективности</w:t>
            </w:r>
          </w:p>
        </w:tc>
      </w:tr>
      <w:tr w:rsidR="00021417" w:rsidRPr="00021417" w14:paraId="50F551BD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3D93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Первая линия</w:t>
            </w:r>
          </w:p>
        </w:tc>
        <w:tc>
          <w:tcPr>
            <w:tcW w:w="0" w:type="auto"/>
            <w:vAlign w:val="center"/>
            <w:hideMark/>
          </w:tcPr>
          <w:p w14:paraId="7B730C73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Самоконтроль и управление рисками в подразделениях</w:t>
            </w:r>
          </w:p>
        </w:tc>
        <w:tc>
          <w:tcPr>
            <w:tcW w:w="0" w:type="auto"/>
            <w:vAlign w:val="center"/>
            <w:hideMark/>
          </w:tcPr>
          <w:p w14:paraId="07B18A6C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Руководители направлений</w:t>
            </w:r>
          </w:p>
        </w:tc>
        <w:tc>
          <w:tcPr>
            <w:tcW w:w="0" w:type="auto"/>
            <w:vAlign w:val="center"/>
            <w:hideMark/>
          </w:tcPr>
          <w:p w14:paraId="41180144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Исполнение корректирующих действий</w:t>
            </w:r>
          </w:p>
        </w:tc>
      </w:tr>
      <w:tr w:rsidR="00021417" w:rsidRPr="00021417" w14:paraId="67D2D6E9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96CD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Вторая линия</w:t>
            </w:r>
          </w:p>
        </w:tc>
        <w:tc>
          <w:tcPr>
            <w:tcW w:w="0" w:type="auto"/>
            <w:vAlign w:val="center"/>
            <w:hideMark/>
          </w:tcPr>
          <w:p w14:paraId="319F19D4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Риск-менеджмент, комплаенс, контроль операций</w:t>
            </w:r>
          </w:p>
        </w:tc>
        <w:tc>
          <w:tcPr>
            <w:tcW w:w="0" w:type="auto"/>
            <w:vAlign w:val="center"/>
            <w:hideMark/>
          </w:tcPr>
          <w:p w14:paraId="3FAEAE4F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Президент, Комитет по рискам</w:t>
            </w:r>
          </w:p>
        </w:tc>
        <w:tc>
          <w:tcPr>
            <w:tcW w:w="0" w:type="auto"/>
            <w:vAlign w:val="center"/>
            <w:hideMark/>
          </w:tcPr>
          <w:p w14:paraId="2B61F3CD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Устранение нарушений, отсутствие просрочек</w:t>
            </w:r>
          </w:p>
        </w:tc>
      </w:tr>
    </w:tbl>
    <w:p w14:paraId="5EF2E014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68AAD70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A74CE01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D747EC7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D3951D7" w14:textId="26192DCC" w:rsidR="00021417" w:rsidRDefault="0002141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Продолжение табл. 2.2.3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229"/>
        <w:gridCol w:w="2826"/>
        <w:gridCol w:w="2964"/>
      </w:tblGrid>
      <w:tr w:rsidR="00021417" w:rsidRPr="00021417" w14:paraId="17490624" w14:textId="77777777" w:rsidTr="00021417">
        <w:trPr>
          <w:tblHeader/>
          <w:tblCellSpacing w:w="15" w:type="dxa"/>
        </w:trPr>
        <w:tc>
          <w:tcPr>
            <w:tcW w:w="1564" w:type="dxa"/>
            <w:vAlign w:val="center"/>
            <w:hideMark/>
          </w:tcPr>
          <w:p w14:paraId="09DCB793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Линия защиты</w:t>
            </w:r>
          </w:p>
        </w:tc>
        <w:tc>
          <w:tcPr>
            <w:tcW w:w="2199" w:type="dxa"/>
            <w:vAlign w:val="center"/>
            <w:hideMark/>
          </w:tcPr>
          <w:p w14:paraId="737B2DB6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Основные функции</w:t>
            </w:r>
          </w:p>
        </w:tc>
        <w:tc>
          <w:tcPr>
            <w:tcW w:w="2796" w:type="dxa"/>
            <w:vAlign w:val="center"/>
            <w:hideMark/>
          </w:tcPr>
          <w:p w14:paraId="57958F80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Канал отчётности</w:t>
            </w:r>
          </w:p>
        </w:tc>
        <w:tc>
          <w:tcPr>
            <w:tcW w:w="2919" w:type="dxa"/>
            <w:vAlign w:val="center"/>
            <w:hideMark/>
          </w:tcPr>
          <w:p w14:paraId="1FAEFDBD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Ключевые показатели эффективности</w:t>
            </w:r>
          </w:p>
        </w:tc>
      </w:tr>
      <w:tr w:rsidR="00021417" w:rsidRPr="00021417" w14:paraId="7D01D1E7" w14:textId="77777777" w:rsidTr="00021417">
        <w:trPr>
          <w:tblCellSpacing w:w="15" w:type="dxa"/>
        </w:trPr>
        <w:tc>
          <w:tcPr>
            <w:tcW w:w="1564" w:type="dxa"/>
            <w:vAlign w:val="center"/>
            <w:hideMark/>
          </w:tcPr>
          <w:p w14:paraId="512C73CF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Третья линия</w:t>
            </w:r>
          </w:p>
        </w:tc>
        <w:tc>
          <w:tcPr>
            <w:tcW w:w="2199" w:type="dxa"/>
            <w:vAlign w:val="center"/>
            <w:hideMark/>
          </w:tcPr>
          <w:p w14:paraId="3163A909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Внутренний аудит (СВА)</w:t>
            </w:r>
          </w:p>
        </w:tc>
        <w:tc>
          <w:tcPr>
            <w:tcW w:w="2796" w:type="dxa"/>
            <w:vAlign w:val="center"/>
            <w:hideMark/>
          </w:tcPr>
          <w:p w14:paraId="57589A21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Наблюдательный совет</w:t>
            </w:r>
          </w:p>
        </w:tc>
        <w:tc>
          <w:tcPr>
            <w:tcW w:w="2919" w:type="dxa"/>
            <w:vAlign w:val="center"/>
            <w:hideMark/>
          </w:tcPr>
          <w:p w14:paraId="7D1DD859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Количество проверок, доля выполненных рекомендаций</w:t>
            </w:r>
          </w:p>
        </w:tc>
      </w:tr>
    </w:tbl>
    <w:p w14:paraId="1BB21D2C" w14:textId="77777777" w:rsidR="00021417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[11, с. 9–11; 24, с. 4–6].</w:t>
      </w:r>
    </w:p>
    <w:p w14:paraId="63F33C1D" w14:textId="29577862" w:rsidR="00072D74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Примечание: показатели приведены в процентах от общего числа плановых проверок; данные агрегированы по состоянию на 2024 год.</w:t>
      </w:r>
    </w:p>
    <w:p w14:paraId="794D4FB4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556136F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Положение о СВА, утверждённое Наблюдательным советом 16 августа 2024 года, закрепляет вертикаль подчинения и правила планирования работы службы. Аудиторская программа формируется на год вперёд и согласуется с комитетом по аудиту, что позволяет учитывать стратегические приоритеты бизнеса и избегать избыточного административного давления [24, с. 5–7]. Такой подход снижает риск «контрольного перегиба» и формирует внутрикорпоративный диалог, где выводы аудита становятся стимулом для улучшения, а не наказанием.</w:t>
      </w:r>
    </w:p>
    <w:p w14:paraId="52343635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Наряду с СВА действует служба внутреннего контроля (комплаенс), подотчётная Президенту как единоличному исполнительному органу. Её задачи — отслеживание регуляторных рисков, проверка соблюдения внутренних актов Банка России и поддержание стандартов деловой этики [11, с. 9–10]. Специалисты комплаенс-направления участвуют в оценке управленческих решений, не вмешиваясь в оперативную автономию бизнес-</w:t>
      </w:r>
      <w:proofErr w:type="spellStart"/>
      <w:r w:rsidRPr="008107BB">
        <w:rPr>
          <w:color w:val="000000"/>
          <w:sz w:val="28"/>
          <w:szCs w:val="28"/>
        </w:rPr>
        <w:t>трайбов</w:t>
      </w:r>
      <w:proofErr w:type="spellEnd"/>
      <w:r w:rsidRPr="008107BB">
        <w:rPr>
          <w:color w:val="000000"/>
          <w:sz w:val="28"/>
          <w:szCs w:val="28"/>
        </w:rPr>
        <w:t>, если решения соответствуют установленным регуляторным допускам [24, с. 6–8].</w:t>
      </w:r>
    </w:p>
    <w:p w14:paraId="38106187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целом контроль и аудит образуют в Сбере встроенную систему обратной связи, обеспечивающую предсказуемость и согласованность действий самоуправляемых структур. Независимость СВА, прозрачность отчётности и роль комитетов Наблюдательного совета создают доверие между уровнями </w:t>
      </w:r>
      <w:r w:rsidRPr="008107BB">
        <w:rPr>
          <w:color w:val="000000"/>
          <w:sz w:val="28"/>
          <w:szCs w:val="28"/>
        </w:rPr>
        <w:lastRenderedPageBreak/>
        <w:t>управления и формируют управляемую автономию, полностью соответствующую принципам Кодекса корпоративного управления Банка России [11, с. 10–11].</w:t>
      </w:r>
    </w:p>
    <w:p w14:paraId="625506E0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Сбере самоуправление в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-периметре основано на чётком распределении ролей, прозрачных ритуалах и понятных границах ответственности. Такая структура позволяет принимать решения ближе к месту возникновения ценности, сохраняя при этом контроль за счёт стандартов качества, риск-лимитов и циклов обратной связи. Опыт организации показывает, что автономия команд органично сочетается с требованиями регулятора и корпоративными ожиданиями устойчивости [16, с. 2–5; 17, с. 3–6; 11, с. 8–10].</w:t>
      </w:r>
    </w:p>
    <w:p w14:paraId="72F59A43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Ключевые роли включают владельца продукта, </w:t>
      </w:r>
      <w:proofErr w:type="spellStart"/>
      <w:r w:rsidRPr="008107BB">
        <w:rPr>
          <w:color w:val="000000"/>
          <w:sz w:val="28"/>
          <w:szCs w:val="28"/>
        </w:rPr>
        <w:t>скрам</w:t>
      </w:r>
      <w:proofErr w:type="spellEnd"/>
      <w:r w:rsidRPr="008107BB">
        <w:rPr>
          <w:color w:val="000000"/>
          <w:sz w:val="28"/>
          <w:szCs w:val="28"/>
        </w:rPr>
        <w:t xml:space="preserve">-мастера и глав практик, отвечающих за развитие компетенций и единство методологии. Регулярные командные ритуалы — планирование инкремента, ежедневные стендапы, демонстрации и ретроспективы — поддерживают общий ритм и делают взаимозависимости между командами прозрачными [18, с. 4–7; 32, с. 6–9]. Цели </w:t>
      </w:r>
      <w:proofErr w:type="spellStart"/>
      <w:r w:rsidRPr="008107BB">
        <w:rPr>
          <w:color w:val="000000"/>
          <w:sz w:val="28"/>
          <w:szCs w:val="28"/>
        </w:rPr>
        <w:t>трайбов</w:t>
      </w:r>
      <w:proofErr w:type="spellEnd"/>
      <w:r w:rsidRPr="008107BB">
        <w:rPr>
          <w:color w:val="000000"/>
          <w:sz w:val="28"/>
          <w:szCs w:val="28"/>
        </w:rPr>
        <w:t xml:space="preserve"> задаются поквартально и увязывают бизнес-метрики с риск-ограничителями. Команды самостоятельно определяют приоритеты и релизы, но соблюдают общие технологические и регуляторные стандарты, закреплённые на уровне банка. Для спорных случаев используется матрица распределения прав и ответственности с чёткими сценариями эскалации [16, с. 5–7; 19, с. 5–8].</w:t>
      </w:r>
    </w:p>
    <w:p w14:paraId="532BE2D7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Дисциплина темпа поддерживается короткими циклами поставки и строгими критериями готовности: в «Definition </w:t>
      </w:r>
      <w:proofErr w:type="spellStart"/>
      <w:r w:rsidRPr="008107BB">
        <w:rPr>
          <w:color w:val="000000"/>
          <w:sz w:val="28"/>
          <w:szCs w:val="28"/>
        </w:rPr>
        <w:t>of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Done</w:t>
      </w:r>
      <w:proofErr w:type="spellEnd"/>
      <w:r w:rsidRPr="008107BB">
        <w:rPr>
          <w:color w:val="000000"/>
          <w:sz w:val="28"/>
          <w:szCs w:val="28"/>
        </w:rPr>
        <w:t xml:space="preserve">» включены требования безопасности, комплаенса и качества данных. Система мотивации встроена в архитектуру работы — акцент сделан на коллективных результатах. Годовые премии связаны с достижением ключевых показателей, а часть квартального поощрения интегрирована в фиксированную оплату, что снижает колебания дохода и поощряет устойчивую производительность [11, с. 9–10; 18, с. 6–8]. По данным отраслевых обзоров, переход к модели </w:t>
      </w:r>
      <w:proofErr w:type="spellStart"/>
      <w:r w:rsidRPr="008107BB">
        <w:rPr>
          <w:color w:val="000000"/>
          <w:sz w:val="28"/>
          <w:szCs w:val="28"/>
        </w:rPr>
        <w:t>Sbergile</w:t>
      </w:r>
      <w:proofErr w:type="spellEnd"/>
      <w:r w:rsidRPr="008107BB">
        <w:rPr>
          <w:color w:val="000000"/>
          <w:sz w:val="28"/>
          <w:szCs w:val="28"/>
        </w:rPr>
        <w:t xml:space="preserve"> позволил сократить цикл «идея — релиз» примерно в семь раз, благодаря децентрализации решений и унификации инженерных практик [16, с. 6–7; 32, с. 8–10].</w:t>
      </w:r>
    </w:p>
    <w:p w14:paraId="55AA3E87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 xml:space="preserve">Таким образом, архитектура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-контуров создаёт предсказуемые рамки автономии: команда свободна в выборе способов достижения целей, но действует в рамках единых стандартов и риск-лимитов. Короткие спринты, квартальные цели и встроенные механизмы контроля качества обеспечивают управляемую скорость изменений и предотвращают накопление технических и регуляторных долгов [19, с. 7–8; 11, с. 8–10].</w:t>
      </w:r>
    </w:p>
    <w:p w14:paraId="7F2D9482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-модель Сбера воплощает самоуправление как форму контролируемой свободы. Командные решения о продукте и приоритетах принимаются децентрализованно, но остаются согласованными с едиными стандартами, внутренними нормативами и принципами риск-менеджмента. Такая система поддерживает высокую частоту поставки, прозрачную ответственность за результат и соответствие корпоративным требованиям надёжности [16, с. 2–7; 18, с. 4–8; 11, с. 8–10].</w:t>
      </w:r>
    </w:p>
    <w:p w14:paraId="3BACE7A5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Подводя итоги анализа, можно отметить, что в Сбере сложилась целостная система, где кадровая политика, внутренний контроль и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-практики взаимно усиливают друг друга. Вместе они образуют модель «умного самоуправления» — управленческую среду, в которой решения принимаются максимально близко к точке возникновения бизнес-задачи, но в строгих границах регуляторных требований и корпоративных стандартов [11, с. 8–11; 24, с. 6–9].</w:t>
      </w:r>
    </w:p>
    <w:p w14:paraId="733F793C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Кадровый контур формирует основу этой системы: сотрудники проходят отбор с учётом ценностных ориентиров, а оценка и вознаграждение напрямую связаны с показателями эффективности и рисковыми метриками. Контрольные функции и аудит выступают не инструментом наказания, а средством организационного обучения и развития.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-среда делает эти принципы прикладными — команды самостоятельно управляют задачами, сохраняя прозрачность и ответственность за результат. Такая структура поддерживает горизонтальное распределение полномочий и создаёт культуру доверия, где решения опираются на данные, а не на иерархию [17, с. 5–7; 18, с. 6–8].</w:t>
      </w:r>
    </w:p>
    <w:p w14:paraId="651AD9E5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Эта архитектура помогает банку удерживать баланс между гибкостью и надзором. Управление рисками встроено в ежедневные процессы, а кадровая </w:t>
      </w:r>
      <w:r w:rsidRPr="008107BB">
        <w:rPr>
          <w:color w:val="000000"/>
          <w:sz w:val="28"/>
          <w:szCs w:val="28"/>
        </w:rPr>
        <w:lastRenderedPageBreak/>
        <w:t xml:space="preserve">политика и функции контроля формируют систему взаимных ограничений и обратной связи. В результате снижается бюрократическая нагрузка и ускоряются управленческие циклы. По внутренним оценкам, время принятия проектных решений в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-периметре сократилось более чем в шесть раз, а уровень вовлечённости сотрудников стабильно выше среднерыночного [11, с. 9–11; 32, с. 8–10].</w:t>
      </w:r>
    </w:p>
    <w:p w14:paraId="4763A127" w14:textId="1B15E519" w:rsidR="000A12F6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Таким образом, самоуправление в Сбере выступает не альтернативой, а продолжением классической модели корпоративного управления. Формальные органы задают стратегию и осуществляют контроль, а неформальные структуры обеспечивают гибкость, инновационность и быстрое реагирование на изменения среды. В совокупности эти элементы формируют корпоративную экосистему, где автономия команд становится не риском, а источником устойчивости и инноваций, полностью соответствуя международным принципам ISO 37000 и стандартам G20/OECD [30, с. 7–11; 31, с. 9–12].</w:t>
      </w:r>
    </w:p>
    <w:p w14:paraId="230A0F90" w14:textId="3202A7D4" w:rsidR="00F83B03" w:rsidRPr="008107BB" w:rsidRDefault="0055527E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021417">
        <w:rPr>
          <w:b/>
          <w:bCs/>
          <w:color w:val="000000"/>
          <w:sz w:val="28"/>
          <w:szCs w:val="28"/>
        </w:rPr>
        <w:t>2.3. Рекомендации по совершенствованию органов и функций самоуправления в Сбере</w:t>
      </w:r>
    </w:p>
    <w:p w14:paraId="7D42C071" w14:textId="34A95B0C" w:rsidR="008B0677" w:rsidRPr="008107BB" w:rsidRDefault="002C277C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Далее рассмотрим механизм</w:t>
      </w:r>
      <w:r w:rsidR="008B0677" w:rsidRPr="008107BB">
        <w:rPr>
          <w:color w:val="000000"/>
          <w:sz w:val="28"/>
          <w:szCs w:val="28"/>
        </w:rPr>
        <w:t>, который удерживает единые стандарты работы и снижает вариативность между командами. В крупных организациях эту функцию стабильно выполняют «советы практик» — коллегиальные форматы, где совпадают обмен знаниями, ревизия методик и согласование артефактов. Их правомерность опирается на требования прозрачности и ответственности органов корпоративного управления и вшита в контур внутреннего контроля и риск-менеджмента [31, с. 6–9; 30, с. 18–24; 7, с. 2–4]. Для масштаба ПАО «Сбербанк России» такие механизмы работают не как разовые инициативы, а как регулярная инфраструктура качества [11, с. 10–14, 186–190].</w:t>
      </w:r>
    </w:p>
    <w:p w14:paraId="04DDA06C" w14:textId="77777777" w:rsidR="008B0677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На практике совет практик решает три блока задач. Во-первых, устанавливает стандарты требований и качества результата: чек-листы Definition </w:t>
      </w:r>
      <w:proofErr w:type="spellStart"/>
      <w:r w:rsidRPr="008107BB">
        <w:rPr>
          <w:color w:val="000000"/>
          <w:sz w:val="28"/>
          <w:szCs w:val="28"/>
        </w:rPr>
        <w:t>of</w:t>
      </w:r>
      <w:proofErr w:type="spellEnd"/>
      <w:r w:rsidRPr="008107BB">
        <w:rPr>
          <w:color w:val="000000"/>
          <w:sz w:val="28"/>
          <w:szCs w:val="28"/>
        </w:rPr>
        <w:t xml:space="preserve"> Ready/</w:t>
      </w:r>
      <w:proofErr w:type="spellStart"/>
      <w:r w:rsidRPr="008107BB">
        <w:rPr>
          <w:color w:val="000000"/>
          <w:sz w:val="28"/>
          <w:szCs w:val="28"/>
        </w:rPr>
        <w:t>Done</w:t>
      </w:r>
      <w:proofErr w:type="spellEnd"/>
      <w:r w:rsidRPr="008107BB">
        <w:rPr>
          <w:color w:val="000000"/>
          <w:sz w:val="28"/>
          <w:szCs w:val="28"/>
        </w:rPr>
        <w:t xml:space="preserve">, шаблоны, глоссарии. Во-вторых, организует сквозной </w:t>
      </w:r>
      <w:proofErr w:type="spellStart"/>
      <w:r w:rsidRPr="008107BB">
        <w:rPr>
          <w:color w:val="000000"/>
          <w:sz w:val="28"/>
          <w:szCs w:val="28"/>
        </w:rPr>
        <w:t>peer-review</w:t>
      </w:r>
      <w:proofErr w:type="spellEnd"/>
      <w:r w:rsidRPr="008107BB">
        <w:rPr>
          <w:color w:val="000000"/>
          <w:sz w:val="28"/>
          <w:szCs w:val="28"/>
        </w:rPr>
        <w:t xml:space="preserve">, снимая локальные «изобретения велосипеда» и ускоряя тиражирование удачных решений. В-третьих, выстраивает согласование изменений с </w:t>
      </w:r>
      <w:r w:rsidRPr="008107BB">
        <w:rPr>
          <w:color w:val="000000"/>
          <w:sz w:val="28"/>
          <w:szCs w:val="28"/>
        </w:rPr>
        <w:lastRenderedPageBreak/>
        <w:t>профильными комитетами наблюдательного совета по технологиям и рискам, чтобы автономия команд не конфликтовала с консервативными требованиями банковского надзора [26, с. 3–5; 6, с. 1–3; 11, с. 178–190]. Как</w:t>
      </w:r>
      <w:r w:rsidRPr="008107BB">
        <w:rPr>
          <w:color w:val="000000"/>
          <w:sz w:val="28"/>
          <w:szCs w:val="28"/>
          <w:lang w:val="en-US"/>
        </w:rPr>
        <w:t xml:space="preserve"> </w:t>
      </w:r>
      <w:r w:rsidRPr="008107BB">
        <w:rPr>
          <w:color w:val="000000"/>
          <w:sz w:val="28"/>
          <w:szCs w:val="28"/>
        </w:rPr>
        <w:t>подчёркивает</w:t>
      </w:r>
      <w:r w:rsidRPr="008107BB">
        <w:rPr>
          <w:color w:val="000000"/>
          <w:sz w:val="28"/>
          <w:szCs w:val="28"/>
          <w:lang w:val="en-US"/>
        </w:rPr>
        <w:t xml:space="preserve"> ISO 37000, «the governing body sets the strategic outcomes… and engages in strategic planning» [31, </w:t>
      </w:r>
      <w:r w:rsidRPr="008107BB">
        <w:rPr>
          <w:color w:val="000000"/>
          <w:sz w:val="28"/>
          <w:szCs w:val="28"/>
        </w:rPr>
        <w:t>с</w:t>
      </w:r>
      <w:r w:rsidRPr="008107BB">
        <w:rPr>
          <w:color w:val="000000"/>
          <w:sz w:val="28"/>
          <w:szCs w:val="28"/>
          <w:lang w:val="en-US"/>
        </w:rPr>
        <w:t xml:space="preserve">. 7]. </w:t>
      </w:r>
      <w:r w:rsidRPr="008107BB">
        <w:rPr>
          <w:color w:val="000000"/>
          <w:sz w:val="28"/>
          <w:szCs w:val="28"/>
        </w:rPr>
        <w:t>Подробная структура сведена в табл. 2.3.1.</w:t>
      </w:r>
    </w:p>
    <w:p w14:paraId="1216852D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843D5CE" w14:textId="77777777" w:rsidR="00FC5FE2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</w:pPr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Таблица 2.3.1</w:t>
      </w:r>
    </w:p>
    <w:p w14:paraId="455FFBF7" w14:textId="1D6E0226" w:rsidR="008B0677" w:rsidRPr="008107BB" w:rsidRDefault="008B0677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Совет практик: регламент и метрики пилота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860"/>
        <w:gridCol w:w="1738"/>
        <w:gridCol w:w="1435"/>
        <w:gridCol w:w="1404"/>
        <w:gridCol w:w="989"/>
      </w:tblGrid>
      <w:tr w:rsidR="002F64A8" w:rsidRPr="00021417" w14:paraId="4923C542" w14:textId="77777777" w:rsidTr="00FC5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21D6F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Роль</w:t>
            </w:r>
          </w:p>
        </w:tc>
        <w:tc>
          <w:tcPr>
            <w:tcW w:w="0" w:type="auto"/>
            <w:vAlign w:val="center"/>
            <w:hideMark/>
          </w:tcPr>
          <w:p w14:paraId="7F3FD19C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Ответственность</w:t>
            </w:r>
          </w:p>
        </w:tc>
        <w:tc>
          <w:tcPr>
            <w:tcW w:w="0" w:type="auto"/>
            <w:vAlign w:val="center"/>
            <w:hideMark/>
          </w:tcPr>
          <w:p w14:paraId="4E5946E8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52020813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Артефакты</w:t>
            </w:r>
          </w:p>
        </w:tc>
        <w:tc>
          <w:tcPr>
            <w:tcW w:w="0" w:type="auto"/>
            <w:vAlign w:val="center"/>
            <w:hideMark/>
          </w:tcPr>
          <w:p w14:paraId="32FC99EB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KPI</w:t>
            </w:r>
          </w:p>
        </w:tc>
        <w:tc>
          <w:tcPr>
            <w:tcW w:w="0" w:type="auto"/>
            <w:vAlign w:val="center"/>
            <w:hideMark/>
          </w:tcPr>
          <w:p w14:paraId="1FA99E1F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Срок пилота</w:t>
            </w:r>
          </w:p>
        </w:tc>
      </w:tr>
      <w:tr w:rsidR="002F64A8" w:rsidRPr="00021417" w14:paraId="078EEA39" w14:textId="77777777" w:rsidTr="00FC5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3F14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Лидер совета (бизнес/ИТ)</w:t>
            </w:r>
          </w:p>
        </w:tc>
        <w:tc>
          <w:tcPr>
            <w:tcW w:w="0" w:type="auto"/>
            <w:vAlign w:val="center"/>
            <w:hideMark/>
          </w:tcPr>
          <w:p w14:paraId="20A7D4C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Повестка, приоритизация, модерация решений</w:t>
            </w:r>
          </w:p>
        </w:tc>
        <w:tc>
          <w:tcPr>
            <w:tcW w:w="0" w:type="auto"/>
            <w:vAlign w:val="center"/>
            <w:hideMark/>
          </w:tcPr>
          <w:p w14:paraId="6199DEEE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Ежемесячно</w:t>
            </w:r>
          </w:p>
        </w:tc>
        <w:tc>
          <w:tcPr>
            <w:tcW w:w="0" w:type="auto"/>
            <w:vAlign w:val="center"/>
            <w:hideMark/>
          </w:tcPr>
          <w:p w14:paraId="670A4319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План работ, протокол</w:t>
            </w:r>
          </w:p>
        </w:tc>
        <w:tc>
          <w:tcPr>
            <w:tcW w:w="0" w:type="auto"/>
            <w:vAlign w:val="center"/>
            <w:hideMark/>
          </w:tcPr>
          <w:p w14:paraId="0FBD12D7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Доля закрытых пунктов, соблюдение сроков</w:t>
            </w:r>
          </w:p>
        </w:tc>
        <w:tc>
          <w:tcPr>
            <w:tcW w:w="0" w:type="auto"/>
            <w:vAlign w:val="center"/>
            <w:hideMark/>
          </w:tcPr>
          <w:p w14:paraId="63888623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6 месяцев</w:t>
            </w:r>
          </w:p>
        </w:tc>
      </w:tr>
      <w:tr w:rsidR="002F64A8" w:rsidRPr="00021417" w14:paraId="0C5B1A37" w14:textId="77777777" w:rsidTr="00FC5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49B4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Куратор от комитета НС</w:t>
            </w:r>
          </w:p>
        </w:tc>
        <w:tc>
          <w:tcPr>
            <w:tcW w:w="0" w:type="auto"/>
            <w:vAlign w:val="center"/>
            <w:hideMark/>
          </w:tcPr>
          <w:p w14:paraId="22642C53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Соответствие решениям НС/комитетов, эскалация</w:t>
            </w:r>
          </w:p>
        </w:tc>
        <w:tc>
          <w:tcPr>
            <w:tcW w:w="0" w:type="auto"/>
            <w:vAlign w:val="center"/>
            <w:hideMark/>
          </w:tcPr>
          <w:p w14:paraId="78052CE3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Ежеквартально</w:t>
            </w:r>
          </w:p>
        </w:tc>
        <w:tc>
          <w:tcPr>
            <w:tcW w:w="0" w:type="auto"/>
            <w:vAlign w:val="center"/>
            <w:hideMark/>
          </w:tcPr>
          <w:p w14:paraId="7997FE44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Резюме для комитета</w:t>
            </w:r>
          </w:p>
        </w:tc>
        <w:tc>
          <w:tcPr>
            <w:tcW w:w="0" w:type="auto"/>
            <w:vAlign w:val="center"/>
            <w:hideMark/>
          </w:tcPr>
          <w:p w14:paraId="57027601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Доля вопросов на комитет, качество обоснований</w:t>
            </w:r>
          </w:p>
        </w:tc>
        <w:tc>
          <w:tcPr>
            <w:tcW w:w="0" w:type="auto"/>
            <w:vAlign w:val="center"/>
            <w:hideMark/>
          </w:tcPr>
          <w:p w14:paraId="1475F595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6 месяцев</w:t>
            </w:r>
          </w:p>
        </w:tc>
      </w:tr>
      <w:tr w:rsidR="002F64A8" w:rsidRPr="00021417" w14:paraId="003FC442" w14:textId="77777777" w:rsidTr="00FC5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7597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Секретарь/методолог</w:t>
            </w:r>
          </w:p>
        </w:tc>
        <w:tc>
          <w:tcPr>
            <w:tcW w:w="0" w:type="auto"/>
            <w:vAlign w:val="center"/>
            <w:hideMark/>
          </w:tcPr>
          <w:p w14:paraId="6BF0F1E0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 xml:space="preserve">Реестр практик, стандарты </w:t>
            </w:r>
            <w:proofErr w:type="spellStart"/>
            <w:r w:rsidRPr="00021417">
              <w:t>DoR</w:t>
            </w:r>
            <w:proofErr w:type="spellEnd"/>
            <w:r w:rsidRPr="00021417">
              <w:t>/</w:t>
            </w:r>
            <w:proofErr w:type="spellStart"/>
            <w:r w:rsidRPr="00021417">
              <w:t>DoD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C1E48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55A26607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Реестр, шаблоны, чек-листы</w:t>
            </w:r>
          </w:p>
        </w:tc>
        <w:tc>
          <w:tcPr>
            <w:tcW w:w="0" w:type="auto"/>
            <w:vAlign w:val="center"/>
            <w:hideMark/>
          </w:tcPr>
          <w:p w14:paraId="52310B6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Повторное использование шаблонов, полнота артефактов</w:t>
            </w:r>
          </w:p>
        </w:tc>
        <w:tc>
          <w:tcPr>
            <w:tcW w:w="0" w:type="auto"/>
            <w:vAlign w:val="center"/>
            <w:hideMark/>
          </w:tcPr>
          <w:p w14:paraId="3E8E9D92" w14:textId="77777777" w:rsidR="008B0677" w:rsidRPr="00021417" w:rsidRDefault="008B0677" w:rsidP="008107BB">
            <w:pPr>
              <w:spacing w:line="360" w:lineRule="auto"/>
              <w:ind w:firstLine="709"/>
              <w:jc w:val="both"/>
            </w:pPr>
            <w:r w:rsidRPr="00021417">
              <w:t>6 месяцев</w:t>
            </w:r>
          </w:p>
        </w:tc>
      </w:tr>
    </w:tbl>
    <w:p w14:paraId="554180B3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161"/>
        <w:gridCol w:w="1372"/>
        <w:gridCol w:w="1665"/>
        <w:gridCol w:w="1430"/>
        <w:gridCol w:w="986"/>
      </w:tblGrid>
      <w:tr w:rsidR="00021417" w:rsidRPr="00021417" w14:paraId="40B29771" w14:textId="77777777" w:rsidTr="00021417">
        <w:trPr>
          <w:tblHeader/>
          <w:tblCellSpacing w:w="15" w:type="dxa"/>
        </w:trPr>
        <w:tc>
          <w:tcPr>
            <w:tcW w:w="1969" w:type="dxa"/>
            <w:vAlign w:val="center"/>
            <w:hideMark/>
          </w:tcPr>
          <w:p w14:paraId="51887644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lastRenderedPageBreak/>
              <w:t>Роль</w:t>
            </w:r>
          </w:p>
        </w:tc>
        <w:tc>
          <w:tcPr>
            <w:tcW w:w="2131" w:type="dxa"/>
            <w:vAlign w:val="center"/>
            <w:hideMark/>
          </w:tcPr>
          <w:p w14:paraId="7B2DEA56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Ответственность</w:t>
            </w:r>
          </w:p>
        </w:tc>
        <w:tc>
          <w:tcPr>
            <w:tcW w:w="1342" w:type="dxa"/>
            <w:vAlign w:val="center"/>
            <w:hideMark/>
          </w:tcPr>
          <w:p w14:paraId="2B83EB11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Частота</w:t>
            </w:r>
          </w:p>
        </w:tc>
        <w:tc>
          <w:tcPr>
            <w:tcW w:w="1635" w:type="dxa"/>
            <w:vAlign w:val="center"/>
            <w:hideMark/>
          </w:tcPr>
          <w:p w14:paraId="7EDDAE62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Артефакты</w:t>
            </w:r>
          </w:p>
        </w:tc>
        <w:tc>
          <w:tcPr>
            <w:tcW w:w="1400" w:type="dxa"/>
            <w:vAlign w:val="center"/>
            <w:hideMark/>
          </w:tcPr>
          <w:p w14:paraId="1977E32F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KPI</w:t>
            </w:r>
          </w:p>
        </w:tc>
        <w:tc>
          <w:tcPr>
            <w:tcW w:w="941" w:type="dxa"/>
            <w:vAlign w:val="center"/>
            <w:hideMark/>
          </w:tcPr>
          <w:p w14:paraId="27534609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Срок пилота</w:t>
            </w:r>
          </w:p>
        </w:tc>
      </w:tr>
      <w:tr w:rsidR="00021417" w:rsidRPr="00021417" w14:paraId="0F282D33" w14:textId="77777777" w:rsidTr="00021417">
        <w:trPr>
          <w:tblCellSpacing w:w="15" w:type="dxa"/>
        </w:trPr>
        <w:tc>
          <w:tcPr>
            <w:tcW w:w="1969" w:type="dxa"/>
            <w:vAlign w:val="center"/>
            <w:hideMark/>
          </w:tcPr>
          <w:p w14:paraId="4CF32E84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 xml:space="preserve">Представители </w:t>
            </w:r>
            <w:proofErr w:type="spellStart"/>
            <w:r w:rsidRPr="00021417">
              <w:t>трайбов</w:t>
            </w:r>
            <w:proofErr w:type="spellEnd"/>
            <w:r w:rsidRPr="00021417">
              <w:t>/функций</w:t>
            </w:r>
          </w:p>
        </w:tc>
        <w:tc>
          <w:tcPr>
            <w:tcW w:w="2131" w:type="dxa"/>
            <w:vAlign w:val="center"/>
            <w:hideMark/>
          </w:tcPr>
          <w:p w14:paraId="284C4F7A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Экспертные ревью, обмен кейсами</w:t>
            </w:r>
          </w:p>
        </w:tc>
        <w:tc>
          <w:tcPr>
            <w:tcW w:w="1342" w:type="dxa"/>
            <w:vAlign w:val="center"/>
            <w:hideMark/>
          </w:tcPr>
          <w:p w14:paraId="1291C6C7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По релиз-календарю</w:t>
            </w:r>
          </w:p>
        </w:tc>
        <w:tc>
          <w:tcPr>
            <w:tcW w:w="1635" w:type="dxa"/>
            <w:vAlign w:val="center"/>
            <w:hideMark/>
          </w:tcPr>
          <w:p w14:paraId="7D837065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Календарь ревью, отчёты</w:t>
            </w:r>
          </w:p>
        </w:tc>
        <w:tc>
          <w:tcPr>
            <w:tcW w:w="1400" w:type="dxa"/>
            <w:vAlign w:val="center"/>
            <w:hideMark/>
          </w:tcPr>
          <w:p w14:paraId="367BC40F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proofErr w:type="spellStart"/>
            <w:r w:rsidRPr="00021417">
              <w:t>Lead</w:t>
            </w:r>
            <w:proofErr w:type="spellEnd"/>
            <w:r w:rsidRPr="00021417">
              <w:t xml:space="preserve"> </w:t>
            </w:r>
            <w:proofErr w:type="spellStart"/>
            <w:r w:rsidRPr="00021417">
              <w:t>time</w:t>
            </w:r>
            <w:proofErr w:type="spellEnd"/>
            <w:r w:rsidRPr="00021417">
              <w:t xml:space="preserve"> изменений, частота релизов</w:t>
            </w:r>
          </w:p>
        </w:tc>
        <w:tc>
          <w:tcPr>
            <w:tcW w:w="941" w:type="dxa"/>
            <w:vAlign w:val="center"/>
            <w:hideMark/>
          </w:tcPr>
          <w:p w14:paraId="451D468B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6 месяцев</w:t>
            </w:r>
          </w:p>
        </w:tc>
      </w:tr>
      <w:tr w:rsidR="00021417" w:rsidRPr="00021417" w14:paraId="62C00628" w14:textId="77777777" w:rsidTr="00021417">
        <w:trPr>
          <w:tblCellSpacing w:w="15" w:type="dxa"/>
        </w:trPr>
        <w:tc>
          <w:tcPr>
            <w:tcW w:w="1969" w:type="dxa"/>
            <w:vAlign w:val="center"/>
            <w:hideMark/>
          </w:tcPr>
          <w:p w14:paraId="135AA3D2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Риск-офицер/комплаенс</w:t>
            </w:r>
          </w:p>
        </w:tc>
        <w:tc>
          <w:tcPr>
            <w:tcW w:w="2131" w:type="dxa"/>
            <w:vAlign w:val="center"/>
            <w:hideMark/>
          </w:tcPr>
          <w:p w14:paraId="174B5BCD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Проверка на риски и контроль</w:t>
            </w:r>
          </w:p>
        </w:tc>
        <w:tc>
          <w:tcPr>
            <w:tcW w:w="1342" w:type="dxa"/>
            <w:vAlign w:val="center"/>
            <w:hideMark/>
          </w:tcPr>
          <w:p w14:paraId="410D76E7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По изменениям</w:t>
            </w:r>
          </w:p>
        </w:tc>
        <w:tc>
          <w:tcPr>
            <w:tcW w:w="1635" w:type="dxa"/>
            <w:vAlign w:val="center"/>
            <w:hideMark/>
          </w:tcPr>
          <w:p w14:paraId="3C9754EF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Матрица рисков</w:t>
            </w:r>
          </w:p>
        </w:tc>
        <w:tc>
          <w:tcPr>
            <w:tcW w:w="1400" w:type="dxa"/>
            <w:vAlign w:val="center"/>
            <w:hideMark/>
          </w:tcPr>
          <w:p w14:paraId="14A22693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 xml:space="preserve">Доля инцидентов </w:t>
            </w:r>
            <w:proofErr w:type="spellStart"/>
            <w:r w:rsidRPr="00021417">
              <w:t>post-release</w:t>
            </w:r>
            <w:proofErr w:type="spellEnd"/>
            <w:r w:rsidRPr="00021417">
              <w:t>, выполненные контрмеры</w:t>
            </w:r>
          </w:p>
        </w:tc>
        <w:tc>
          <w:tcPr>
            <w:tcW w:w="941" w:type="dxa"/>
            <w:vAlign w:val="center"/>
            <w:hideMark/>
          </w:tcPr>
          <w:p w14:paraId="2BAE8F66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6 месяцев</w:t>
            </w:r>
          </w:p>
        </w:tc>
      </w:tr>
    </w:tbl>
    <w:p w14:paraId="00C06BEF" w14:textId="7F17F5E6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107BB">
        <w:rPr>
          <w:sz w:val="28"/>
          <w:szCs w:val="28"/>
        </w:rPr>
        <w:t>Источник: составлено автором по [26; 11; 31; 30].</w:t>
      </w:r>
    </w:p>
    <w:p w14:paraId="2C23BE79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86E09FE" w14:textId="70F96EFC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Представленная конфигурация задаёт «линию видимости» от стандарта до управленческого решения. Пакет метрик подобран </w:t>
      </w:r>
      <w:proofErr w:type="spellStart"/>
      <w:r w:rsidRPr="008107BB">
        <w:rPr>
          <w:color w:val="000000"/>
          <w:sz w:val="28"/>
          <w:szCs w:val="28"/>
        </w:rPr>
        <w:t>операционно</w:t>
      </w:r>
      <w:proofErr w:type="spellEnd"/>
      <w:r w:rsidRPr="008107BB">
        <w:rPr>
          <w:color w:val="000000"/>
          <w:sz w:val="28"/>
          <w:szCs w:val="28"/>
        </w:rPr>
        <w:t xml:space="preserve">: </w:t>
      </w:r>
      <w:proofErr w:type="spellStart"/>
      <w:r w:rsidRPr="008107BB">
        <w:rPr>
          <w:color w:val="000000"/>
          <w:sz w:val="28"/>
          <w:szCs w:val="28"/>
        </w:rPr>
        <w:t>lead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time</w:t>
      </w:r>
      <w:proofErr w:type="spellEnd"/>
      <w:r w:rsidRPr="008107BB">
        <w:rPr>
          <w:color w:val="000000"/>
          <w:sz w:val="28"/>
          <w:szCs w:val="28"/>
        </w:rPr>
        <w:t>, частота релизов и повторное использование артефактов — про скорость и масштабируемость; доля инцидентов и выполнение контрмер — про зрелость контроля качества и рисков. Куратор от комитета НС фиксирует институциональную связку с корпоративным уровнем, снижая риск расхождений между автономией команд и регуляторными требованиями [30, с. 25–32; 7, с. 3–4].</w:t>
      </w:r>
    </w:p>
    <w:p w14:paraId="20821231" w14:textId="77777777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прикладном плане для Сбера приоритетом пилота станет нормализация массовых практик (аналитика требований, тест-дизайн, релиз-менеджмент). На горизонте шести месяцев ожидается снижение медианного времени изменений и рост доли повторного использования шаблонов, что критично при текущем масштабе продуктовой линейки и клиентской базы [11, с. 12–14; 32, с. 3–6]. Такой формат встроен в действующую архитектуру корпоративного управления и усиливает её без создания параллельной «суперструктуры» [26, с. 3–8; 6, с. 1–2].</w:t>
      </w:r>
    </w:p>
    <w:p w14:paraId="2B53C4A1" w14:textId="30C5D6A0" w:rsidR="008B0677" w:rsidRPr="008107BB" w:rsidRDefault="008B067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Короткий вывод. Совет практик — устойчивый элемент самоорганизации, связанный с комитетами наблюдательного совета и контуром внутреннего контроля. Он повышает предсказуемость качества и скорость изменений при соблюдении принятых в современных стандартах требований прозрачности и отчётности [31, с. 6–9; 30, с. 18–24].</w:t>
      </w:r>
    </w:p>
    <w:p w14:paraId="7C97AAD8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Следующим элементом системы самоуправления, усиливающим вовлечённость сотрудников в управленческие процессы, выступает формат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внутренних общественных слушаний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— так называемый «форум решений». В ПАО «Сбербанк России» он применяется как площадка для открытого обсуждения инициатив, затрагивающих процессы, стандарты и организационные изменения. По сути, это форма внутреннего диалога, в которой соединяются управленческая подотчётность и принцип участия заинтересованных сторон, закреплённые в ISO 37000 и обновлённых принципах G20/OECD [31, с. 10–12; 30, с. 14–20].</w:t>
      </w:r>
    </w:p>
    <w:p w14:paraId="61821355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Международная практика подчёркивает: органы корпоративного управления обязаны выстраивать устойчивые механизмы взаимодействия со стейкхолдерами и обеспечивать прозрачность процедур контроля [29, с. 7–9]. В России эти подходы поддерживаются рекомендациями Банка России — акционерные общества обязаны раскрывать данные о соблюдении Кодекса корпоративного управления и предоставлять каналы обратной связи с акционерами и сотрудниками [4; 5]. Поэтому формат слушаний органично вписывается в внутреннюю систему управления: он не заменяет функции Наблюдательного совета, но создаёт дополнительный горизонт участия персонала в принятии решений.</w:t>
      </w:r>
    </w:p>
    <w:p w14:paraId="562C8F40" w14:textId="77777777" w:rsidR="00072D74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Форум решений в Сбере строится как последовательный цикл — от публикации повестки до утверждения итогов и обратной связи. Основные этапы, документы и метрики эффективности сведены в таблицу 2.3.2.</w:t>
      </w:r>
    </w:p>
    <w:p w14:paraId="6B1AAB5A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4C458B4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5A59CD1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6291C36" w14:textId="77777777" w:rsidR="00FC5FE2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</w:pPr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lastRenderedPageBreak/>
        <w:t>Таблица 2.3.2</w:t>
      </w:r>
    </w:p>
    <w:p w14:paraId="06806F42" w14:textId="792C8B56" w:rsidR="00072D74" w:rsidRPr="008107BB" w:rsidRDefault="00072D74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Форум решений: формат и прозрачность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078"/>
        <w:gridCol w:w="1664"/>
        <w:gridCol w:w="2331"/>
        <w:gridCol w:w="1764"/>
      </w:tblGrid>
      <w:tr w:rsidR="00021417" w:rsidRPr="00021417" w14:paraId="16B65582" w14:textId="77777777" w:rsidTr="0025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8E4C3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Этап</w:t>
            </w:r>
          </w:p>
        </w:tc>
        <w:tc>
          <w:tcPr>
            <w:tcW w:w="0" w:type="auto"/>
            <w:vAlign w:val="center"/>
            <w:hideMark/>
          </w:tcPr>
          <w:p w14:paraId="09ACBFA5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340D643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Документы</w:t>
            </w:r>
          </w:p>
        </w:tc>
        <w:tc>
          <w:tcPr>
            <w:tcW w:w="0" w:type="auto"/>
            <w:vAlign w:val="center"/>
            <w:hideMark/>
          </w:tcPr>
          <w:p w14:paraId="2968A075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Порог / кворум</w:t>
            </w:r>
          </w:p>
        </w:tc>
        <w:tc>
          <w:tcPr>
            <w:tcW w:w="0" w:type="auto"/>
            <w:vAlign w:val="center"/>
            <w:hideMark/>
          </w:tcPr>
          <w:p w14:paraId="2DE0735C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Метрика</w:t>
            </w:r>
          </w:p>
        </w:tc>
      </w:tr>
      <w:tr w:rsidR="00021417" w:rsidRPr="00021417" w14:paraId="0554EE02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21D5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Подготовка</w:t>
            </w:r>
          </w:p>
        </w:tc>
        <w:tc>
          <w:tcPr>
            <w:tcW w:w="0" w:type="auto"/>
            <w:vAlign w:val="center"/>
            <w:hideMark/>
          </w:tcPr>
          <w:p w14:paraId="1C4DDEC5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Формирование повестки, уведомление участников</w:t>
            </w:r>
          </w:p>
        </w:tc>
        <w:tc>
          <w:tcPr>
            <w:tcW w:w="0" w:type="auto"/>
            <w:vAlign w:val="center"/>
            <w:hideMark/>
          </w:tcPr>
          <w:p w14:paraId="7267DEBD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Повестка, разъяснительные материалы</w:t>
            </w:r>
          </w:p>
        </w:tc>
        <w:tc>
          <w:tcPr>
            <w:tcW w:w="0" w:type="auto"/>
            <w:vAlign w:val="center"/>
            <w:hideMark/>
          </w:tcPr>
          <w:p w14:paraId="15D8FB30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Кворум ≥ 10 % целевой аудитории</w:t>
            </w:r>
          </w:p>
        </w:tc>
        <w:tc>
          <w:tcPr>
            <w:tcW w:w="0" w:type="auto"/>
            <w:vAlign w:val="center"/>
            <w:hideMark/>
          </w:tcPr>
          <w:p w14:paraId="402923F3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Доля ознакомившихся с материалами</w:t>
            </w:r>
          </w:p>
        </w:tc>
      </w:tr>
      <w:tr w:rsidR="00021417" w:rsidRPr="00021417" w14:paraId="788E9324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7634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Обсуждение</w:t>
            </w:r>
          </w:p>
        </w:tc>
        <w:tc>
          <w:tcPr>
            <w:tcW w:w="0" w:type="auto"/>
            <w:vAlign w:val="center"/>
            <w:hideMark/>
          </w:tcPr>
          <w:p w14:paraId="52327A90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Онлайн- или офлайн-дебаты по ключевым вопросам</w:t>
            </w:r>
          </w:p>
        </w:tc>
        <w:tc>
          <w:tcPr>
            <w:tcW w:w="0" w:type="auto"/>
            <w:vAlign w:val="center"/>
            <w:hideMark/>
          </w:tcPr>
          <w:p w14:paraId="7594BFB3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Протокол заседания, стенограмма</w:t>
            </w:r>
          </w:p>
        </w:tc>
        <w:tc>
          <w:tcPr>
            <w:tcW w:w="0" w:type="auto"/>
            <w:vAlign w:val="center"/>
            <w:hideMark/>
          </w:tcPr>
          <w:p w14:paraId="668B2A9D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Представительство не менее трёх уровней</w:t>
            </w:r>
          </w:p>
        </w:tc>
        <w:tc>
          <w:tcPr>
            <w:tcW w:w="0" w:type="auto"/>
            <w:vAlign w:val="center"/>
            <w:hideMark/>
          </w:tcPr>
          <w:p w14:paraId="03EEBB28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Средняя длительность обсуждения</w:t>
            </w:r>
          </w:p>
        </w:tc>
      </w:tr>
      <w:tr w:rsidR="00021417" w:rsidRPr="00021417" w14:paraId="273E5C3D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D354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Голосование</w:t>
            </w:r>
          </w:p>
        </w:tc>
        <w:tc>
          <w:tcPr>
            <w:tcW w:w="0" w:type="auto"/>
            <w:vAlign w:val="center"/>
            <w:hideMark/>
          </w:tcPr>
          <w:p w14:paraId="444AEBBF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Электронное или очное голосование по решениям</w:t>
            </w:r>
          </w:p>
        </w:tc>
        <w:tc>
          <w:tcPr>
            <w:tcW w:w="0" w:type="auto"/>
            <w:vAlign w:val="center"/>
            <w:hideMark/>
          </w:tcPr>
          <w:p w14:paraId="0942DB00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Реестр предложений, бюллетени</w:t>
            </w:r>
          </w:p>
        </w:tc>
        <w:tc>
          <w:tcPr>
            <w:tcW w:w="0" w:type="auto"/>
            <w:vAlign w:val="center"/>
            <w:hideMark/>
          </w:tcPr>
          <w:p w14:paraId="64D855F5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Активность ≥ 15 % голосов</w:t>
            </w:r>
          </w:p>
        </w:tc>
        <w:tc>
          <w:tcPr>
            <w:tcW w:w="0" w:type="auto"/>
            <w:vAlign w:val="center"/>
            <w:hideMark/>
          </w:tcPr>
          <w:p w14:paraId="5A66725E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Доля поддержанных инициатив</w:t>
            </w:r>
          </w:p>
        </w:tc>
      </w:tr>
      <w:tr w:rsidR="00021417" w:rsidRPr="00021417" w14:paraId="72E6E695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4CB4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Анализ предложений</w:t>
            </w:r>
          </w:p>
        </w:tc>
        <w:tc>
          <w:tcPr>
            <w:tcW w:w="0" w:type="auto"/>
            <w:vAlign w:val="center"/>
            <w:hideMark/>
          </w:tcPr>
          <w:p w14:paraId="2F3C663D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Систематизация и оценка внедрения</w:t>
            </w:r>
          </w:p>
        </w:tc>
        <w:tc>
          <w:tcPr>
            <w:tcW w:w="0" w:type="auto"/>
            <w:vAlign w:val="center"/>
            <w:hideMark/>
          </w:tcPr>
          <w:p w14:paraId="3B2B0BA0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Сводный отчёт, протокол решений</w:t>
            </w:r>
          </w:p>
        </w:tc>
        <w:tc>
          <w:tcPr>
            <w:tcW w:w="0" w:type="auto"/>
            <w:vAlign w:val="center"/>
            <w:hideMark/>
          </w:tcPr>
          <w:p w14:paraId="7D69CE51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Не требуется</w:t>
            </w:r>
          </w:p>
        </w:tc>
        <w:tc>
          <w:tcPr>
            <w:tcW w:w="0" w:type="auto"/>
            <w:vAlign w:val="center"/>
            <w:hideMark/>
          </w:tcPr>
          <w:p w14:paraId="5F1CE76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Процент инициатив, реализованных на практике</w:t>
            </w:r>
          </w:p>
        </w:tc>
      </w:tr>
      <w:tr w:rsidR="00021417" w:rsidRPr="00021417" w14:paraId="71F8324C" w14:textId="77777777" w:rsidTr="00255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E5D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Отчётность</w:t>
            </w:r>
          </w:p>
        </w:tc>
        <w:tc>
          <w:tcPr>
            <w:tcW w:w="0" w:type="auto"/>
            <w:vAlign w:val="center"/>
            <w:hideMark/>
          </w:tcPr>
          <w:p w14:paraId="7F06C278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Публикация итогов и комментариев руководства</w:t>
            </w:r>
          </w:p>
        </w:tc>
        <w:tc>
          <w:tcPr>
            <w:tcW w:w="0" w:type="auto"/>
            <w:vAlign w:val="center"/>
            <w:hideMark/>
          </w:tcPr>
          <w:p w14:paraId="415F7379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Отчёт о слушаниях, публичный ответ</w:t>
            </w:r>
          </w:p>
        </w:tc>
        <w:tc>
          <w:tcPr>
            <w:tcW w:w="0" w:type="auto"/>
            <w:vAlign w:val="center"/>
            <w:hideMark/>
          </w:tcPr>
          <w:p w14:paraId="05DDC8CB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Не требуется</w:t>
            </w:r>
          </w:p>
        </w:tc>
        <w:tc>
          <w:tcPr>
            <w:tcW w:w="0" w:type="auto"/>
            <w:vAlign w:val="center"/>
            <w:hideMark/>
          </w:tcPr>
          <w:p w14:paraId="286CD370" w14:textId="77777777" w:rsidR="00072D74" w:rsidRPr="00021417" w:rsidRDefault="00072D74" w:rsidP="008107BB">
            <w:pPr>
              <w:spacing w:line="360" w:lineRule="auto"/>
              <w:ind w:firstLine="709"/>
              <w:jc w:val="both"/>
            </w:pPr>
            <w:r w:rsidRPr="00021417">
              <w:t>Уровень удовлетворённости участников (</w:t>
            </w:r>
            <w:proofErr w:type="spellStart"/>
            <w:r w:rsidRPr="00021417">
              <w:t>Likert</w:t>
            </w:r>
            <w:proofErr w:type="spellEnd"/>
            <w:r w:rsidRPr="00021417">
              <w:t>)</w:t>
            </w:r>
          </w:p>
        </w:tc>
      </w:tr>
    </w:tbl>
    <w:p w14:paraId="41D95611" w14:textId="77777777" w:rsidR="00021417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[11; 26; 30; 31].</w:t>
      </w:r>
    </w:p>
    <w:p w14:paraId="59AE79CE" w14:textId="4C10F6D0" w:rsidR="00072D74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Примечание: кворум и метрики устанавливаются в долях от численности целевой аудитории подразделения; отчётность ведётся на квартальной основе.</w:t>
      </w:r>
    </w:p>
    <w:p w14:paraId="07CA0336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583B8C4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Введение форума решений заметно повышает прозрачность коммуникаций и снижает нагрузку на формальные каналы обратной связи — опросы, отчётные сессии и внутренние чаты. По данным пилотных подразделений Сбера, средний кворум обсуждений превышает 15 %, а до 40 % </w:t>
      </w:r>
      <w:r w:rsidRPr="008107BB">
        <w:rPr>
          <w:color w:val="000000"/>
          <w:sz w:val="28"/>
          <w:szCs w:val="28"/>
        </w:rPr>
        <w:lastRenderedPageBreak/>
        <w:t>инициатив доходят до этапа реализации [11, с. 161–190]. Чтобы избежать дублирования с исполнительными органами, повестка предварительно фильтруется, дискуссии модерируются, а результаты согласуются с комитетами Наблюдательного совета по технологиям и рискам [26, с. 3–8; 6, с. 1–3].</w:t>
      </w:r>
    </w:p>
    <w:p w14:paraId="79540460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прикладном измерении форум решений в Сбере служит каналом раннего обнаружения системных проблем и снижает риск организационной инерции. Для банка с </w:t>
      </w:r>
      <w:proofErr w:type="spellStart"/>
      <w:r w:rsidRPr="008107BB">
        <w:rPr>
          <w:color w:val="000000"/>
          <w:sz w:val="28"/>
          <w:szCs w:val="28"/>
        </w:rPr>
        <w:t>многосоттысячным</w:t>
      </w:r>
      <w:proofErr w:type="spellEnd"/>
      <w:r w:rsidRPr="008107BB">
        <w:rPr>
          <w:color w:val="000000"/>
          <w:sz w:val="28"/>
          <w:szCs w:val="28"/>
        </w:rPr>
        <w:t xml:space="preserve"> штатом и разветвлённой цифровой экосистемой он становится частью институционального самообучения, укрепляя доверие и культуру сотрудничества [32, с. 4–6].</w:t>
      </w:r>
    </w:p>
    <w:p w14:paraId="2738DA87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 результате внедрения данный механизм повышает прозрачность управленческих инициатив и рост удовлетворённости персонала вовлечённостью в принятие решений. Он гармонично дополняет формальные органы корпоративного управления и укрепляет ориентацию Сбера на принципы подотчётности, устойчивости и партнёрского взаимодействия [31, с. 10–12; 30, с. 14–20; 11, с. 161–190].</w:t>
      </w:r>
    </w:p>
    <w:p w14:paraId="679F8FF2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Завершая анализ прикладных форм самоуправления, особое значение приобретает механизм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партисипативного</w:t>
      </w:r>
      <w:proofErr w:type="spellEnd"/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бюджетирования</w:t>
      </w:r>
      <w:r w:rsidRPr="008107BB">
        <w:rPr>
          <w:color w:val="000000"/>
          <w:sz w:val="28"/>
          <w:szCs w:val="28"/>
        </w:rPr>
        <w:t>, который постепенно внедряется в подразделениях ПАО «Сбербанк России». Его суть заключается в том, что часть операционного бюджета направляется на инициативы, выдвинутые сотрудниками, — локальные улучшения процессов, среды труда и клиентского взаимодействия. Такой подход укрепляет горизонтальную ответственность и формирует у команд финансовое мышление. В международных стандартах управления (G20/OECD и ISO 37000) подобные практики рассматриваются как элементы «</w:t>
      </w:r>
      <w:proofErr w:type="spellStart"/>
      <w:r w:rsidRPr="008107BB">
        <w:rPr>
          <w:color w:val="000000"/>
          <w:sz w:val="28"/>
          <w:szCs w:val="28"/>
        </w:rPr>
        <w:t>value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generation</w:t>
      </w:r>
      <w:proofErr w:type="spellEnd"/>
      <w:r w:rsidRPr="008107BB">
        <w:rPr>
          <w:color w:val="000000"/>
          <w:sz w:val="28"/>
          <w:szCs w:val="28"/>
        </w:rPr>
        <w:t>» и «</w:t>
      </w:r>
      <w:proofErr w:type="spellStart"/>
      <w:r w:rsidRPr="008107BB">
        <w:rPr>
          <w:color w:val="000000"/>
          <w:sz w:val="28"/>
          <w:szCs w:val="28"/>
        </w:rPr>
        <w:t>oversight</w:t>
      </w:r>
      <w:proofErr w:type="spellEnd"/>
      <w:r w:rsidRPr="008107BB">
        <w:rPr>
          <w:color w:val="000000"/>
          <w:sz w:val="28"/>
          <w:szCs w:val="28"/>
        </w:rPr>
        <w:t>», обеспечивающие вовлечение персонала в создание организационной ценности при сохранении управленского баланса [30, с. 18–32; 31, с. 12–15].</w:t>
      </w:r>
    </w:p>
    <w:p w14:paraId="6F623398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Регуляторная база банковской сферы требует строгого контроля за операционными рисками, что делает установление лимитов и процедур внутреннего контроля обязательным. Согласно Положениям Банка России № 242-П и № 716-П, система управления рисками должна охватывать «все </w:t>
      </w:r>
      <w:r w:rsidRPr="008107BB">
        <w:rPr>
          <w:color w:val="000000"/>
          <w:sz w:val="28"/>
          <w:szCs w:val="28"/>
        </w:rPr>
        <w:lastRenderedPageBreak/>
        <w:t xml:space="preserve">процессы, включая процессы принятия управленческих решений» [7, с. 2–4]. Это создаёт нормативную основу для </w:t>
      </w:r>
      <w:proofErr w:type="spellStart"/>
      <w:r w:rsidRPr="008107BB">
        <w:rPr>
          <w:color w:val="000000"/>
          <w:sz w:val="28"/>
          <w:szCs w:val="28"/>
        </w:rPr>
        <w:t>партисипативных</w:t>
      </w:r>
      <w:proofErr w:type="spellEnd"/>
      <w:r w:rsidRPr="008107BB">
        <w:rPr>
          <w:color w:val="000000"/>
          <w:sz w:val="28"/>
          <w:szCs w:val="28"/>
        </w:rPr>
        <w:t xml:space="preserve"> бюджетов как инструмента мотивации, сочетающего инициативность сотрудников с финансовой дисциплиной.</w:t>
      </w:r>
    </w:p>
    <w:p w14:paraId="256231A7" w14:textId="02A10B92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Финансовые результаты Сбера обеспечивают устойчивую базу для таких программ. В 2024 году банк получил 1,58 трлн ₽ чистой прибыли, рентабельность капитала (ROE) составила 24 %, а отношение затрат к доходам (CIR) — 30,3 % [</w:t>
      </w:r>
      <w:r w:rsidR="002C277C" w:rsidRPr="008107BB">
        <w:rPr>
          <w:color w:val="000000"/>
          <w:sz w:val="28"/>
          <w:szCs w:val="28"/>
        </w:rPr>
        <w:t>24</w:t>
      </w:r>
      <w:r w:rsidRPr="008107BB">
        <w:rPr>
          <w:color w:val="000000"/>
          <w:sz w:val="28"/>
          <w:szCs w:val="28"/>
        </w:rPr>
        <w:t>]. Эти показатели позволяют безопасно выделять до 0,7 % операционного бюджета подразделений на инициативы сотрудников. Ключевые параметры механизма представлены в таблице 2.3.3.</w:t>
      </w:r>
    </w:p>
    <w:p w14:paraId="0657271C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8FCC9A7" w14:textId="77777777" w:rsidR="00FC5FE2" w:rsidRPr="008107BB" w:rsidRDefault="00293C89" w:rsidP="00021417">
      <w:pPr>
        <w:pStyle w:val="ac"/>
        <w:spacing w:before="0" w:beforeAutospacing="0" w:after="0" w:afterAutospacing="0" w:line="360" w:lineRule="auto"/>
        <w:ind w:firstLine="709"/>
        <w:jc w:val="right"/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</w:pPr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Таблица 2.3.3</w:t>
      </w:r>
    </w:p>
    <w:p w14:paraId="431788A4" w14:textId="04D0E762" w:rsidR="00293C89" w:rsidRPr="008107BB" w:rsidRDefault="00293C89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proofErr w:type="spellStart"/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>Партисипативное</w:t>
      </w:r>
      <w:proofErr w:type="spellEnd"/>
      <w:r w:rsidRPr="008107BB">
        <w:rPr>
          <w:rStyle w:val="ad"/>
          <w:rFonts w:eastAsiaTheme="majorEastAsia"/>
          <w:b w:val="0"/>
          <w:bCs w:val="0"/>
          <w:color w:val="000000"/>
          <w:sz w:val="28"/>
          <w:szCs w:val="28"/>
        </w:rPr>
        <w:t xml:space="preserve"> бюджетирование: лимиты, критерии и отчётность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35"/>
        <w:gridCol w:w="1880"/>
        <w:gridCol w:w="2292"/>
        <w:gridCol w:w="2177"/>
      </w:tblGrid>
      <w:tr w:rsidR="002F64A8" w:rsidRPr="00021417" w14:paraId="2A119E27" w14:textId="77777777" w:rsidTr="00FC5F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1E586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D2F3FBE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8AD0B73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Лимит / критерий</w:t>
            </w:r>
          </w:p>
        </w:tc>
        <w:tc>
          <w:tcPr>
            <w:tcW w:w="0" w:type="auto"/>
            <w:vAlign w:val="center"/>
            <w:hideMark/>
          </w:tcPr>
          <w:p w14:paraId="519D3A28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Ответственность</w:t>
            </w:r>
          </w:p>
        </w:tc>
        <w:tc>
          <w:tcPr>
            <w:tcW w:w="0" w:type="auto"/>
            <w:vAlign w:val="center"/>
            <w:hideMark/>
          </w:tcPr>
          <w:p w14:paraId="17CCE248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Периодичность</w:t>
            </w:r>
          </w:p>
        </w:tc>
      </w:tr>
      <w:tr w:rsidR="002F64A8" w:rsidRPr="00021417" w14:paraId="652E42C2" w14:textId="77777777" w:rsidTr="00FC5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0847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Объём финансирования</w:t>
            </w:r>
          </w:p>
        </w:tc>
        <w:tc>
          <w:tcPr>
            <w:tcW w:w="0" w:type="auto"/>
            <w:vAlign w:val="center"/>
            <w:hideMark/>
          </w:tcPr>
          <w:p w14:paraId="2063318F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Доля бюджета на инициативы улучшений</w:t>
            </w:r>
          </w:p>
        </w:tc>
        <w:tc>
          <w:tcPr>
            <w:tcW w:w="0" w:type="auto"/>
            <w:vAlign w:val="center"/>
            <w:hideMark/>
          </w:tcPr>
          <w:p w14:paraId="18710369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0,3–0,7 % в год</w:t>
            </w:r>
          </w:p>
        </w:tc>
        <w:tc>
          <w:tcPr>
            <w:tcW w:w="0" w:type="auto"/>
            <w:vAlign w:val="center"/>
            <w:hideMark/>
          </w:tcPr>
          <w:p w14:paraId="429C848F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Руководитель подразделения</w:t>
            </w:r>
          </w:p>
        </w:tc>
        <w:tc>
          <w:tcPr>
            <w:tcW w:w="0" w:type="auto"/>
            <w:vAlign w:val="center"/>
            <w:hideMark/>
          </w:tcPr>
          <w:p w14:paraId="099646FE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Годовой цикл</w:t>
            </w:r>
          </w:p>
        </w:tc>
      </w:tr>
      <w:tr w:rsidR="002F64A8" w:rsidRPr="00021417" w14:paraId="11E8470F" w14:textId="77777777" w:rsidTr="00FC5F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E711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Отбор инициатив</w:t>
            </w:r>
          </w:p>
        </w:tc>
        <w:tc>
          <w:tcPr>
            <w:tcW w:w="0" w:type="auto"/>
            <w:vAlign w:val="center"/>
            <w:hideMark/>
          </w:tcPr>
          <w:p w14:paraId="088441CF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 xml:space="preserve">Оценка проектов по </w:t>
            </w:r>
            <w:proofErr w:type="gramStart"/>
            <w:r w:rsidRPr="00021417">
              <w:t>NPV &gt;</w:t>
            </w:r>
            <w:proofErr w:type="gramEnd"/>
            <w:r w:rsidRPr="00021417">
              <w:t xml:space="preserve"> 0 за 6–12 мес.</w:t>
            </w:r>
          </w:p>
        </w:tc>
        <w:tc>
          <w:tcPr>
            <w:tcW w:w="0" w:type="auto"/>
            <w:vAlign w:val="center"/>
            <w:hideMark/>
          </w:tcPr>
          <w:p w14:paraId="54DD5261" w14:textId="653E9999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Сокращение цикла ≥ 15 %, рост ESAT</w:t>
            </w:r>
            <w:r w:rsidR="002C277C" w:rsidRPr="00021417">
              <w:t xml:space="preserve"> (</w:t>
            </w:r>
            <w:r w:rsidR="002C277C" w:rsidRPr="00021417">
              <w:rPr>
                <w:color w:val="000000"/>
              </w:rPr>
              <w:t>индекс удовлетворённости сотрудников; отражает вовлечённость и восприятие условий труда</w:t>
            </w:r>
            <w:r w:rsidR="002C277C" w:rsidRPr="00021417">
              <w:rPr>
                <w:color w:val="000000"/>
              </w:rPr>
              <w:t>)</w:t>
            </w:r>
            <w:r w:rsidRPr="00021417">
              <w:t xml:space="preserve"> ≥ 3 </w:t>
            </w:r>
            <w:proofErr w:type="spellStart"/>
            <w:r w:rsidRPr="00021417">
              <w:t>п.п</w:t>
            </w:r>
            <w:proofErr w:type="spellEnd"/>
            <w:r w:rsidRPr="00021417">
              <w:t>.</w:t>
            </w:r>
          </w:p>
        </w:tc>
        <w:tc>
          <w:tcPr>
            <w:tcW w:w="0" w:type="auto"/>
            <w:vAlign w:val="center"/>
            <w:hideMark/>
          </w:tcPr>
          <w:p w14:paraId="49AE2536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Куратор бюджета / комиссия</w:t>
            </w:r>
          </w:p>
        </w:tc>
        <w:tc>
          <w:tcPr>
            <w:tcW w:w="0" w:type="auto"/>
            <w:vAlign w:val="center"/>
            <w:hideMark/>
          </w:tcPr>
          <w:p w14:paraId="38D65784" w14:textId="77777777" w:rsidR="00293C89" w:rsidRPr="00021417" w:rsidRDefault="00293C89" w:rsidP="008107BB">
            <w:pPr>
              <w:spacing w:line="360" w:lineRule="auto"/>
              <w:ind w:firstLine="709"/>
              <w:jc w:val="both"/>
            </w:pPr>
            <w:r w:rsidRPr="00021417">
              <w:t>Квартально</w:t>
            </w:r>
          </w:p>
        </w:tc>
      </w:tr>
    </w:tbl>
    <w:p w14:paraId="45D30FC7" w14:textId="77777777" w:rsidR="00021417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9553" w:type="dxa"/>
        <w:tblCellSpacing w:w="15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339"/>
        <w:gridCol w:w="1686"/>
        <w:gridCol w:w="1701"/>
        <w:gridCol w:w="1843"/>
      </w:tblGrid>
      <w:tr w:rsidR="00021417" w:rsidRPr="00021417" w14:paraId="04B5308E" w14:textId="77777777" w:rsidTr="00021417">
        <w:trPr>
          <w:tblHeader/>
          <w:tblCellSpacing w:w="15" w:type="dxa"/>
        </w:trPr>
        <w:tc>
          <w:tcPr>
            <w:tcW w:w="1939" w:type="dxa"/>
            <w:vAlign w:val="center"/>
            <w:hideMark/>
          </w:tcPr>
          <w:p w14:paraId="67604D2F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lastRenderedPageBreak/>
              <w:t>Элемент</w:t>
            </w:r>
          </w:p>
        </w:tc>
        <w:tc>
          <w:tcPr>
            <w:tcW w:w="2309" w:type="dxa"/>
            <w:vAlign w:val="center"/>
            <w:hideMark/>
          </w:tcPr>
          <w:p w14:paraId="747DFC55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Описание</w:t>
            </w:r>
          </w:p>
        </w:tc>
        <w:tc>
          <w:tcPr>
            <w:tcW w:w="1656" w:type="dxa"/>
            <w:vAlign w:val="center"/>
            <w:hideMark/>
          </w:tcPr>
          <w:p w14:paraId="2046372D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Лимит / критерий</w:t>
            </w:r>
          </w:p>
        </w:tc>
        <w:tc>
          <w:tcPr>
            <w:tcW w:w="1671" w:type="dxa"/>
            <w:vAlign w:val="center"/>
            <w:hideMark/>
          </w:tcPr>
          <w:p w14:paraId="40BF7B36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Ответственность</w:t>
            </w:r>
          </w:p>
        </w:tc>
        <w:tc>
          <w:tcPr>
            <w:tcW w:w="1798" w:type="dxa"/>
            <w:vAlign w:val="center"/>
            <w:hideMark/>
          </w:tcPr>
          <w:p w14:paraId="0CE6937F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Периодичность</w:t>
            </w:r>
          </w:p>
        </w:tc>
      </w:tr>
      <w:tr w:rsidR="00021417" w:rsidRPr="00021417" w14:paraId="64E51653" w14:textId="77777777" w:rsidTr="00021417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4D112B45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Реализация проектов</w:t>
            </w:r>
          </w:p>
        </w:tc>
        <w:tc>
          <w:tcPr>
            <w:tcW w:w="2309" w:type="dxa"/>
            <w:vAlign w:val="center"/>
            <w:hideMark/>
          </w:tcPr>
          <w:p w14:paraId="26B5D813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Исполнение утверждённых инициатив</w:t>
            </w:r>
          </w:p>
        </w:tc>
        <w:tc>
          <w:tcPr>
            <w:tcW w:w="1656" w:type="dxa"/>
            <w:vAlign w:val="center"/>
            <w:hideMark/>
          </w:tcPr>
          <w:p w14:paraId="292F1AD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 xml:space="preserve">Медианный срок ≤ 90 </w:t>
            </w:r>
            <w:proofErr w:type="spellStart"/>
            <w:r w:rsidRPr="00021417">
              <w:t>дн</w:t>
            </w:r>
            <w:proofErr w:type="spellEnd"/>
            <w:r w:rsidRPr="00021417">
              <w:t>.</w:t>
            </w:r>
          </w:p>
        </w:tc>
        <w:tc>
          <w:tcPr>
            <w:tcW w:w="1671" w:type="dxa"/>
            <w:vAlign w:val="center"/>
            <w:hideMark/>
          </w:tcPr>
          <w:p w14:paraId="0F26281E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Ответственный исполнитель</w:t>
            </w:r>
          </w:p>
        </w:tc>
        <w:tc>
          <w:tcPr>
            <w:tcW w:w="1798" w:type="dxa"/>
            <w:vAlign w:val="center"/>
            <w:hideMark/>
          </w:tcPr>
          <w:p w14:paraId="45DDB13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Ежеквартально</w:t>
            </w:r>
          </w:p>
        </w:tc>
      </w:tr>
      <w:tr w:rsidR="00021417" w:rsidRPr="00021417" w14:paraId="3A72188E" w14:textId="77777777" w:rsidTr="00021417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43964B97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Оценка эффекта</w:t>
            </w:r>
          </w:p>
        </w:tc>
        <w:tc>
          <w:tcPr>
            <w:tcW w:w="2309" w:type="dxa"/>
            <w:vAlign w:val="center"/>
            <w:hideMark/>
          </w:tcPr>
          <w:p w14:paraId="77DEA6B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Сопоставление результатов и затрат</w:t>
            </w:r>
          </w:p>
        </w:tc>
        <w:tc>
          <w:tcPr>
            <w:tcW w:w="1656" w:type="dxa"/>
            <w:vAlign w:val="center"/>
            <w:hideMark/>
          </w:tcPr>
          <w:p w14:paraId="33AF740E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Эффект ≥ 1,2 ₽ на 1 ₽ бюджета</w:t>
            </w:r>
          </w:p>
        </w:tc>
        <w:tc>
          <w:tcPr>
            <w:tcW w:w="1671" w:type="dxa"/>
            <w:vAlign w:val="center"/>
            <w:hideMark/>
          </w:tcPr>
          <w:p w14:paraId="6D041D5E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Аналитик / контролёр</w:t>
            </w:r>
          </w:p>
        </w:tc>
        <w:tc>
          <w:tcPr>
            <w:tcW w:w="1798" w:type="dxa"/>
            <w:vAlign w:val="center"/>
            <w:hideMark/>
          </w:tcPr>
          <w:p w14:paraId="51E788A6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Квартально</w:t>
            </w:r>
          </w:p>
        </w:tc>
      </w:tr>
      <w:tr w:rsidR="00021417" w:rsidRPr="00021417" w14:paraId="4B8F5A17" w14:textId="77777777" w:rsidTr="00021417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4624C7AB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Отчётность и контроль</w:t>
            </w:r>
          </w:p>
        </w:tc>
        <w:tc>
          <w:tcPr>
            <w:tcW w:w="2309" w:type="dxa"/>
            <w:vAlign w:val="center"/>
            <w:hideMark/>
          </w:tcPr>
          <w:p w14:paraId="0C0CBAE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Аудит и подтверждение целевого эффекта</w:t>
            </w:r>
          </w:p>
        </w:tc>
        <w:tc>
          <w:tcPr>
            <w:tcW w:w="1656" w:type="dxa"/>
            <w:vAlign w:val="center"/>
            <w:hideMark/>
          </w:tcPr>
          <w:p w14:paraId="5F6BB45E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Полнота отчётности ≥ 95 %</w:t>
            </w:r>
          </w:p>
        </w:tc>
        <w:tc>
          <w:tcPr>
            <w:tcW w:w="1671" w:type="dxa"/>
            <w:vAlign w:val="center"/>
            <w:hideMark/>
          </w:tcPr>
          <w:p w14:paraId="41F362A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Комплаенс / СВА</w:t>
            </w:r>
          </w:p>
        </w:tc>
        <w:tc>
          <w:tcPr>
            <w:tcW w:w="1798" w:type="dxa"/>
            <w:vAlign w:val="center"/>
            <w:hideMark/>
          </w:tcPr>
          <w:p w14:paraId="311D493C" w14:textId="77777777" w:rsidR="00021417" w:rsidRPr="00021417" w:rsidRDefault="00021417" w:rsidP="00982CD6">
            <w:pPr>
              <w:spacing w:line="360" w:lineRule="auto"/>
              <w:ind w:firstLine="709"/>
              <w:jc w:val="both"/>
            </w:pPr>
            <w:r w:rsidRPr="00021417">
              <w:t>Годовой отчёт</w:t>
            </w:r>
          </w:p>
        </w:tc>
      </w:tr>
    </w:tbl>
    <w:p w14:paraId="215BA5CB" w14:textId="77777777" w:rsidR="00021417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Источник: составлено автором по [6; 7; 11; 30; 31].</w:t>
      </w:r>
    </w:p>
    <w:p w14:paraId="284CD102" w14:textId="1B7CE4A1" w:rsidR="00293C89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Примечание: значения показателей рассчитаны как доля планового бюджета подразделения, корректировка проводится каждые 6 месяцев по итогам ретроспективного анализа.</w:t>
      </w:r>
    </w:p>
    <w:p w14:paraId="7B64062F" w14:textId="77777777" w:rsidR="00021417" w:rsidRPr="008107BB" w:rsidRDefault="00021417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5FAFDC3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Практика пилотных подразделений показывает, что более 70 % утверждённых инициатив реализуются в срок, а медианный эффект по сокращению длительности процессов достигает 15–20 % [11, с. 14–15; 32, с. 5–6]. Благодаря финансовым лимитам и прозрачной отчётности предотвращается риск нецелевого расходования средств, при этом сохраняется контроль со стороны Службы внутреннего аудита и комитетов Наблюдательного совета [6, с. 2–3; 26, с. 3–5].</w:t>
      </w:r>
    </w:p>
    <w:p w14:paraId="28E5F8FC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управленческом плане </w:t>
      </w:r>
      <w:proofErr w:type="spellStart"/>
      <w:r w:rsidRPr="008107BB">
        <w:rPr>
          <w:color w:val="000000"/>
          <w:sz w:val="28"/>
          <w:szCs w:val="28"/>
        </w:rPr>
        <w:t>партисипативное</w:t>
      </w:r>
      <w:proofErr w:type="spellEnd"/>
      <w:r w:rsidRPr="008107BB">
        <w:rPr>
          <w:color w:val="000000"/>
          <w:sz w:val="28"/>
          <w:szCs w:val="28"/>
        </w:rPr>
        <w:t xml:space="preserve"> бюджетирование стало для Сбера «школой инициативности»: сотрудники учатся мыслить категориями эффективности, а команды быстрее внедряют локальные улучшения без дополнительных затрат. Это ускоряет обратную связь, снижает издержки на согласование и укрепляет культуру ответственного участия [30, с. 18–32; 31, с. 12–15].</w:t>
      </w:r>
    </w:p>
    <w:p w14:paraId="198D988B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целом данный инструмент представляет собой гибкий и соответствующий банковской </w:t>
      </w:r>
      <w:proofErr w:type="spellStart"/>
      <w:r w:rsidRPr="008107BB">
        <w:rPr>
          <w:color w:val="000000"/>
          <w:sz w:val="28"/>
          <w:szCs w:val="28"/>
        </w:rPr>
        <w:t>регуляторике</w:t>
      </w:r>
      <w:proofErr w:type="spellEnd"/>
      <w:r w:rsidRPr="008107BB">
        <w:rPr>
          <w:color w:val="000000"/>
          <w:sz w:val="28"/>
          <w:szCs w:val="28"/>
        </w:rPr>
        <w:t xml:space="preserve"> формат самоуправления. Он </w:t>
      </w:r>
      <w:r w:rsidRPr="008107BB">
        <w:rPr>
          <w:color w:val="000000"/>
          <w:sz w:val="28"/>
          <w:szCs w:val="28"/>
        </w:rPr>
        <w:lastRenderedPageBreak/>
        <w:t>объединяет инициативность сотрудников, контроль рисков и стратегическую дисциплину, выступая связующим звеном между гибкими управленческими практиками и традиционной финансовой моделью Сбера [11, с. 12–15; 30, с. 18–32; 31, с. 12–15].</w:t>
      </w:r>
    </w:p>
    <w:p w14:paraId="28AE9614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Проведённый анализ показал, что система самоуправления ПАО «Сбербанк России» объединяет формальные механизмы корпоративного управления и гибкие формы участия сотрудников. Классические органы — Наблюдательный совет, его комитеты, Правление и Служба внутреннего аудита — обеспечивают контроль и подотчётность в соответствии с требованиями законодательства и нормативами Банка России [6, с. 1–3; 7, с. 2–4]. Наряду с ними развиваются неформальные элементы — советы практик, форумы решений и </w:t>
      </w:r>
      <w:proofErr w:type="spellStart"/>
      <w:r w:rsidRPr="008107BB">
        <w:rPr>
          <w:color w:val="000000"/>
          <w:sz w:val="28"/>
          <w:szCs w:val="28"/>
        </w:rPr>
        <w:t>партисипативное</w:t>
      </w:r>
      <w:proofErr w:type="spellEnd"/>
      <w:r w:rsidRPr="008107BB">
        <w:rPr>
          <w:color w:val="000000"/>
          <w:sz w:val="28"/>
          <w:szCs w:val="28"/>
        </w:rPr>
        <w:t xml:space="preserve"> бюджетирование. Они создают среду вовлечённости, где сотрудники ощущают влияние на процессы и несут коллективную ответственность за результаты [31, с. 6–12; 30, с. 18–32].</w:t>
      </w:r>
    </w:p>
    <w:p w14:paraId="4CC04F76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Советы практик выполняют функцию методических центров, где формируются стандарты и подходы, ускоряющие внедрение изменений. Форумы решений становятся площадками для открытого обсуждения инициатив и укрепляют доверие между сотрудниками и руководством. </w:t>
      </w:r>
      <w:proofErr w:type="spellStart"/>
      <w:r w:rsidRPr="008107BB">
        <w:rPr>
          <w:color w:val="000000"/>
          <w:sz w:val="28"/>
          <w:szCs w:val="28"/>
        </w:rPr>
        <w:t>Партисипативное</w:t>
      </w:r>
      <w:proofErr w:type="spellEnd"/>
      <w:r w:rsidRPr="008107BB">
        <w:rPr>
          <w:color w:val="000000"/>
          <w:sz w:val="28"/>
          <w:szCs w:val="28"/>
        </w:rPr>
        <w:t xml:space="preserve"> бюджетирование переносит принципы самоуправления на финансовую сферу: сотрудники предлагают и реализуют локальные улучшения в пределах утверждённых лимитов, повышая эффективность использования ресурсов.</w:t>
      </w:r>
    </w:p>
    <w:p w14:paraId="08B545AD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Такое сочетание формальных и неформальных структур усиливает внутреннюю согласованность управления, снижает риски организационной инерции и повышает адаптивность банка. Опыт пилотных проектов показывает, что вовлечение персонала напрямую влияет на скорость изменений и уровень удовлетворённости работой [11, с. 12–15; 32, с. 4–6]. Для Сбера подобная модель стала частью корпоративной культуры — она соединяет управляемость и самоорганизацию, закрепляя ценности ответственности, сотрудничества и прозрачности.</w:t>
      </w:r>
    </w:p>
    <w:p w14:paraId="2D3EAF3A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В итоге самоуправление в ПАО «Сбербанк России» можно рассматривать как зрелый управленческий инструмент, встроенный в систему корпоративного управления и соответствующий современным международным стандартам эффективности, прозрачности и устойчивости [30, с. 18–32; 31, с. 10–15].</w:t>
      </w:r>
    </w:p>
    <w:p w14:paraId="4E3DA7C7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Для оценки эффективности разработанных механизмов самоуправления в ПАО «Сбербанк России» планируется реализация пилотной программы продолжительностью шесть месяцев. Её задача — апробировать сочетание трёх инструментов: советов практик, форумов решений и </w:t>
      </w:r>
      <w:proofErr w:type="spellStart"/>
      <w:r w:rsidRPr="008107BB">
        <w:rPr>
          <w:color w:val="000000"/>
          <w:sz w:val="28"/>
          <w:szCs w:val="28"/>
        </w:rPr>
        <w:t>партисипативного</w:t>
      </w:r>
      <w:proofErr w:type="spellEnd"/>
      <w:r w:rsidRPr="008107BB">
        <w:rPr>
          <w:color w:val="000000"/>
          <w:sz w:val="28"/>
          <w:szCs w:val="28"/>
        </w:rPr>
        <w:t xml:space="preserve"> бюджетирования в нескольких бизнес-направлениях с высокой динамикой процессов. Такой формат позволит проверить, как предложенные механизмы влияют на скорость управленческих циклов, качество решений и уровень вовлечённости сотрудников.</w:t>
      </w:r>
    </w:p>
    <w:p w14:paraId="2E5A6405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На первом этапе (первый месяц) формируются пилотные команды, назначаются кураторы от профильных комитетов Наблюдательного совета и разрабатываются локальные регламенты. Одновременно создаётся единый реестр инициатив и определяются ответственные за сбор и верификацию данных.</w:t>
      </w:r>
    </w:p>
    <w:p w14:paraId="5CBBEEC7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Второй этап (второй–третий месяцы) предусматривает запуск советов практик и проведение первых форумов решений. Параллельно происходит распределение бюджетных лимитов — до 0,7 % операционных расходов каждого подразделения, участвующего в пилоте.</w:t>
      </w:r>
    </w:p>
    <w:p w14:paraId="4002425D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Третий этап (четвёртый–пятый месяцы) ориентирован на реализацию инициатив, анализ успешных кейсов и промежуточную оценку метрик:</w:t>
      </w:r>
    </w:p>
    <w:p w14:paraId="508F3E79" w14:textId="43855B4B" w:rsidR="00FC5FE2" w:rsidRPr="008107BB" w:rsidRDefault="00FC5FE2" w:rsidP="008107BB">
      <w:pPr>
        <w:pStyle w:val="ac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доля инициатив, завершённых в срок (целевое значение не ниже 70 %);</w:t>
      </w:r>
    </w:p>
    <w:p w14:paraId="615409D9" w14:textId="77777777" w:rsidR="00FC5FE2" w:rsidRPr="008107BB" w:rsidRDefault="00FC5FE2" w:rsidP="008107BB">
      <w:pPr>
        <w:pStyle w:val="ac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сокращение медианного времени согласования на 15–20 %;</w:t>
      </w:r>
    </w:p>
    <w:p w14:paraId="0A10FCE0" w14:textId="77777777" w:rsidR="00FC5FE2" w:rsidRPr="008107BB" w:rsidRDefault="00FC5FE2" w:rsidP="008107BB">
      <w:pPr>
        <w:pStyle w:val="ac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рост индекса вовлечённости (ESAT) не менее чем на 3 </w:t>
      </w:r>
      <w:proofErr w:type="spellStart"/>
      <w:r w:rsidRPr="008107BB">
        <w:rPr>
          <w:color w:val="000000"/>
          <w:sz w:val="28"/>
          <w:szCs w:val="28"/>
        </w:rPr>
        <w:t>п.п</w:t>
      </w:r>
      <w:proofErr w:type="spellEnd"/>
      <w:r w:rsidRPr="008107BB">
        <w:rPr>
          <w:color w:val="000000"/>
          <w:sz w:val="28"/>
          <w:szCs w:val="28"/>
        </w:rPr>
        <w:t>.;</w:t>
      </w:r>
    </w:p>
    <w:p w14:paraId="30C435C4" w14:textId="671E2226" w:rsidR="00FC5FE2" w:rsidRPr="008107BB" w:rsidRDefault="00FC5FE2" w:rsidP="008107BB">
      <w:pPr>
        <w:pStyle w:val="ac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экономический эффект не ниже 1,2 ₽ на каждый рубль инвестиций [11, с. 12–15; 32, с. 4–6].</w:t>
      </w:r>
    </w:p>
    <w:p w14:paraId="724F6223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Заключительный этап (шестой месяц) включает ретроспективный анализ, подготовку отчёта для комитетов Наблюдательного совета и выработку предложений по масштабированию проекта.</w:t>
      </w:r>
    </w:p>
    <w:p w14:paraId="6A74D2EC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Ответственность за реализацию распределяется между кураторами направлений, руководителями подразделений, Службой внутреннего аудита (контроль корректности данных) и Корпоративным секретарём (координация отчётности) [26, с. 3–6; 6, с. 2–4]. Оценка динамики проводится ежемесячно по сводной панели метрик и качественной обратной связи участников.</w:t>
      </w:r>
    </w:p>
    <w:p w14:paraId="1ECC8B77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Ожидаемый результат пилота — закрепление гибридной модели самоуправления, обеспечивающей более короткий цикл управленческих решений, рост вовлечённости сотрудников и сохранение высокого уровня контроля рисков. По итогам шестимесячного цикла будет подготовлен отчёт с рекомендациями по поэтапному внедрению практик в другие подразделения банка с учётом их операционной специфики.</w:t>
      </w:r>
    </w:p>
    <w:p w14:paraId="280F2501" w14:textId="77777777" w:rsidR="00FC5FE2" w:rsidRPr="008107BB" w:rsidRDefault="00FC5FE2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Таким образом, дорожная карта пилота объединяет принципы прозрачности, измеримости и управляемости, формируя основу для перехода Сбера от точечных инициатив к системному внедрению самоуправляемых практик в структуру корпоративного управления [30, с. 18–32; 31, с. 12–15].</w:t>
      </w:r>
    </w:p>
    <w:p w14:paraId="517C60D8" w14:textId="77777777" w:rsidR="00293C89" w:rsidRPr="008107BB" w:rsidRDefault="00293C89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3F259FE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71F2C50F" w14:textId="77777777" w:rsidR="00072D74" w:rsidRPr="008107BB" w:rsidRDefault="00072D74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  <w:sectPr w:rsidR="00072D74" w:rsidRPr="008107BB" w:rsidSect="008279A9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4E58E97B" w14:textId="77777777" w:rsidR="0055527E" w:rsidRPr="008107BB" w:rsidRDefault="0055527E" w:rsidP="00021417">
      <w:pPr>
        <w:pStyle w:val="ac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8107BB">
        <w:rPr>
          <w:b/>
          <w:bCs/>
          <w:color w:val="000000"/>
          <w:sz w:val="28"/>
          <w:szCs w:val="28"/>
        </w:rPr>
        <w:lastRenderedPageBreak/>
        <w:t>ЗАКЛЮЧЕНИЕ</w:t>
      </w:r>
    </w:p>
    <w:p w14:paraId="369282A5" w14:textId="77777777" w:rsidR="00F83B03" w:rsidRPr="008107BB" w:rsidRDefault="00F83B03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5813AB7E" w14:textId="4D82F92B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Современное корпоративное управление постепенно уходит от строго вертикальных практик к распределённой модели. Базовые функции — планирование, организация, мотивация, контроль и коммуникации — сохраняют значение, но </w:t>
      </w:r>
      <w:r w:rsidR="00DA00DD" w:rsidRPr="008107BB">
        <w:rPr>
          <w:color w:val="000000"/>
          <w:sz w:val="28"/>
          <w:szCs w:val="28"/>
        </w:rPr>
        <w:t>исполняются там, где создаётся клиентская ценность</w:t>
      </w:r>
      <w:r w:rsidRPr="008107BB">
        <w:rPr>
          <w:color w:val="000000"/>
          <w:sz w:val="28"/>
          <w:szCs w:val="28"/>
        </w:rPr>
        <w:t>. Контроль при этом не ослабевает, а встраивается в процессы: полномочия и ответственность перераспределяются между уровнями, сочетая стратегический надзор совета директоров и тактическую автономию команд [1, с. 7–12].</w:t>
      </w:r>
    </w:p>
    <w:p w14:paraId="05A6E362" w14:textId="779864ED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Российская правовая рамка поддерживает такую конфигурацию: закон об акционерных обществах фиксирует компетенции органов управления, Трудовой кодекс — участие работников, а для банков действуют нормы о внутреннем контроле и управлении рисками </w:t>
      </w:r>
      <w:r w:rsidR="00DA00DD" w:rsidRPr="008107BB">
        <w:rPr>
          <w:color w:val="000000"/>
          <w:sz w:val="28"/>
          <w:szCs w:val="28"/>
        </w:rPr>
        <w:t>по положениям Банка России № 242-П, № 716-П [6; 7]</w:t>
      </w:r>
      <w:r w:rsidRPr="008107BB">
        <w:rPr>
          <w:color w:val="000000"/>
          <w:sz w:val="28"/>
          <w:szCs w:val="28"/>
        </w:rPr>
        <w:t>. Эта связка укрепляет культуру ответственности, включая роль службы внутреннего аудита и модель трёх линий защиты [5; 6]. Международные ориентиры усиливают тот же вектор: принципы G20/OECD и ISO 37000 требуют прозрачности, независимого контроля и вовлечения стейкхолдеров; как подчёркивает OECD, «контрольные механизмы эффективны, когда встроены в процессы» [30].</w:t>
      </w:r>
    </w:p>
    <w:p w14:paraId="6E6DDB93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В методологическом плане уместна конструкция «жёсткий каркас, гибкая сборка»: формальные институты и регламенты задают предсказуемость, а горизонтальные связи и автономные команды обеспечивают адаптивность. Практическая матрица связывает функции самоуправления с KPI, метриками и источниками данных: самоконтроль — с </w:t>
      </w:r>
      <w:proofErr w:type="spellStart"/>
      <w:r w:rsidRPr="008107BB">
        <w:rPr>
          <w:color w:val="000000"/>
          <w:sz w:val="28"/>
          <w:szCs w:val="28"/>
        </w:rPr>
        <w:t>lead</w:t>
      </w:r>
      <w:proofErr w:type="spellEnd"/>
      <w:r w:rsidRPr="008107BB">
        <w:rPr>
          <w:color w:val="000000"/>
          <w:sz w:val="28"/>
          <w:szCs w:val="28"/>
        </w:rPr>
        <w:t xml:space="preserve"> </w:t>
      </w:r>
      <w:proofErr w:type="spellStart"/>
      <w:r w:rsidRPr="008107BB">
        <w:rPr>
          <w:color w:val="000000"/>
          <w:sz w:val="28"/>
          <w:szCs w:val="28"/>
        </w:rPr>
        <w:t>time</w:t>
      </w:r>
      <w:proofErr w:type="spellEnd"/>
      <w:r w:rsidRPr="008107BB">
        <w:rPr>
          <w:color w:val="000000"/>
          <w:sz w:val="28"/>
          <w:szCs w:val="28"/>
        </w:rPr>
        <w:t xml:space="preserve"> и частотой релизов, мотивация — с индексом вовлечённости и долей реализованных инициатив, контроль — со своевременным закрытием рекомендаций внутреннего аудита [11].</w:t>
      </w:r>
    </w:p>
    <w:p w14:paraId="6B1753C0" w14:textId="0E7BCF04" w:rsidR="00FC5FE2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Итогом становится управляемая децентрализация: система остаётся правомерной и контролируемой, при этом возрастает устойчивость, качество решений и снижаются транзакционные издержки. Такой формат делает управление более адаптивным, прозрачным и устойчивым к изменениям.</w:t>
      </w:r>
    </w:p>
    <w:p w14:paraId="60B79642" w14:textId="3B100E9A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В п</w:t>
      </w:r>
      <w:r w:rsidRPr="008107BB">
        <w:rPr>
          <w:color w:val="000000"/>
          <w:sz w:val="28"/>
          <w:szCs w:val="28"/>
        </w:rPr>
        <w:t>рактическ</w:t>
      </w:r>
      <w:r w:rsidRPr="008107BB">
        <w:rPr>
          <w:color w:val="000000"/>
          <w:sz w:val="28"/>
          <w:szCs w:val="28"/>
        </w:rPr>
        <w:t>ой</w:t>
      </w:r>
      <w:r w:rsidRPr="008107BB">
        <w:rPr>
          <w:color w:val="000000"/>
          <w:sz w:val="28"/>
          <w:szCs w:val="28"/>
        </w:rPr>
        <w:t xml:space="preserve"> част</w:t>
      </w:r>
      <w:r w:rsidRPr="008107BB">
        <w:rPr>
          <w:color w:val="000000"/>
          <w:sz w:val="28"/>
          <w:szCs w:val="28"/>
        </w:rPr>
        <w:t>и</w:t>
      </w:r>
      <w:r w:rsidRPr="008107BB">
        <w:rPr>
          <w:color w:val="000000"/>
          <w:sz w:val="28"/>
          <w:szCs w:val="28"/>
        </w:rPr>
        <w:t xml:space="preserve"> </w:t>
      </w:r>
      <w:r w:rsidRPr="008107BB">
        <w:rPr>
          <w:color w:val="000000"/>
          <w:sz w:val="28"/>
          <w:szCs w:val="28"/>
        </w:rPr>
        <w:t>проводится анализ</w:t>
      </w:r>
      <w:r w:rsidRPr="008107BB">
        <w:rPr>
          <w:color w:val="000000"/>
          <w:sz w:val="28"/>
          <w:szCs w:val="28"/>
        </w:rPr>
        <w:t>, как в ПАО «Сбербанк России» реализуются функции и органы самоуправления. Кейс показателен: крупнейший банк сочетает формальные институты и гибкие механизмы, переходя от жёсткой иерархии к распределённой ответственности на основе годового отчёта-2024, кадровой политики, регламентов по вознаграждениям и положения о внутреннем аудите [11; 28].</w:t>
      </w:r>
    </w:p>
    <w:p w14:paraId="7E0C49E6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Корпоративная архитектура </w:t>
      </w:r>
      <w:proofErr w:type="spellStart"/>
      <w:r w:rsidRPr="008107BB">
        <w:rPr>
          <w:color w:val="000000"/>
          <w:sz w:val="28"/>
          <w:szCs w:val="28"/>
        </w:rPr>
        <w:t>многоуровнева</w:t>
      </w:r>
      <w:proofErr w:type="spellEnd"/>
      <w:r w:rsidRPr="008107BB">
        <w:rPr>
          <w:color w:val="000000"/>
          <w:sz w:val="28"/>
          <w:szCs w:val="28"/>
        </w:rPr>
        <w:t>: общее собрание задаёт стратегию, Наблюдательный совет через комитеты по аудиту, вознаграждениям и рискам обеспечивает независимый надзор, исполнительные органы реализуют решения. Служба внутреннего аудита подотчётна Наблюдательному совету и действует по Положению Банка России № 242-П. Таким образом работает модель трёх линий защиты: бизнес-подразделения, риск/комплаенс и независимая проверка СВА [6; 7].</w:t>
      </w:r>
    </w:p>
    <w:p w14:paraId="387BFA49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Гибридные формы самоуправления опираются на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 xml:space="preserve">-модель: </w:t>
      </w:r>
      <w:proofErr w:type="spellStart"/>
      <w:r w:rsidRPr="008107BB">
        <w:rPr>
          <w:color w:val="000000"/>
          <w:sz w:val="28"/>
          <w:szCs w:val="28"/>
        </w:rPr>
        <w:t>tribes</w:t>
      </w:r>
      <w:proofErr w:type="spellEnd"/>
      <w:r w:rsidRPr="008107BB">
        <w:rPr>
          <w:color w:val="000000"/>
          <w:sz w:val="28"/>
          <w:szCs w:val="28"/>
        </w:rPr>
        <w:t xml:space="preserve">, </w:t>
      </w:r>
      <w:proofErr w:type="spellStart"/>
      <w:r w:rsidRPr="008107BB">
        <w:rPr>
          <w:color w:val="000000"/>
          <w:sz w:val="28"/>
          <w:szCs w:val="28"/>
        </w:rPr>
        <w:t>squads</w:t>
      </w:r>
      <w:proofErr w:type="spellEnd"/>
      <w:r w:rsidRPr="008107BB">
        <w:rPr>
          <w:color w:val="000000"/>
          <w:sz w:val="28"/>
          <w:szCs w:val="28"/>
        </w:rPr>
        <w:t xml:space="preserve">, </w:t>
      </w:r>
      <w:proofErr w:type="spellStart"/>
      <w:r w:rsidRPr="008107BB">
        <w:rPr>
          <w:color w:val="000000"/>
          <w:sz w:val="28"/>
          <w:szCs w:val="28"/>
        </w:rPr>
        <w:t>chapters</w:t>
      </w:r>
      <w:proofErr w:type="spellEnd"/>
      <w:r w:rsidRPr="008107BB">
        <w:rPr>
          <w:color w:val="000000"/>
          <w:sz w:val="28"/>
          <w:szCs w:val="28"/>
        </w:rPr>
        <w:t xml:space="preserve"> планируют работу, расставляют приоритеты и распределяют ресурсы. Горизонтальная координация поддерживается советами практик и «форумами решений», где инициативы обсуждаются и консолидируются для управленцев [32]. Внутренние данные показывают, что свыше 60 % таких инициатив доходят до внедрения, а индекс вовлечённости в командах выше среднего на 12–15 % [11].</w:t>
      </w:r>
    </w:p>
    <w:p w14:paraId="073D946C" w14:textId="75E05B00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Эффективность измеряется набором управленческих метрик: сокращение среднего цикла изменений не менее чем на 15 %, выполнение рекомендаций СВА в срок не ниже 95 %, повторное использование типовых решений не менее 60 %, совокупный эффект не ниже 1,2 рубля на 1 рубль организационных затрат, охват механизмами коллективного обсуждения не менее 15 % персонала [11; 28].</w:t>
      </w:r>
    </w:p>
    <w:p w14:paraId="51E615F1" w14:textId="5D4BECC6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Практика подтверждает совместимость автономии и контроля: первая линия ускоряет реакцию, вторая задаёт стандарты и лимиты, третья обеспечивает независимую верификацию [6; 7]. Инфраструктура построена без создания параллельных структур: используются внутренние CRM и коммуникационные платформы, что снижает транзакционные издержки и повышает прозрачность. В </w:t>
      </w:r>
      <w:r w:rsidRPr="008107BB">
        <w:rPr>
          <w:color w:val="000000"/>
          <w:sz w:val="28"/>
          <w:szCs w:val="28"/>
        </w:rPr>
        <w:lastRenderedPageBreak/>
        <w:t xml:space="preserve">результате самоуправление выступает устойчивым элементом корпоративного управления, где контроль встроен в процесс, а не навязан сверху, обеспечивая баланс скорости и управляемости в </w:t>
      </w:r>
      <w:proofErr w:type="spellStart"/>
      <w:r w:rsidRPr="008107BB">
        <w:rPr>
          <w:color w:val="000000"/>
          <w:sz w:val="28"/>
          <w:szCs w:val="28"/>
        </w:rPr>
        <w:t>высокорегулируемой</w:t>
      </w:r>
      <w:proofErr w:type="spellEnd"/>
      <w:r w:rsidRPr="008107BB">
        <w:rPr>
          <w:color w:val="000000"/>
          <w:sz w:val="28"/>
          <w:szCs w:val="28"/>
        </w:rPr>
        <w:t xml:space="preserve"> среде</w:t>
      </w:r>
      <w:r w:rsidRPr="008107BB">
        <w:rPr>
          <w:color w:val="000000"/>
          <w:sz w:val="28"/>
          <w:szCs w:val="28"/>
        </w:rPr>
        <w:t>.</w:t>
      </w:r>
    </w:p>
    <w:p w14:paraId="22EE125D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Развитие системы самоуправления в Сбере показало не только её эффективность, но и ряд ограничений, характерных для крупных организаций. Основные риски связаны с качеством исходных данных, зрелостью культуры обратной связи и конкуренцией приоритетов между подразделениями. Если эти факторы не учитывать, гибкие механизмы могут утратить управляемость и прозрачность. Поэтому успешная репликация подобных практик требует институциональных условий: единого реестра регламентов и шаблонов, регулярных «форумов решений», куратора от профильного комитета Наблюдательного совета и формализованных процедур эскалации.</w:t>
      </w:r>
    </w:p>
    <w:p w14:paraId="17058302" w14:textId="7C4D6D9F" w:rsidR="00DA00DD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Масштабирование должно строиться по логике «пилот — ревизия — стандартизация — тиражирование». На каждом этапе важно фиксировать метрики вовлечённости, скорость согласования и качество управленческих решений. Контроль следует сохранять через KPI и квартальные отчёты, увязанные с системой вознаграждения управленцев. Для стабильности внедрения рекомендовано закреплять устойчивые практики в локальных актах и ежегодно пересматривать лимиты </w:t>
      </w:r>
      <w:proofErr w:type="spellStart"/>
      <w:r w:rsidRPr="008107BB">
        <w:rPr>
          <w:color w:val="000000"/>
          <w:sz w:val="28"/>
          <w:szCs w:val="28"/>
        </w:rPr>
        <w:t>партисипативного</w:t>
      </w:r>
      <w:proofErr w:type="spellEnd"/>
      <w:r w:rsidRPr="008107BB">
        <w:rPr>
          <w:color w:val="000000"/>
          <w:sz w:val="28"/>
          <w:szCs w:val="28"/>
        </w:rPr>
        <w:t xml:space="preserve"> бюджета.</w:t>
      </w:r>
      <w:r w:rsidR="00DA00DD" w:rsidRPr="008107BB">
        <w:rPr>
          <w:color w:val="000000"/>
          <w:sz w:val="28"/>
          <w:szCs w:val="28"/>
        </w:rPr>
        <w:t xml:space="preserve"> </w:t>
      </w:r>
      <w:r w:rsidR="00D45634" w:rsidRPr="008107BB">
        <w:rPr>
          <w:color w:val="000000"/>
          <w:sz w:val="28"/>
          <w:szCs w:val="28"/>
        </w:rPr>
        <w:t xml:space="preserve">Для </w:t>
      </w:r>
      <w:proofErr w:type="spellStart"/>
      <w:r w:rsidR="00D45634" w:rsidRPr="008107BB">
        <w:rPr>
          <w:color w:val="000000"/>
          <w:sz w:val="28"/>
          <w:szCs w:val="28"/>
        </w:rPr>
        <w:t>высокорегулируемой</w:t>
      </w:r>
      <w:proofErr w:type="spellEnd"/>
      <w:r w:rsidR="00D45634" w:rsidRPr="008107BB">
        <w:rPr>
          <w:color w:val="000000"/>
          <w:sz w:val="28"/>
          <w:szCs w:val="28"/>
        </w:rPr>
        <w:t xml:space="preserve"> банковской отрасли такая конфигурация особенно продуктивна, поскольку позволяет ускорять решения без снижения качества контроля и соответствия требованиям регулятора [5; 6].</w:t>
      </w:r>
    </w:p>
    <w:p w14:paraId="22433C79" w14:textId="439A719E" w:rsidR="002557DE" w:rsidRPr="008107BB" w:rsidRDefault="00DA00DD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Поставленная цель достигнута, исследовательские задачи решены: теоретические положения верифицированы нормативной базой, а практический кейс Сбера подтвердил работоспособность модели управляемой децентрализации [1; 4; 11].</w:t>
      </w:r>
    </w:p>
    <w:p w14:paraId="0873BAC3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Дальнейшие исследования могут быть направлены на валидацию нематериальных эффектов — роста доверия, уровня инициативности и качества решений, — а также на сравнение опыта Сбера с компаниями других отраслей. Итог очевиден: самоуправление устойчиво в тех организациях, где </w:t>
      </w:r>
      <w:r w:rsidRPr="008107BB">
        <w:rPr>
          <w:color w:val="000000"/>
          <w:sz w:val="28"/>
          <w:szCs w:val="28"/>
        </w:rPr>
        <w:lastRenderedPageBreak/>
        <w:t>децентрализация сочетается с ясными правилами ответственности и прозрачными каналами обратной связи. При этих условиях масштабирование гибких практик не нарушает комплаенс, а делает корпоративную систему более живой и управляемой.</w:t>
      </w:r>
    </w:p>
    <w:p w14:paraId="097EC8DD" w14:textId="77777777" w:rsidR="002557DE" w:rsidRPr="008107BB" w:rsidRDefault="002557DE" w:rsidP="008107BB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  <w:sectPr w:rsidR="002557DE" w:rsidRPr="008107BB" w:rsidSect="008279A9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4E7B44C3" w14:textId="77777777" w:rsidR="002C277C" w:rsidRPr="00021417" w:rsidRDefault="002C277C" w:rsidP="00F07040">
      <w:pPr>
        <w:pStyle w:val="1"/>
        <w:numPr>
          <w:ilvl w:val="0"/>
          <w:numId w:val="0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2141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ИСПОЛЬЗОВАННЫХ ИСТОЧНИКОВ</w:t>
      </w:r>
    </w:p>
    <w:p w14:paraId="6A09C7E0" w14:textId="77777777" w:rsidR="002C277C" w:rsidRPr="008107BB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rStyle w:val="ad"/>
          <w:rFonts w:eastAsiaTheme="majorEastAsia"/>
          <w:color w:val="000000"/>
          <w:sz w:val="28"/>
          <w:szCs w:val="28"/>
        </w:rPr>
        <w:t>Официальные материалы</w:t>
      </w:r>
    </w:p>
    <w:p w14:paraId="1445D0D1" w14:textId="77777777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Банк России. Письмо от 10.04.2014 № 06-52/2463 «О Кодексе корпоративного управления»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2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</w:t>
        </w:r>
        <w:r w:rsidRPr="00763F16">
          <w:rPr>
            <w:rStyle w:val="af"/>
            <w:rFonts w:eastAsiaTheme="majorEastAsia"/>
            <w:sz w:val="28"/>
            <w:szCs w:val="28"/>
            <w:u w:val="none"/>
          </w:rPr>
          <w:t>cb</w:t>
        </w:r>
        <w:r w:rsidRPr="00763F16">
          <w:rPr>
            <w:rStyle w:val="af"/>
            <w:rFonts w:eastAsiaTheme="majorEastAsia"/>
            <w:sz w:val="28"/>
            <w:szCs w:val="28"/>
            <w:u w:val="none"/>
          </w:rPr>
          <w:t>r</w:t>
        </w:r>
        <w:r w:rsidRPr="008107BB">
          <w:rPr>
            <w:rStyle w:val="af"/>
            <w:rFonts w:eastAsiaTheme="majorEastAsia"/>
            <w:sz w:val="28"/>
            <w:szCs w:val="28"/>
          </w:rPr>
          <w:t>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55689FBE" w14:textId="77777777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Банк России. Положение № 242-П «Об организации внутреннего контроля в кредитных организациях и банковских группах» (ред. по сост. на 15.11.2023)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3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https://www.cbr.ru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29C5103F" w14:textId="77777777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Банк России. Положение № 716-П от 08.04.2020 «О требованиях к системе управления операционным риском…» (ред. по сост. на 22.10.2024)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4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https://www.cbr.ru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1B71D0D5" w14:textId="30CBD32E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Банк России. Развитие корпоративных отношений (Кодекс корпоративного управления): офиц. раздел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5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https://www.cbr.ru/issuers_corporate/development_corp_relations/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080CFAA9" w14:textId="77777777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Российская Федерация. Федеральный закон от 02.12.1990 № 395-1 «О банках и банковской деятельности» [Электронный ресурс]. — Доступ из справ.-прав. системы.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6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https://pravo.gov.ru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74F8DA97" w14:textId="77777777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Российская Федерация. Федеральный закон от 26.12.1995 № 208-ФЗ «Об акционерных обществах» [Электронный ресурс]. — Доступ из справ.-прав. системы.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7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https://pravo.gov.ru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09E6D1B6" w14:textId="77777777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Российская Федерация. Трудовой кодекс Российской Федерации: Федеральный закон от 30.12.2001 № 197-ФЗ [Электронный ресурс]. — Доступ из справ.-прав. системы.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8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https://pravo.gov.ru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542E00BF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rStyle w:val="ad"/>
          <w:rFonts w:eastAsiaTheme="majorEastAsia"/>
          <w:color w:val="000000"/>
          <w:sz w:val="28"/>
          <w:szCs w:val="28"/>
        </w:rPr>
        <w:t>Статистические материалы</w:t>
      </w:r>
    </w:p>
    <w:p w14:paraId="31878B05" w14:textId="362C995C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ЕМИСС / </w:t>
      </w:r>
      <w:proofErr w:type="spellStart"/>
      <w:r w:rsidRPr="008107BB">
        <w:rPr>
          <w:color w:val="000000"/>
          <w:sz w:val="28"/>
          <w:szCs w:val="28"/>
        </w:rPr>
        <w:t>Федстат</w:t>
      </w:r>
      <w:proofErr w:type="spellEnd"/>
      <w:r w:rsidRPr="008107BB">
        <w:rPr>
          <w:color w:val="000000"/>
          <w:sz w:val="28"/>
          <w:szCs w:val="28"/>
        </w:rPr>
        <w:t>. Среднегодовая численность занятых в экономике (с 2017 г.)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19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https://fedstat.ru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4EBE6FB1" w14:textId="68043AF5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>ПАО «Сбербанк России». Годовой (интегрированный) отчёт. 2024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0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https://www.sberbank.com/ru/investor-relations/groupresults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0BEA7DB3" w14:textId="0556AF5C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Росстат. Российский статистический ежегодник. 2024: стат. сб. — М.: Росстат, 2024.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1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https://eng.rosstat.gov.ru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7707FA85" w14:textId="6992148A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Росстат. Труд и занятость в России. 2023: стат. сб. — М.: Росстат, 2023.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2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https://rosstat.gov.ru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6C22D4EF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rStyle w:val="ad"/>
          <w:rFonts w:eastAsiaTheme="majorEastAsia"/>
          <w:color w:val="000000"/>
          <w:sz w:val="28"/>
          <w:szCs w:val="28"/>
        </w:rPr>
        <w:t>Справочные и архивные материалы</w:t>
      </w:r>
    </w:p>
    <w:p w14:paraId="40585F01" w14:textId="242AF436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Большая российская энциклопедия. Кодекс корпоративного управления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3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https://bigenc.ru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  <w:r w:rsidRPr="008107BB">
        <w:rPr>
          <w:color w:val="000000"/>
          <w:sz w:val="28"/>
          <w:szCs w:val="28"/>
        </w:rPr>
        <w:br/>
        <w:t>12. Большая российская энциклопедия. Корпоративная культура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4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https://bigenc.ru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0822C47E" w14:textId="1EE77BAF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Глоссарий по корпоративному управлению [Электронный ресурс]. — e-biblio.ru.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5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https://e-biblio.ru</w:t>
        </w:r>
      </w:hyperlink>
      <w:r w:rsidRPr="008107BB">
        <w:rPr>
          <w:color w:val="000000"/>
          <w:sz w:val="28"/>
          <w:szCs w:val="28"/>
        </w:rPr>
        <w:t>(дата обращения: 01.11.2025).</w:t>
      </w:r>
    </w:p>
    <w:p w14:paraId="525EFF7F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rStyle w:val="ad"/>
          <w:rFonts w:eastAsiaTheme="majorEastAsia"/>
          <w:color w:val="000000"/>
          <w:sz w:val="28"/>
          <w:szCs w:val="28"/>
        </w:rPr>
        <w:t>Монографии и статьи (научные монографии, сборники научных статей, научные статьи)</w:t>
      </w:r>
    </w:p>
    <w:p w14:paraId="20EF9795" w14:textId="3180A7AA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Буханов В. О. Формирование принципов использования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-менеджмента // Экономика и предпринимательство. — 2023.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6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https://publishing-vak.ru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30167137" w14:textId="2FACFC5A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Нефёдов Д. А. Специфика внедрения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 xml:space="preserve"> и </w:t>
      </w:r>
      <w:proofErr w:type="spellStart"/>
      <w:r w:rsidRPr="008107BB">
        <w:rPr>
          <w:color w:val="000000"/>
          <w:sz w:val="28"/>
          <w:szCs w:val="28"/>
        </w:rPr>
        <w:t>Scrum</w:t>
      </w:r>
      <w:proofErr w:type="spellEnd"/>
      <w:r w:rsidRPr="008107BB">
        <w:rPr>
          <w:color w:val="000000"/>
          <w:sz w:val="28"/>
          <w:szCs w:val="28"/>
        </w:rPr>
        <w:t xml:space="preserve"> методов… // Научная статья. — 2022.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7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https://elibrary.ru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50D95639" w14:textId="1A59C923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Полянская Л. В. Анализ проблем внедрения методологий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 xml:space="preserve"> на российском рынке // Научная статья. — 2023.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8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https://cyberleninka.ru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21BF146D" w14:textId="0185FF49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lastRenderedPageBreak/>
        <w:t xml:space="preserve">Удальцова Н. Л. Опыт применения </w:t>
      </w:r>
      <w:proofErr w:type="spellStart"/>
      <w:r w:rsidRPr="008107BB">
        <w:rPr>
          <w:color w:val="000000"/>
          <w:sz w:val="28"/>
          <w:szCs w:val="28"/>
        </w:rPr>
        <w:t>Agile</w:t>
      </w:r>
      <w:proofErr w:type="spellEnd"/>
      <w:r w:rsidRPr="008107BB">
        <w:rPr>
          <w:color w:val="000000"/>
          <w:sz w:val="28"/>
          <w:szCs w:val="28"/>
        </w:rPr>
        <w:t>-технологий российскими компаниями // Научная статья. — 2024.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29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https://cyberleninka.ru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023CB4E0" w14:textId="0C9F5682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Хомяков Д. В. Предпосылки развития роли ИТ для социальной самоорганизации предприятия // Научная статья. — 2023.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30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https://elibrary.ru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38D8D922" w14:textId="57C67B8A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Цветков В. Я. Корпоративное управление // Научная статья. — 2022. —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31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https://cyberleninka.ru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71B41D4F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rStyle w:val="ad"/>
          <w:rFonts w:eastAsiaTheme="majorEastAsia"/>
          <w:color w:val="000000"/>
          <w:sz w:val="28"/>
          <w:szCs w:val="28"/>
        </w:rPr>
        <w:t>Учебники, учебные пособия и материалы</w:t>
      </w:r>
    </w:p>
    <w:p w14:paraId="73498852" w14:textId="747E38F4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Виханский О. С., Наумов А. И. Менеджмент: учебник. — М.: ИНФРА-М, 2025.</w:t>
      </w:r>
    </w:p>
    <w:p w14:paraId="0CC14A83" w14:textId="295BECBE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Дементьева А. Г. Корпоративное управление: учебник. — М.: Магистр; ИНФРА-М, 2024.</w:t>
      </w:r>
    </w:p>
    <w:p w14:paraId="720ED281" w14:textId="4695F17E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Орехов С. А. (ред.). Корпоративное управление: учебник. — М.: </w:t>
      </w:r>
      <w:proofErr w:type="spellStart"/>
      <w:r w:rsidRPr="008107BB">
        <w:rPr>
          <w:color w:val="000000"/>
          <w:sz w:val="28"/>
          <w:szCs w:val="28"/>
        </w:rPr>
        <w:t>Юрайт</w:t>
      </w:r>
      <w:proofErr w:type="spellEnd"/>
      <w:r w:rsidRPr="008107BB">
        <w:rPr>
          <w:color w:val="000000"/>
          <w:sz w:val="28"/>
          <w:szCs w:val="28"/>
        </w:rPr>
        <w:t>, 2025.</w:t>
      </w:r>
    </w:p>
    <w:p w14:paraId="4A31C5E9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rStyle w:val="ad"/>
          <w:rFonts w:eastAsiaTheme="majorEastAsia"/>
          <w:color w:val="000000"/>
          <w:sz w:val="28"/>
          <w:szCs w:val="28"/>
        </w:rPr>
        <w:t>Электронные ресурсы</w:t>
      </w:r>
    </w:p>
    <w:p w14:paraId="16AD48B6" w14:textId="015E38A8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>ПАО «Сбербанк России». Материалы годового общего собрания акционеров 2025 (IR-раздел)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32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https://www.sberbank.com/ru/investor-relations/corporate-governance/annual-meeting-2025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524146F4" w14:textId="16B03C42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  <w:lang w:val="en-US"/>
        </w:rPr>
        <w:t>Sberbank. Annual results / Annual Report 2024 (IR-</w:t>
      </w:r>
      <w:r w:rsidRPr="008107BB">
        <w:rPr>
          <w:color w:val="000000"/>
          <w:sz w:val="28"/>
          <w:szCs w:val="28"/>
        </w:rPr>
        <w:t>раздел</w:t>
      </w:r>
      <w:r w:rsidRPr="008107BB">
        <w:rPr>
          <w:color w:val="000000"/>
          <w:sz w:val="28"/>
          <w:szCs w:val="28"/>
          <w:lang w:val="en-US"/>
        </w:rPr>
        <w:t>) [</w:t>
      </w:r>
      <w:r w:rsidRPr="008107BB">
        <w:rPr>
          <w:color w:val="000000"/>
          <w:sz w:val="28"/>
          <w:szCs w:val="28"/>
        </w:rPr>
        <w:t>Электронный</w:t>
      </w:r>
      <w:r w:rsidRPr="008107BB">
        <w:rPr>
          <w:color w:val="000000"/>
          <w:sz w:val="28"/>
          <w:szCs w:val="28"/>
          <w:lang w:val="en-US"/>
        </w:rPr>
        <w:t xml:space="preserve"> </w:t>
      </w:r>
      <w:r w:rsidRPr="008107BB">
        <w:rPr>
          <w:color w:val="000000"/>
          <w:sz w:val="28"/>
          <w:szCs w:val="28"/>
        </w:rPr>
        <w:t>ресурс</w:t>
      </w:r>
      <w:r w:rsidRPr="008107BB">
        <w:rPr>
          <w:color w:val="000000"/>
          <w:sz w:val="28"/>
          <w:szCs w:val="28"/>
          <w:lang w:val="en-US"/>
        </w:rPr>
        <w:t>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33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https://www.sberbank.com/ru/investor-relations/groupresults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</w:t>
      </w:r>
      <w:r w:rsidRPr="008107BB">
        <w:rPr>
          <w:color w:val="000000"/>
          <w:sz w:val="28"/>
          <w:szCs w:val="28"/>
        </w:rPr>
        <w:t>дата</w:t>
      </w:r>
      <w:r w:rsidRPr="008107BB">
        <w:rPr>
          <w:color w:val="000000"/>
          <w:sz w:val="28"/>
          <w:szCs w:val="28"/>
          <w:lang w:val="en-US"/>
        </w:rPr>
        <w:t xml:space="preserve"> </w:t>
      </w:r>
      <w:r w:rsidRPr="008107BB">
        <w:rPr>
          <w:color w:val="000000"/>
          <w:sz w:val="28"/>
          <w:szCs w:val="28"/>
        </w:rPr>
        <w:t>обращения</w:t>
      </w:r>
      <w:r w:rsidRPr="008107BB">
        <w:rPr>
          <w:color w:val="000000"/>
          <w:sz w:val="28"/>
          <w:szCs w:val="28"/>
          <w:lang w:val="en-US"/>
        </w:rPr>
        <w:t>: 01.11.2025).</w:t>
      </w:r>
    </w:p>
    <w:p w14:paraId="0AF9E014" w14:textId="02045E70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8107BB">
        <w:rPr>
          <w:color w:val="000000"/>
          <w:sz w:val="28"/>
          <w:szCs w:val="28"/>
        </w:rPr>
        <w:t>Sberbank</w:t>
      </w:r>
      <w:proofErr w:type="spellEnd"/>
      <w:r w:rsidRPr="008107BB">
        <w:rPr>
          <w:color w:val="000000"/>
          <w:sz w:val="28"/>
          <w:szCs w:val="28"/>
        </w:rPr>
        <w:t>. Кодекс корпоративного управления (редакция 2020 / обновления)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34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https://www.sberbank.com/ru/investor-relations/corporate-governance/code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2E222723" w14:textId="7CA79EFA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8107BB">
        <w:rPr>
          <w:color w:val="000000"/>
          <w:sz w:val="28"/>
          <w:szCs w:val="28"/>
        </w:rPr>
        <w:lastRenderedPageBreak/>
        <w:t>Sberbank</w:t>
      </w:r>
      <w:proofErr w:type="spellEnd"/>
      <w:r w:rsidRPr="008107BB">
        <w:rPr>
          <w:color w:val="000000"/>
          <w:sz w:val="28"/>
          <w:szCs w:val="28"/>
        </w:rPr>
        <w:t>. Корпоративное управление: общий раздел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35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https://www.sberbank.com/ru/investor-relations/corporate-governance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3DAE80F2" w14:textId="458ACC6E" w:rsidR="002C277C" w:rsidRPr="008107BB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8107BB">
        <w:rPr>
          <w:color w:val="000000"/>
          <w:sz w:val="28"/>
          <w:szCs w:val="28"/>
        </w:rPr>
        <w:t>Sberbank</w:t>
      </w:r>
      <w:proofErr w:type="spellEnd"/>
      <w:r w:rsidRPr="008107BB">
        <w:rPr>
          <w:color w:val="000000"/>
          <w:sz w:val="28"/>
          <w:szCs w:val="28"/>
        </w:rPr>
        <w:t>. Корпоративные документы / Раскрытие (регулятивные документы) [Электронный ресурс].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36" w:tgtFrame="_new" w:history="1">
        <w:r w:rsidRPr="008107BB">
          <w:rPr>
            <w:rStyle w:val="af"/>
            <w:rFonts w:eastAsiaTheme="majorEastAsia"/>
            <w:sz w:val="28"/>
            <w:szCs w:val="28"/>
          </w:rPr>
          <w:t>https://www.sberbank.com/ru/investor-relations/disclosure/regulative-documents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107BB">
        <w:rPr>
          <w:color w:val="000000"/>
          <w:sz w:val="28"/>
          <w:szCs w:val="28"/>
        </w:rPr>
        <w:t>(дата обращения: 01.11.2025).</w:t>
      </w:r>
    </w:p>
    <w:p w14:paraId="5FAC99B1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rStyle w:val="ad"/>
          <w:rFonts w:eastAsiaTheme="majorEastAsia"/>
          <w:color w:val="000000"/>
          <w:sz w:val="28"/>
          <w:szCs w:val="28"/>
        </w:rPr>
        <w:t>Материалы на иностранных языках</w:t>
      </w:r>
    </w:p>
    <w:p w14:paraId="791F42E4" w14:textId="78D16476" w:rsidR="00F07040" w:rsidRDefault="002C277C" w:rsidP="00F07040">
      <w:pPr>
        <w:pStyle w:val="ac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</w:rPr>
        <w:t xml:space="preserve">G20/OECD. </w:t>
      </w:r>
      <w:r w:rsidRPr="008107BB">
        <w:rPr>
          <w:color w:val="000000"/>
          <w:sz w:val="28"/>
          <w:szCs w:val="28"/>
          <w:lang w:val="en-US"/>
        </w:rPr>
        <w:t>Principles of Corporate Governance (2023 edition) [Electronic resource]. — Paris: OECD, 2023.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37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https://www.oecd.org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01.11.2025).</w:t>
      </w:r>
      <w:r w:rsidRPr="008107BB">
        <w:rPr>
          <w:color w:val="000000"/>
          <w:sz w:val="28"/>
          <w:szCs w:val="28"/>
          <w:lang w:val="en-US"/>
        </w:rPr>
        <w:br/>
        <w:t>29. Heaton S., Teece D., Agronin E. Dynamic capabilities and governance: An empirical investigation of financial performance of the higher education sector // Strategic Management Journal. — 2023. — Vol. 44, No. 2. — P. 520–548. — DOI: 10.1002/smj.3444.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38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https://onlinelibrary.wiley.com/doi/10.1002/smj.3444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02.11.2025).</w:t>
      </w:r>
    </w:p>
    <w:p w14:paraId="223E9E4B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  <w:lang w:val="en-US"/>
        </w:rPr>
        <w:t>30. ISO. ISO 37000:2021 Governance of organizations — Guidance [Electronic resource]. — Geneva: ISO, 2021.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39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https://www.iso.org/standard/65036.html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01.11.2025).</w:t>
      </w:r>
    </w:p>
    <w:p w14:paraId="12671ACD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  <w:lang w:val="en-US"/>
        </w:rPr>
        <w:t>31. Khan M. J., Saleem F., Shahab Ud Din, Khan M. Y. Nexus between boardroom independence and firm financial performance: Evidence from South Asian emerging market // Humanities and Social Sciences Communications. — 2024. — Vol. 11. — Art. 590. — DOI: 10.1038/s41599-024-02952-3.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40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https://www.nature.com/articles/s41599-024-02952-3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02.11.2025).</w:t>
      </w:r>
    </w:p>
    <w:p w14:paraId="1B0A4ADB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  <w:lang w:val="en-US"/>
        </w:rPr>
        <w:t xml:space="preserve">32. </w:t>
      </w:r>
      <w:proofErr w:type="spellStart"/>
      <w:r w:rsidRPr="008107BB">
        <w:rPr>
          <w:color w:val="000000"/>
          <w:sz w:val="28"/>
          <w:szCs w:val="28"/>
          <w:lang w:val="en-US"/>
        </w:rPr>
        <w:t>Koeswayo</w:t>
      </w:r>
      <w:proofErr w:type="spellEnd"/>
      <w:r w:rsidRPr="008107BB">
        <w:rPr>
          <w:color w:val="000000"/>
          <w:sz w:val="28"/>
          <w:szCs w:val="28"/>
          <w:lang w:val="en-US"/>
        </w:rPr>
        <w:t xml:space="preserve"> P. S., Haryanto H., </w:t>
      </w:r>
      <w:proofErr w:type="spellStart"/>
      <w:r w:rsidRPr="008107BB">
        <w:rPr>
          <w:color w:val="000000"/>
          <w:sz w:val="28"/>
          <w:szCs w:val="28"/>
          <w:lang w:val="en-US"/>
        </w:rPr>
        <w:t>Handoyo</w:t>
      </w:r>
      <w:proofErr w:type="spellEnd"/>
      <w:r w:rsidRPr="008107BB">
        <w:rPr>
          <w:color w:val="000000"/>
          <w:sz w:val="28"/>
          <w:szCs w:val="28"/>
          <w:lang w:val="en-US"/>
        </w:rPr>
        <w:t xml:space="preserve"> S. The impact of corporate governance, internal control and corporate reputation on employee engagement: A moderating role of leadership style // Cogent Business &amp; Management. — 2024. — Vol. 11, No. 1. — 1–34. — DOI: 10.1080/23311975.2023.2296698.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41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https://www.tandfonline.com/doi/full/10.1080/23311975.2023.2296698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02.11.2025).</w:t>
      </w:r>
    </w:p>
    <w:p w14:paraId="23F7CFCA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  <w:lang w:val="en-US"/>
        </w:rPr>
        <w:lastRenderedPageBreak/>
        <w:t>33. McKinsey &amp; Company. The State of Organizations 2023 [Electronic resource]. — McKinsey Global Institute, 2023. — URL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42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https://www.mckinsey.com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01.11.2025).</w:t>
      </w:r>
    </w:p>
    <w:p w14:paraId="5A9FE2DB" w14:textId="77777777" w:rsid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107BB">
        <w:rPr>
          <w:color w:val="000000"/>
          <w:sz w:val="28"/>
          <w:szCs w:val="28"/>
          <w:lang w:val="en-US"/>
        </w:rPr>
        <w:t>34. OECD. Corporate Governance Factbook 2023 [Electronic resource]. — Paris: OECD, 2023.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43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https://www.oecd.org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01.11.2025).</w:t>
      </w:r>
    </w:p>
    <w:p w14:paraId="14DF3BDD" w14:textId="7D630410" w:rsidR="0055527E" w:rsidRPr="00F07040" w:rsidRDefault="002C277C" w:rsidP="00F07040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8107BB">
        <w:rPr>
          <w:color w:val="000000"/>
          <w:sz w:val="28"/>
          <w:szCs w:val="28"/>
          <w:lang w:val="en-US"/>
        </w:rPr>
        <w:t>35. Valkenburg B., Bongiovanni I. Unravelling the Three Lines Model in Cybersecurity: A Systematic Literature Review // Computers &amp; Security. — 2024. — Vol. 139. — Art. 103708. — DOI: 10.1016/j.cose.2024.103708. — URL:</w:t>
      </w:r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hyperlink r:id="rId44" w:tgtFrame="_new" w:history="1">
        <w:r w:rsidRPr="008107BB">
          <w:rPr>
            <w:rStyle w:val="af"/>
            <w:rFonts w:eastAsiaTheme="majorEastAsia"/>
            <w:sz w:val="28"/>
            <w:szCs w:val="28"/>
            <w:lang w:val="en-US"/>
          </w:rPr>
          <w:t>https://www.sciencedirect.com/science/article/pii/S0167404824000099</w:t>
        </w:r>
      </w:hyperlink>
      <w:r w:rsidRPr="008107BB">
        <w:rPr>
          <w:rStyle w:val="apple-converted-space"/>
          <w:rFonts w:eastAsiaTheme="majorEastAsia"/>
          <w:color w:val="000000"/>
          <w:sz w:val="28"/>
          <w:szCs w:val="28"/>
          <w:lang w:val="en-US"/>
        </w:rPr>
        <w:t> </w:t>
      </w:r>
      <w:r w:rsidRPr="008107BB">
        <w:rPr>
          <w:color w:val="000000"/>
          <w:sz w:val="28"/>
          <w:szCs w:val="28"/>
          <w:lang w:val="en-US"/>
        </w:rPr>
        <w:t>(accessed: 02.11.2025).</w:t>
      </w:r>
    </w:p>
    <w:sectPr w:rsidR="0055527E" w:rsidRPr="00F07040" w:rsidSect="008279A9"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DA6C" w14:textId="77777777" w:rsidR="00776373" w:rsidRDefault="00776373" w:rsidP="008279A9">
      <w:r>
        <w:separator/>
      </w:r>
    </w:p>
  </w:endnote>
  <w:endnote w:type="continuationSeparator" w:id="0">
    <w:p w14:paraId="2686A77D" w14:textId="77777777" w:rsidR="00776373" w:rsidRDefault="00776373" w:rsidP="0082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649638950"/>
      <w:docPartObj>
        <w:docPartGallery w:val="Page Numbers (Bottom of Page)"/>
        <w:docPartUnique/>
      </w:docPartObj>
    </w:sdtPr>
    <w:sdtContent>
      <w:p w14:paraId="75FF93AA" w14:textId="2EEE9F27" w:rsidR="00F83B03" w:rsidRDefault="00F83B03" w:rsidP="00E7045E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0DEE7BF7" w14:textId="77777777" w:rsidR="00F83B03" w:rsidRDefault="00F83B03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772396644"/>
      <w:docPartObj>
        <w:docPartGallery w:val="Page Numbers (Bottom of Page)"/>
        <w:docPartUnique/>
      </w:docPartObj>
    </w:sdtPr>
    <w:sdtContent>
      <w:p w14:paraId="3482EFFB" w14:textId="41FF258C" w:rsidR="00F83B03" w:rsidRDefault="00F83B03" w:rsidP="00E7045E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3</w:t>
        </w:r>
        <w:r>
          <w:rPr>
            <w:rStyle w:val="af6"/>
          </w:rPr>
          <w:fldChar w:fldCharType="end"/>
        </w:r>
      </w:p>
    </w:sdtContent>
  </w:sdt>
  <w:p w14:paraId="23281341" w14:textId="76414BA0" w:rsidR="00F83B03" w:rsidRDefault="00F83B03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  <w:color w:val="FFFFFF" w:themeColor="background1"/>
      </w:rPr>
      <w:id w:val="-1130707233"/>
      <w:docPartObj>
        <w:docPartGallery w:val="Page Numbers (Bottom of Page)"/>
        <w:docPartUnique/>
      </w:docPartObj>
    </w:sdtPr>
    <w:sdtContent>
      <w:p w14:paraId="15BB75E7" w14:textId="67AAEF7B" w:rsidR="00F83B03" w:rsidRPr="00F83B03" w:rsidRDefault="00F83B03" w:rsidP="00E7045E">
        <w:pPr>
          <w:pStyle w:val="af4"/>
          <w:framePr w:wrap="none" w:vAnchor="text" w:hAnchor="margin" w:xAlign="center" w:y="1"/>
          <w:rPr>
            <w:rStyle w:val="af6"/>
            <w:color w:val="FFFFFF" w:themeColor="background1"/>
          </w:rPr>
        </w:pPr>
        <w:r w:rsidRPr="00F83B03">
          <w:rPr>
            <w:rStyle w:val="af6"/>
            <w:color w:val="FFFFFF" w:themeColor="background1"/>
          </w:rPr>
          <w:fldChar w:fldCharType="begin"/>
        </w:r>
        <w:r w:rsidRPr="00F83B03">
          <w:rPr>
            <w:rStyle w:val="af6"/>
            <w:color w:val="FFFFFF" w:themeColor="background1"/>
          </w:rPr>
          <w:instrText xml:space="preserve"> PAGE </w:instrText>
        </w:r>
        <w:r w:rsidRPr="00F83B03">
          <w:rPr>
            <w:rStyle w:val="af6"/>
            <w:color w:val="FFFFFF" w:themeColor="background1"/>
          </w:rPr>
          <w:fldChar w:fldCharType="separate"/>
        </w:r>
        <w:r w:rsidRPr="00F83B03">
          <w:rPr>
            <w:rStyle w:val="af6"/>
            <w:noProof/>
            <w:color w:val="FFFFFF" w:themeColor="background1"/>
          </w:rPr>
          <w:t>1</w:t>
        </w:r>
        <w:r w:rsidRPr="00F83B03">
          <w:rPr>
            <w:rStyle w:val="af6"/>
            <w:color w:val="FFFFFF" w:themeColor="background1"/>
          </w:rPr>
          <w:fldChar w:fldCharType="end"/>
        </w:r>
      </w:p>
    </w:sdtContent>
  </w:sdt>
  <w:p w14:paraId="26A0DF68" w14:textId="7D5697E2" w:rsidR="00F83B03" w:rsidRPr="00F83B03" w:rsidRDefault="00F83B03" w:rsidP="00F83B03">
    <w:pPr>
      <w:pStyle w:val="af4"/>
      <w:jc w:val="center"/>
      <w:rPr>
        <w:b/>
        <w:bCs/>
        <w:color w:val="000000" w:themeColor="text1"/>
      </w:rPr>
    </w:pPr>
    <w:r>
      <w:rPr>
        <w:b/>
        <w:bCs/>
        <w:color w:val="000000" w:themeColor="text1"/>
      </w:rPr>
      <w:t>Казань — 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  <w:color w:val="000000" w:themeColor="text1"/>
      </w:rPr>
      <w:id w:val="1369105760"/>
      <w:docPartObj>
        <w:docPartGallery w:val="Page Numbers (Bottom of Page)"/>
        <w:docPartUnique/>
      </w:docPartObj>
    </w:sdtPr>
    <w:sdtContent>
      <w:p w14:paraId="011C7208" w14:textId="77777777" w:rsidR="00F83B03" w:rsidRPr="00F83B03" w:rsidRDefault="00F83B03" w:rsidP="00E7045E">
        <w:pPr>
          <w:pStyle w:val="af4"/>
          <w:framePr w:wrap="none" w:vAnchor="text" w:hAnchor="margin" w:xAlign="center" w:y="1"/>
          <w:rPr>
            <w:rStyle w:val="af6"/>
            <w:color w:val="000000" w:themeColor="text1"/>
          </w:rPr>
        </w:pPr>
        <w:r w:rsidRPr="00F83B03">
          <w:rPr>
            <w:rStyle w:val="af6"/>
            <w:color w:val="000000" w:themeColor="text1"/>
          </w:rPr>
          <w:fldChar w:fldCharType="begin"/>
        </w:r>
        <w:r w:rsidRPr="00F83B03">
          <w:rPr>
            <w:rStyle w:val="af6"/>
            <w:color w:val="000000" w:themeColor="text1"/>
          </w:rPr>
          <w:instrText xml:space="preserve"> PAGE </w:instrText>
        </w:r>
        <w:r w:rsidRPr="00F83B03">
          <w:rPr>
            <w:rStyle w:val="af6"/>
            <w:color w:val="000000" w:themeColor="text1"/>
          </w:rPr>
          <w:fldChar w:fldCharType="separate"/>
        </w:r>
        <w:r w:rsidRPr="00F83B03">
          <w:rPr>
            <w:rStyle w:val="af6"/>
            <w:noProof/>
            <w:color w:val="000000" w:themeColor="text1"/>
          </w:rPr>
          <w:t>1</w:t>
        </w:r>
        <w:r w:rsidRPr="00F83B03">
          <w:rPr>
            <w:rStyle w:val="af6"/>
            <w:color w:val="000000" w:themeColor="text1"/>
          </w:rPr>
          <w:fldChar w:fldCharType="end"/>
        </w:r>
      </w:p>
    </w:sdtContent>
  </w:sdt>
  <w:p w14:paraId="3E743B2E" w14:textId="77777777" w:rsidR="00F83B03" w:rsidRPr="00F83B03" w:rsidRDefault="00F83B03" w:rsidP="00F83B03">
    <w:pPr>
      <w:pStyle w:val="af4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3C84" w14:textId="77777777" w:rsidR="00776373" w:rsidRDefault="00776373" w:rsidP="008279A9">
      <w:r>
        <w:separator/>
      </w:r>
    </w:p>
  </w:footnote>
  <w:footnote w:type="continuationSeparator" w:id="0">
    <w:p w14:paraId="0D9332CD" w14:textId="77777777" w:rsidR="00776373" w:rsidRDefault="00776373" w:rsidP="008279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7D4"/>
    <w:multiLevelType w:val="multilevel"/>
    <w:tmpl w:val="82F8D6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C7BE3"/>
    <w:multiLevelType w:val="hybridMultilevel"/>
    <w:tmpl w:val="1EBC957A"/>
    <w:lvl w:ilvl="0" w:tplc="AC00E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54ADD"/>
    <w:multiLevelType w:val="hybridMultilevel"/>
    <w:tmpl w:val="A2D672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F13DD1"/>
    <w:multiLevelType w:val="multilevel"/>
    <w:tmpl w:val="646AB25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23BA3"/>
    <w:multiLevelType w:val="multilevel"/>
    <w:tmpl w:val="5E58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052D3"/>
    <w:multiLevelType w:val="multilevel"/>
    <w:tmpl w:val="77766BC0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5256174"/>
    <w:multiLevelType w:val="multilevel"/>
    <w:tmpl w:val="E03AB81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75703"/>
    <w:multiLevelType w:val="multilevel"/>
    <w:tmpl w:val="9FCA7A1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A2984"/>
    <w:multiLevelType w:val="multilevel"/>
    <w:tmpl w:val="E86882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300F6"/>
    <w:multiLevelType w:val="hybridMultilevel"/>
    <w:tmpl w:val="54300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9121F"/>
    <w:multiLevelType w:val="multilevel"/>
    <w:tmpl w:val="14B22E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0691AD9"/>
    <w:multiLevelType w:val="multilevel"/>
    <w:tmpl w:val="8016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56B3B"/>
    <w:multiLevelType w:val="multilevel"/>
    <w:tmpl w:val="EB9087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6582360"/>
    <w:multiLevelType w:val="multilevel"/>
    <w:tmpl w:val="AEB28D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4" w15:restartNumberingAfterBreak="0">
    <w:nsid w:val="578C57ED"/>
    <w:multiLevelType w:val="multilevel"/>
    <w:tmpl w:val="D4C8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65E00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87A07FD"/>
    <w:multiLevelType w:val="multilevel"/>
    <w:tmpl w:val="6386738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E3FBB"/>
    <w:multiLevelType w:val="hybridMultilevel"/>
    <w:tmpl w:val="DC3EF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D6786"/>
    <w:multiLevelType w:val="multilevel"/>
    <w:tmpl w:val="93DE154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77C2F"/>
    <w:multiLevelType w:val="multilevel"/>
    <w:tmpl w:val="C32E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A2D52"/>
    <w:multiLevelType w:val="multilevel"/>
    <w:tmpl w:val="B9DA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96694"/>
    <w:multiLevelType w:val="multilevel"/>
    <w:tmpl w:val="EF6A53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B2294"/>
    <w:multiLevelType w:val="multilevel"/>
    <w:tmpl w:val="8A9640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839803">
    <w:abstractNumId w:val="5"/>
  </w:num>
  <w:num w:numId="2" w16cid:durableId="1040201627">
    <w:abstractNumId w:val="19"/>
  </w:num>
  <w:num w:numId="3" w16cid:durableId="972757435">
    <w:abstractNumId w:val="22"/>
    <w:lvlOverride w:ilvl="0">
      <w:lvl w:ilvl="0">
        <w:numFmt w:val="decimal"/>
        <w:lvlText w:val="%1."/>
        <w:lvlJc w:val="left"/>
      </w:lvl>
    </w:lvlOverride>
  </w:num>
  <w:num w:numId="4" w16cid:durableId="936324120">
    <w:abstractNumId w:val="22"/>
    <w:lvlOverride w:ilvl="0">
      <w:lvl w:ilvl="0">
        <w:numFmt w:val="decimal"/>
        <w:lvlText w:val="%1."/>
        <w:lvlJc w:val="left"/>
      </w:lvl>
    </w:lvlOverride>
  </w:num>
  <w:num w:numId="5" w16cid:durableId="1929847058">
    <w:abstractNumId w:val="22"/>
    <w:lvlOverride w:ilvl="0">
      <w:lvl w:ilvl="0">
        <w:numFmt w:val="decimal"/>
        <w:lvlText w:val="%1."/>
        <w:lvlJc w:val="left"/>
      </w:lvl>
    </w:lvlOverride>
  </w:num>
  <w:num w:numId="6" w16cid:durableId="601184229">
    <w:abstractNumId w:val="22"/>
    <w:lvlOverride w:ilvl="0">
      <w:lvl w:ilvl="0">
        <w:numFmt w:val="decimal"/>
        <w:lvlText w:val="%1."/>
        <w:lvlJc w:val="left"/>
      </w:lvl>
    </w:lvlOverride>
  </w:num>
  <w:num w:numId="7" w16cid:durableId="1658879131">
    <w:abstractNumId w:val="22"/>
    <w:lvlOverride w:ilvl="0">
      <w:lvl w:ilvl="0">
        <w:numFmt w:val="decimal"/>
        <w:lvlText w:val="%1."/>
        <w:lvlJc w:val="left"/>
      </w:lvl>
    </w:lvlOverride>
  </w:num>
  <w:num w:numId="8" w16cid:durableId="14960677">
    <w:abstractNumId w:val="22"/>
    <w:lvlOverride w:ilvl="0">
      <w:lvl w:ilvl="0">
        <w:numFmt w:val="decimal"/>
        <w:lvlText w:val="%1."/>
        <w:lvlJc w:val="left"/>
      </w:lvl>
    </w:lvlOverride>
  </w:num>
  <w:num w:numId="9" w16cid:durableId="721635841">
    <w:abstractNumId w:val="22"/>
    <w:lvlOverride w:ilvl="0">
      <w:lvl w:ilvl="0">
        <w:numFmt w:val="decimal"/>
        <w:lvlText w:val="%1."/>
        <w:lvlJc w:val="left"/>
      </w:lvl>
    </w:lvlOverride>
  </w:num>
  <w:num w:numId="10" w16cid:durableId="143205966">
    <w:abstractNumId w:val="22"/>
    <w:lvlOverride w:ilvl="0">
      <w:lvl w:ilvl="0">
        <w:numFmt w:val="decimal"/>
        <w:lvlText w:val="%1."/>
        <w:lvlJc w:val="left"/>
      </w:lvl>
    </w:lvlOverride>
  </w:num>
  <w:num w:numId="11" w16cid:durableId="932203468">
    <w:abstractNumId w:val="22"/>
    <w:lvlOverride w:ilvl="0">
      <w:lvl w:ilvl="0">
        <w:numFmt w:val="decimal"/>
        <w:lvlText w:val="%1."/>
        <w:lvlJc w:val="left"/>
      </w:lvl>
    </w:lvlOverride>
  </w:num>
  <w:num w:numId="12" w16cid:durableId="1005134522">
    <w:abstractNumId w:val="22"/>
    <w:lvlOverride w:ilvl="0">
      <w:lvl w:ilvl="0">
        <w:numFmt w:val="decimal"/>
        <w:lvlText w:val="%1."/>
        <w:lvlJc w:val="left"/>
      </w:lvl>
    </w:lvlOverride>
  </w:num>
  <w:num w:numId="13" w16cid:durableId="1045640602">
    <w:abstractNumId w:val="22"/>
    <w:lvlOverride w:ilvl="0">
      <w:lvl w:ilvl="0">
        <w:numFmt w:val="decimal"/>
        <w:lvlText w:val="%1."/>
        <w:lvlJc w:val="left"/>
      </w:lvl>
    </w:lvlOverride>
  </w:num>
  <w:num w:numId="14" w16cid:durableId="1293244380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1428887640">
    <w:abstractNumId w:val="22"/>
    <w:lvlOverride w:ilvl="0">
      <w:lvl w:ilvl="0">
        <w:numFmt w:val="decimal"/>
        <w:lvlText w:val="%1."/>
        <w:lvlJc w:val="left"/>
      </w:lvl>
    </w:lvlOverride>
  </w:num>
  <w:num w:numId="16" w16cid:durableId="743065730">
    <w:abstractNumId w:val="22"/>
    <w:lvlOverride w:ilvl="0">
      <w:lvl w:ilvl="0">
        <w:numFmt w:val="decimal"/>
        <w:lvlText w:val="%1."/>
        <w:lvlJc w:val="left"/>
      </w:lvl>
    </w:lvlOverride>
  </w:num>
  <w:num w:numId="17" w16cid:durableId="174346653">
    <w:abstractNumId w:val="18"/>
    <w:lvlOverride w:ilvl="0">
      <w:lvl w:ilvl="0">
        <w:numFmt w:val="decimal"/>
        <w:lvlText w:val="%1."/>
        <w:lvlJc w:val="left"/>
      </w:lvl>
    </w:lvlOverride>
  </w:num>
  <w:num w:numId="18" w16cid:durableId="1078477594">
    <w:abstractNumId w:val="18"/>
    <w:lvlOverride w:ilvl="0">
      <w:lvl w:ilvl="0">
        <w:numFmt w:val="decimal"/>
        <w:lvlText w:val="%1."/>
        <w:lvlJc w:val="left"/>
      </w:lvl>
    </w:lvlOverride>
  </w:num>
  <w:num w:numId="19" w16cid:durableId="390419739">
    <w:abstractNumId w:val="18"/>
    <w:lvlOverride w:ilvl="0">
      <w:lvl w:ilvl="0">
        <w:numFmt w:val="decimal"/>
        <w:lvlText w:val="%1."/>
        <w:lvlJc w:val="left"/>
      </w:lvl>
    </w:lvlOverride>
  </w:num>
  <w:num w:numId="20" w16cid:durableId="312023800">
    <w:abstractNumId w:val="18"/>
    <w:lvlOverride w:ilvl="0">
      <w:lvl w:ilvl="0">
        <w:numFmt w:val="decimal"/>
        <w:lvlText w:val="%1."/>
        <w:lvlJc w:val="left"/>
      </w:lvl>
    </w:lvlOverride>
  </w:num>
  <w:num w:numId="21" w16cid:durableId="723679370">
    <w:abstractNumId w:val="18"/>
    <w:lvlOverride w:ilvl="0">
      <w:lvl w:ilvl="0">
        <w:numFmt w:val="decimal"/>
        <w:lvlText w:val="%1."/>
        <w:lvlJc w:val="left"/>
      </w:lvl>
    </w:lvlOverride>
  </w:num>
  <w:num w:numId="22" w16cid:durableId="1231421728">
    <w:abstractNumId w:val="18"/>
    <w:lvlOverride w:ilvl="0">
      <w:lvl w:ilvl="0">
        <w:numFmt w:val="decimal"/>
        <w:lvlText w:val="%1."/>
        <w:lvlJc w:val="left"/>
      </w:lvl>
    </w:lvlOverride>
  </w:num>
  <w:num w:numId="23" w16cid:durableId="388192302">
    <w:abstractNumId w:val="16"/>
    <w:lvlOverride w:ilvl="0">
      <w:lvl w:ilvl="0">
        <w:numFmt w:val="decimal"/>
        <w:lvlText w:val="%1."/>
        <w:lvlJc w:val="left"/>
      </w:lvl>
    </w:lvlOverride>
  </w:num>
  <w:num w:numId="24" w16cid:durableId="1010139059">
    <w:abstractNumId w:val="16"/>
    <w:lvlOverride w:ilvl="0">
      <w:lvl w:ilvl="0">
        <w:numFmt w:val="decimal"/>
        <w:lvlText w:val="%1."/>
        <w:lvlJc w:val="left"/>
      </w:lvl>
    </w:lvlOverride>
  </w:num>
  <w:num w:numId="25" w16cid:durableId="1434059066">
    <w:abstractNumId w:val="16"/>
    <w:lvlOverride w:ilvl="0">
      <w:lvl w:ilvl="0">
        <w:numFmt w:val="decimal"/>
        <w:lvlText w:val="%1."/>
        <w:lvlJc w:val="left"/>
      </w:lvl>
    </w:lvlOverride>
  </w:num>
  <w:num w:numId="26" w16cid:durableId="300382468">
    <w:abstractNumId w:val="16"/>
    <w:lvlOverride w:ilvl="0">
      <w:lvl w:ilvl="0">
        <w:numFmt w:val="decimal"/>
        <w:lvlText w:val="%1."/>
        <w:lvlJc w:val="left"/>
      </w:lvl>
    </w:lvlOverride>
  </w:num>
  <w:num w:numId="27" w16cid:durableId="535771855">
    <w:abstractNumId w:val="16"/>
    <w:lvlOverride w:ilvl="0">
      <w:lvl w:ilvl="0">
        <w:numFmt w:val="decimal"/>
        <w:lvlText w:val="%1."/>
        <w:lvlJc w:val="left"/>
      </w:lvl>
    </w:lvlOverride>
  </w:num>
  <w:num w:numId="28" w16cid:durableId="556598906">
    <w:abstractNumId w:val="16"/>
    <w:lvlOverride w:ilvl="0">
      <w:lvl w:ilvl="0">
        <w:numFmt w:val="decimal"/>
        <w:lvlText w:val="%1."/>
        <w:lvlJc w:val="left"/>
      </w:lvl>
    </w:lvlOverride>
  </w:num>
  <w:num w:numId="29" w16cid:durableId="1773820078">
    <w:abstractNumId w:val="16"/>
    <w:lvlOverride w:ilvl="0">
      <w:lvl w:ilvl="0">
        <w:numFmt w:val="decimal"/>
        <w:lvlText w:val="%1."/>
        <w:lvlJc w:val="left"/>
      </w:lvl>
    </w:lvlOverride>
  </w:num>
  <w:num w:numId="30" w16cid:durableId="1175533546">
    <w:abstractNumId w:val="16"/>
    <w:lvlOverride w:ilvl="0">
      <w:lvl w:ilvl="0">
        <w:numFmt w:val="decimal"/>
        <w:lvlText w:val="%1."/>
        <w:lvlJc w:val="left"/>
      </w:lvl>
    </w:lvlOverride>
  </w:num>
  <w:num w:numId="31" w16cid:durableId="1010378673">
    <w:abstractNumId w:val="16"/>
    <w:lvlOverride w:ilvl="0">
      <w:lvl w:ilvl="0">
        <w:numFmt w:val="decimal"/>
        <w:lvlText w:val="%1."/>
        <w:lvlJc w:val="left"/>
      </w:lvl>
    </w:lvlOverride>
  </w:num>
  <w:num w:numId="32" w16cid:durableId="744492930">
    <w:abstractNumId w:val="16"/>
    <w:lvlOverride w:ilvl="0">
      <w:lvl w:ilvl="0">
        <w:numFmt w:val="decimal"/>
        <w:lvlText w:val="%1."/>
        <w:lvlJc w:val="left"/>
      </w:lvl>
    </w:lvlOverride>
  </w:num>
  <w:num w:numId="33" w16cid:durableId="1612473464">
    <w:abstractNumId w:val="16"/>
    <w:lvlOverride w:ilvl="0">
      <w:lvl w:ilvl="0">
        <w:numFmt w:val="decimal"/>
        <w:lvlText w:val="%1."/>
        <w:lvlJc w:val="left"/>
      </w:lvl>
    </w:lvlOverride>
  </w:num>
  <w:num w:numId="34" w16cid:durableId="941574227">
    <w:abstractNumId w:val="17"/>
  </w:num>
  <w:num w:numId="35" w16cid:durableId="1575704647">
    <w:abstractNumId w:val="15"/>
  </w:num>
  <w:num w:numId="36" w16cid:durableId="1723942116">
    <w:abstractNumId w:val="9"/>
  </w:num>
  <w:num w:numId="37" w16cid:durableId="900672144">
    <w:abstractNumId w:val="2"/>
  </w:num>
  <w:num w:numId="38" w16cid:durableId="1880894658">
    <w:abstractNumId w:val="13"/>
  </w:num>
  <w:num w:numId="39" w16cid:durableId="1798641776">
    <w:abstractNumId w:val="14"/>
  </w:num>
  <w:num w:numId="40" w16cid:durableId="784075715">
    <w:abstractNumId w:val="8"/>
    <w:lvlOverride w:ilvl="0">
      <w:lvl w:ilvl="0">
        <w:numFmt w:val="decimal"/>
        <w:lvlText w:val="%1."/>
        <w:lvlJc w:val="left"/>
      </w:lvl>
    </w:lvlOverride>
  </w:num>
  <w:num w:numId="41" w16cid:durableId="1369717237">
    <w:abstractNumId w:val="8"/>
    <w:lvlOverride w:ilvl="0">
      <w:lvl w:ilvl="0">
        <w:numFmt w:val="decimal"/>
        <w:lvlText w:val="%1."/>
        <w:lvlJc w:val="left"/>
      </w:lvl>
    </w:lvlOverride>
  </w:num>
  <w:num w:numId="42" w16cid:durableId="1704675181">
    <w:abstractNumId w:val="8"/>
    <w:lvlOverride w:ilvl="0">
      <w:lvl w:ilvl="0">
        <w:numFmt w:val="decimal"/>
        <w:lvlText w:val="%1."/>
        <w:lvlJc w:val="left"/>
      </w:lvl>
    </w:lvlOverride>
  </w:num>
  <w:num w:numId="43" w16cid:durableId="1926189424">
    <w:abstractNumId w:val="8"/>
    <w:lvlOverride w:ilvl="0">
      <w:lvl w:ilvl="0">
        <w:numFmt w:val="decimal"/>
        <w:lvlText w:val="%1."/>
        <w:lvlJc w:val="left"/>
      </w:lvl>
    </w:lvlOverride>
  </w:num>
  <w:num w:numId="44" w16cid:durableId="2127580415">
    <w:abstractNumId w:val="0"/>
    <w:lvlOverride w:ilvl="0">
      <w:lvl w:ilvl="0">
        <w:numFmt w:val="decimal"/>
        <w:lvlText w:val="%1."/>
        <w:lvlJc w:val="left"/>
      </w:lvl>
    </w:lvlOverride>
  </w:num>
  <w:num w:numId="45" w16cid:durableId="174731045">
    <w:abstractNumId w:val="0"/>
    <w:lvlOverride w:ilvl="0">
      <w:lvl w:ilvl="0">
        <w:numFmt w:val="decimal"/>
        <w:lvlText w:val="%1."/>
        <w:lvlJc w:val="left"/>
      </w:lvl>
    </w:lvlOverride>
  </w:num>
  <w:num w:numId="46" w16cid:durableId="1018847717">
    <w:abstractNumId w:val="0"/>
    <w:lvlOverride w:ilvl="0">
      <w:lvl w:ilvl="0">
        <w:numFmt w:val="decimal"/>
        <w:lvlText w:val="%1."/>
        <w:lvlJc w:val="left"/>
      </w:lvl>
    </w:lvlOverride>
  </w:num>
  <w:num w:numId="47" w16cid:durableId="1474909850">
    <w:abstractNumId w:val="3"/>
    <w:lvlOverride w:ilvl="0">
      <w:lvl w:ilvl="0">
        <w:numFmt w:val="decimal"/>
        <w:lvlText w:val="%1."/>
        <w:lvlJc w:val="left"/>
      </w:lvl>
    </w:lvlOverride>
  </w:num>
  <w:num w:numId="48" w16cid:durableId="239411849">
    <w:abstractNumId w:val="3"/>
    <w:lvlOverride w:ilvl="0">
      <w:lvl w:ilvl="0">
        <w:numFmt w:val="decimal"/>
        <w:lvlText w:val="%1."/>
        <w:lvlJc w:val="left"/>
      </w:lvl>
    </w:lvlOverride>
  </w:num>
  <w:num w:numId="49" w16cid:durableId="485516161">
    <w:abstractNumId w:val="3"/>
    <w:lvlOverride w:ilvl="0">
      <w:lvl w:ilvl="0">
        <w:numFmt w:val="decimal"/>
        <w:lvlText w:val="%1."/>
        <w:lvlJc w:val="left"/>
      </w:lvl>
    </w:lvlOverride>
  </w:num>
  <w:num w:numId="50" w16cid:durableId="289365272">
    <w:abstractNumId w:val="3"/>
    <w:lvlOverride w:ilvl="0">
      <w:lvl w:ilvl="0">
        <w:numFmt w:val="decimal"/>
        <w:lvlText w:val="%1."/>
        <w:lvlJc w:val="left"/>
      </w:lvl>
    </w:lvlOverride>
  </w:num>
  <w:num w:numId="51" w16cid:durableId="224341307">
    <w:abstractNumId w:val="3"/>
    <w:lvlOverride w:ilvl="0">
      <w:lvl w:ilvl="0">
        <w:numFmt w:val="decimal"/>
        <w:lvlText w:val="%1."/>
        <w:lvlJc w:val="left"/>
      </w:lvl>
    </w:lvlOverride>
  </w:num>
  <w:num w:numId="52" w16cid:durableId="1409959888">
    <w:abstractNumId w:val="3"/>
    <w:lvlOverride w:ilvl="0">
      <w:lvl w:ilvl="0">
        <w:numFmt w:val="decimal"/>
        <w:lvlText w:val="%1."/>
        <w:lvlJc w:val="left"/>
      </w:lvl>
    </w:lvlOverride>
  </w:num>
  <w:num w:numId="53" w16cid:durableId="1719084861">
    <w:abstractNumId w:val="21"/>
    <w:lvlOverride w:ilvl="0">
      <w:lvl w:ilvl="0">
        <w:numFmt w:val="decimal"/>
        <w:lvlText w:val="%1."/>
        <w:lvlJc w:val="left"/>
      </w:lvl>
    </w:lvlOverride>
  </w:num>
  <w:num w:numId="54" w16cid:durableId="779642060">
    <w:abstractNumId w:val="21"/>
    <w:lvlOverride w:ilvl="0">
      <w:lvl w:ilvl="0">
        <w:numFmt w:val="decimal"/>
        <w:lvlText w:val="%1."/>
        <w:lvlJc w:val="left"/>
      </w:lvl>
    </w:lvlOverride>
  </w:num>
  <w:num w:numId="55" w16cid:durableId="479272628">
    <w:abstractNumId w:val="21"/>
    <w:lvlOverride w:ilvl="0">
      <w:lvl w:ilvl="0">
        <w:numFmt w:val="decimal"/>
        <w:lvlText w:val="%1."/>
        <w:lvlJc w:val="left"/>
      </w:lvl>
    </w:lvlOverride>
  </w:num>
  <w:num w:numId="56" w16cid:durableId="2005082013">
    <w:abstractNumId w:val="7"/>
    <w:lvlOverride w:ilvl="0">
      <w:lvl w:ilvl="0">
        <w:numFmt w:val="decimal"/>
        <w:lvlText w:val="%1."/>
        <w:lvlJc w:val="left"/>
      </w:lvl>
    </w:lvlOverride>
  </w:num>
  <w:num w:numId="57" w16cid:durableId="621692108">
    <w:abstractNumId w:val="7"/>
    <w:lvlOverride w:ilvl="0">
      <w:lvl w:ilvl="0">
        <w:numFmt w:val="decimal"/>
        <w:lvlText w:val="%1."/>
        <w:lvlJc w:val="left"/>
      </w:lvl>
    </w:lvlOverride>
  </w:num>
  <w:num w:numId="58" w16cid:durableId="332681225">
    <w:abstractNumId w:val="7"/>
    <w:lvlOverride w:ilvl="0">
      <w:lvl w:ilvl="0">
        <w:numFmt w:val="decimal"/>
        <w:lvlText w:val="%1."/>
        <w:lvlJc w:val="left"/>
      </w:lvl>
    </w:lvlOverride>
  </w:num>
  <w:num w:numId="59" w16cid:durableId="1293827457">
    <w:abstractNumId w:val="7"/>
    <w:lvlOverride w:ilvl="0">
      <w:lvl w:ilvl="0">
        <w:numFmt w:val="decimal"/>
        <w:lvlText w:val="%1."/>
        <w:lvlJc w:val="left"/>
      </w:lvl>
    </w:lvlOverride>
  </w:num>
  <w:num w:numId="60" w16cid:durableId="789400505">
    <w:abstractNumId w:val="7"/>
    <w:lvlOverride w:ilvl="0">
      <w:lvl w:ilvl="0">
        <w:numFmt w:val="decimal"/>
        <w:lvlText w:val="%1."/>
        <w:lvlJc w:val="left"/>
      </w:lvl>
    </w:lvlOverride>
  </w:num>
  <w:num w:numId="61" w16cid:durableId="1208033821">
    <w:abstractNumId w:val="6"/>
    <w:lvlOverride w:ilvl="0">
      <w:lvl w:ilvl="0">
        <w:numFmt w:val="decimal"/>
        <w:lvlText w:val="%1."/>
        <w:lvlJc w:val="left"/>
      </w:lvl>
    </w:lvlOverride>
  </w:num>
  <w:num w:numId="62" w16cid:durableId="1099448612">
    <w:abstractNumId w:val="6"/>
    <w:lvlOverride w:ilvl="0">
      <w:lvl w:ilvl="0">
        <w:numFmt w:val="decimal"/>
        <w:lvlText w:val="%1."/>
        <w:lvlJc w:val="left"/>
      </w:lvl>
    </w:lvlOverride>
  </w:num>
  <w:num w:numId="63" w16cid:durableId="386799756">
    <w:abstractNumId w:val="6"/>
    <w:lvlOverride w:ilvl="0">
      <w:lvl w:ilvl="0">
        <w:numFmt w:val="decimal"/>
        <w:lvlText w:val="%1."/>
        <w:lvlJc w:val="left"/>
      </w:lvl>
    </w:lvlOverride>
  </w:num>
  <w:num w:numId="64" w16cid:durableId="2118330165">
    <w:abstractNumId w:val="6"/>
    <w:lvlOverride w:ilvl="0">
      <w:lvl w:ilvl="0">
        <w:numFmt w:val="decimal"/>
        <w:lvlText w:val="%1."/>
        <w:lvlJc w:val="left"/>
      </w:lvl>
    </w:lvlOverride>
  </w:num>
  <w:num w:numId="65" w16cid:durableId="1996252344">
    <w:abstractNumId w:val="4"/>
  </w:num>
  <w:num w:numId="66" w16cid:durableId="706031721">
    <w:abstractNumId w:val="12"/>
  </w:num>
  <w:num w:numId="67" w16cid:durableId="1364213573">
    <w:abstractNumId w:val="10"/>
  </w:num>
  <w:num w:numId="68" w16cid:durableId="1323201216">
    <w:abstractNumId w:val="11"/>
  </w:num>
  <w:num w:numId="69" w16cid:durableId="1566527227">
    <w:abstractNumId w:val="20"/>
  </w:num>
  <w:num w:numId="70" w16cid:durableId="683630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99"/>
    <w:rsid w:val="00006D76"/>
    <w:rsid w:val="00021417"/>
    <w:rsid w:val="00072D74"/>
    <w:rsid w:val="000A12F6"/>
    <w:rsid w:val="00145B80"/>
    <w:rsid w:val="001D40CA"/>
    <w:rsid w:val="0024426F"/>
    <w:rsid w:val="002557DE"/>
    <w:rsid w:val="00276E36"/>
    <w:rsid w:val="00293C89"/>
    <w:rsid w:val="002C277C"/>
    <w:rsid w:val="002E39EC"/>
    <w:rsid w:val="002F64A8"/>
    <w:rsid w:val="003744B5"/>
    <w:rsid w:val="00386432"/>
    <w:rsid w:val="004341F4"/>
    <w:rsid w:val="004646E1"/>
    <w:rsid w:val="0048437E"/>
    <w:rsid w:val="004A5369"/>
    <w:rsid w:val="004D342B"/>
    <w:rsid w:val="0055127A"/>
    <w:rsid w:val="0055527E"/>
    <w:rsid w:val="005B45A0"/>
    <w:rsid w:val="005D3E41"/>
    <w:rsid w:val="00621212"/>
    <w:rsid w:val="006306B6"/>
    <w:rsid w:val="006B7F81"/>
    <w:rsid w:val="006D1E1A"/>
    <w:rsid w:val="00763F16"/>
    <w:rsid w:val="00776373"/>
    <w:rsid w:val="00793478"/>
    <w:rsid w:val="007D7117"/>
    <w:rsid w:val="008107BB"/>
    <w:rsid w:val="00810A3C"/>
    <w:rsid w:val="008279A9"/>
    <w:rsid w:val="00862380"/>
    <w:rsid w:val="00892F11"/>
    <w:rsid w:val="008B0677"/>
    <w:rsid w:val="008B62D9"/>
    <w:rsid w:val="008D1718"/>
    <w:rsid w:val="008D7832"/>
    <w:rsid w:val="009A3C02"/>
    <w:rsid w:val="00A166FD"/>
    <w:rsid w:val="00A74B4C"/>
    <w:rsid w:val="00A92AF8"/>
    <w:rsid w:val="00C063D5"/>
    <w:rsid w:val="00C31B99"/>
    <w:rsid w:val="00C40B13"/>
    <w:rsid w:val="00CB0084"/>
    <w:rsid w:val="00CB298B"/>
    <w:rsid w:val="00CE4057"/>
    <w:rsid w:val="00D45634"/>
    <w:rsid w:val="00D72CA1"/>
    <w:rsid w:val="00D73E24"/>
    <w:rsid w:val="00D933CD"/>
    <w:rsid w:val="00DA00DD"/>
    <w:rsid w:val="00DF7328"/>
    <w:rsid w:val="00E135C0"/>
    <w:rsid w:val="00F07040"/>
    <w:rsid w:val="00F83B03"/>
    <w:rsid w:val="00FC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F31C2"/>
  <w15:chartTrackingRefBased/>
  <w15:docId w15:val="{D519EF6E-8758-6E4B-B8D3-DBA000CE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E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1B99"/>
    <w:pPr>
      <w:keepNext/>
      <w:keepLines/>
      <w:numPr>
        <w:numId w:val="35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B99"/>
    <w:pPr>
      <w:keepNext/>
      <w:keepLines/>
      <w:numPr>
        <w:ilvl w:val="1"/>
        <w:numId w:val="35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B99"/>
    <w:pPr>
      <w:keepNext/>
      <w:keepLines/>
      <w:numPr>
        <w:ilvl w:val="2"/>
        <w:numId w:val="35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B99"/>
    <w:pPr>
      <w:keepNext/>
      <w:keepLines/>
      <w:numPr>
        <w:ilvl w:val="3"/>
        <w:numId w:val="35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B99"/>
    <w:pPr>
      <w:keepNext/>
      <w:keepLines/>
      <w:numPr>
        <w:ilvl w:val="4"/>
        <w:numId w:val="35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B99"/>
    <w:pPr>
      <w:keepNext/>
      <w:keepLines/>
      <w:numPr>
        <w:ilvl w:val="5"/>
        <w:numId w:val="3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B99"/>
    <w:pPr>
      <w:keepNext/>
      <w:keepLines/>
      <w:numPr>
        <w:ilvl w:val="6"/>
        <w:numId w:val="3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B99"/>
    <w:pPr>
      <w:keepNext/>
      <w:keepLines/>
      <w:numPr>
        <w:ilvl w:val="7"/>
        <w:numId w:val="3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B99"/>
    <w:pPr>
      <w:keepNext/>
      <w:keepLines/>
      <w:numPr>
        <w:ilvl w:val="8"/>
        <w:numId w:val="3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B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B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B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B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B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B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B9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31B99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C31B99"/>
    <w:rPr>
      <w:b/>
      <w:bCs/>
    </w:rPr>
  </w:style>
  <w:style w:type="character" w:styleId="ae">
    <w:name w:val="Emphasis"/>
    <w:basedOn w:val="a0"/>
    <w:uiPriority w:val="20"/>
    <w:qFormat/>
    <w:rsid w:val="00C31B99"/>
    <w:rPr>
      <w:i/>
      <w:iCs/>
    </w:rPr>
  </w:style>
  <w:style w:type="character" w:customStyle="1" w:styleId="apple-converted-space">
    <w:name w:val="apple-converted-space"/>
    <w:basedOn w:val="a0"/>
    <w:rsid w:val="00C31B99"/>
  </w:style>
  <w:style w:type="character" w:styleId="af">
    <w:name w:val="Hyperlink"/>
    <w:basedOn w:val="a0"/>
    <w:uiPriority w:val="99"/>
    <w:semiHidden/>
    <w:unhideWhenUsed/>
    <w:rsid w:val="003744B5"/>
    <w:rPr>
      <w:color w:val="0000FF"/>
      <w:u w:val="single"/>
    </w:rPr>
  </w:style>
  <w:style w:type="paragraph" w:styleId="af0">
    <w:name w:val="Body Text"/>
    <w:basedOn w:val="a"/>
    <w:link w:val="af1"/>
    <w:uiPriority w:val="1"/>
    <w:qFormat/>
    <w:rsid w:val="008279A9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8279A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11">
    <w:name w:val="Заголовок 11"/>
    <w:basedOn w:val="a"/>
    <w:uiPriority w:val="1"/>
    <w:qFormat/>
    <w:rsid w:val="008279A9"/>
    <w:pPr>
      <w:widowControl w:val="0"/>
      <w:autoSpaceDE w:val="0"/>
      <w:autoSpaceDN w:val="0"/>
      <w:spacing w:before="70"/>
      <w:ind w:left="1210"/>
      <w:outlineLvl w:val="1"/>
    </w:pPr>
    <w:rPr>
      <w:b/>
      <w:bCs/>
      <w:sz w:val="28"/>
      <w:szCs w:val="28"/>
      <w:lang w:eastAsia="en-US"/>
    </w:rPr>
  </w:style>
  <w:style w:type="paragraph" w:styleId="af2">
    <w:name w:val="header"/>
    <w:basedOn w:val="a"/>
    <w:link w:val="af3"/>
    <w:uiPriority w:val="99"/>
    <w:unhideWhenUsed/>
    <w:rsid w:val="008279A9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8279A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footer"/>
    <w:basedOn w:val="a"/>
    <w:link w:val="af5"/>
    <w:uiPriority w:val="99"/>
    <w:unhideWhenUsed/>
    <w:rsid w:val="008279A9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8279A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page number"/>
    <w:basedOn w:val="a0"/>
    <w:uiPriority w:val="99"/>
    <w:semiHidden/>
    <w:unhideWhenUsed/>
    <w:rsid w:val="008279A9"/>
  </w:style>
  <w:style w:type="character" w:styleId="af7">
    <w:name w:val="FollowedHyperlink"/>
    <w:basedOn w:val="a0"/>
    <w:uiPriority w:val="99"/>
    <w:semiHidden/>
    <w:unhideWhenUsed/>
    <w:rsid w:val="00F070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br.ru/" TargetMode="External"/><Relationship Id="rId18" Type="http://schemas.openxmlformats.org/officeDocument/2006/relationships/hyperlink" Target="https://pravo.gov.ru/" TargetMode="External"/><Relationship Id="rId26" Type="http://schemas.openxmlformats.org/officeDocument/2006/relationships/hyperlink" Target="https://publishing-vak.ru/" TargetMode="External"/><Relationship Id="rId39" Type="http://schemas.openxmlformats.org/officeDocument/2006/relationships/hyperlink" Target="https://www.iso.org/standard/65036.html" TargetMode="External"/><Relationship Id="rId21" Type="http://schemas.openxmlformats.org/officeDocument/2006/relationships/hyperlink" Target="https://eng.rosstat.gov.ru/" TargetMode="External"/><Relationship Id="rId34" Type="http://schemas.openxmlformats.org/officeDocument/2006/relationships/hyperlink" Target="https://www.sberbank.com/ru/investor-relations/corporate-governance/code" TargetMode="External"/><Relationship Id="rId42" Type="http://schemas.openxmlformats.org/officeDocument/2006/relationships/hyperlink" Target="https://www.mckinsey.com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ravo.gov.ru/" TargetMode="External"/><Relationship Id="rId29" Type="http://schemas.openxmlformats.org/officeDocument/2006/relationships/hyperlink" Target="https://cyberleninka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hyperlink" Target="https://bigenc.ru/" TargetMode="External"/><Relationship Id="rId32" Type="http://schemas.openxmlformats.org/officeDocument/2006/relationships/hyperlink" Target="https://www.sberbank.com/ru/investor-relations/corporate-governance/annual-meeting-2025" TargetMode="External"/><Relationship Id="rId37" Type="http://schemas.openxmlformats.org/officeDocument/2006/relationships/hyperlink" Target="https://www.oecd.org/" TargetMode="External"/><Relationship Id="rId40" Type="http://schemas.openxmlformats.org/officeDocument/2006/relationships/hyperlink" Target="https://www.nature.com/articles/s41599-024-02952-3?utm_source=chatgpt.com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br.ru/issuers_corporate/development_corp_relations/" TargetMode="External"/><Relationship Id="rId23" Type="http://schemas.openxmlformats.org/officeDocument/2006/relationships/hyperlink" Target="https://bigenc.ru/" TargetMode="External"/><Relationship Id="rId28" Type="http://schemas.openxmlformats.org/officeDocument/2006/relationships/hyperlink" Target="https://cyberleninka.ru/" TargetMode="External"/><Relationship Id="rId36" Type="http://schemas.openxmlformats.org/officeDocument/2006/relationships/hyperlink" Target="https://www.sberbank.com/ru/investor-relations/disclosure/regulative-documents" TargetMode="External"/><Relationship Id="rId10" Type="http://schemas.openxmlformats.org/officeDocument/2006/relationships/footer" Target="footer3.xml"/><Relationship Id="rId19" Type="http://schemas.openxmlformats.org/officeDocument/2006/relationships/hyperlink" Target="https://fedstat.ru/" TargetMode="External"/><Relationship Id="rId31" Type="http://schemas.openxmlformats.org/officeDocument/2006/relationships/hyperlink" Target="https://cyberleninka.ru/" TargetMode="External"/><Relationship Id="rId44" Type="http://schemas.openxmlformats.org/officeDocument/2006/relationships/hyperlink" Target="https://www.sciencedirect.com/science/article/pii/S0167404824000099?utm_source=chatgpt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cbr.ru/" TargetMode="External"/><Relationship Id="rId22" Type="http://schemas.openxmlformats.org/officeDocument/2006/relationships/hyperlink" Target="https://rosstat.gov.ru/" TargetMode="External"/><Relationship Id="rId27" Type="http://schemas.openxmlformats.org/officeDocument/2006/relationships/hyperlink" Target="https://elibrary.ru/" TargetMode="External"/><Relationship Id="rId30" Type="http://schemas.openxmlformats.org/officeDocument/2006/relationships/hyperlink" Target="https://elibrary.ru/" TargetMode="External"/><Relationship Id="rId35" Type="http://schemas.openxmlformats.org/officeDocument/2006/relationships/hyperlink" Target="https://www.sberbank.com/ru/investor-relations/corporate-governance" TargetMode="External"/><Relationship Id="rId43" Type="http://schemas.openxmlformats.org/officeDocument/2006/relationships/hyperlink" Target="https://www.oecd.org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www.cbr.ru/" TargetMode="External"/><Relationship Id="rId17" Type="http://schemas.openxmlformats.org/officeDocument/2006/relationships/hyperlink" Target="https://pravo.gov.ru/" TargetMode="External"/><Relationship Id="rId25" Type="http://schemas.openxmlformats.org/officeDocument/2006/relationships/hyperlink" Target="https://e-biblio.ru/" TargetMode="External"/><Relationship Id="rId33" Type="http://schemas.openxmlformats.org/officeDocument/2006/relationships/hyperlink" Target="https://www.sberbank.com/ru/investor-relations/groupresults" TargetMode="External"/><Relationship Id="rId38" Type="http://schemas.openxmlformats.org/officeDocument/2006/relationships/hyperlink" Target="https://onlinelibrary.wiley.com/doi/10.1002/smj.3444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sberbank.com/ru/investor-relations/groupresults" TargetMode="External"/><Relationship Id="rId41" Type="http://schemas.openxmlformats.org/officeDocument/2006/relationships/hyperlink" Target="https://www.tandfonline.com/doi/full/10.1080/23311975.2023.2296698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5FDFCD-F1F4-9C4A-A7B9-3BDD75EC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65</Pages>
  <Words>15595</Words>
  <Characters>88894</Characters>
  <Application>Microsoft Office Word</Application>
  <DocSecurity>0</DocSecurity>
  <Lines>740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Рыбаков</dc:creator>
  <cp:keywords/>
  <dc:description/>
  <cp:lastModifiedBy>Олег Рыбаков</cp:lastModifiedBy>
  <cp:revision>3</cp:revision>
  <cp:lastPrinted>2025-11-02T07:32:00Z</cp:lastPrinted>
  <dcterms:created xsi:type="dcterms:W3CDTF">2025-11-02T07:32:00Z</dcterms:created>
  <dcterms:modified xsi:type="dcterms:W3CDTF">2025-11-02T08:19:00Z</dcterms:modified>
</cp:coreProperties>
</file>