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Актуальность проекта о современных форматах народного театра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Регион</w:t>
            </w:r>
          </w:p>
        </w:tc>
        <w:tc>
          <w:tcPr>
            <w:tcW w:type="dxa" w:w="4986"/>
          </w:tcPr>
          <w:p>
            <w:r>
              <w:t>Свердловская область</w:t>
            </w:r>
          </w:p>
        </w:tc>
      </w:tr>
      <w:tr>
        <w:tc>
          <w:tcPr>
            <w:tcW w:type="dxa" w:w="4986"/>
          </w:tcPr>
          <w:p>
            <w:r>
              <w:t>Направление</w:t>
            </w:r>
          </w:p>
        </w:tc>
        <w:tc>
          <w:tcPr>
            <w:tcW w:type="dxa" w:w="4986"/>
          </w:tcPr>
          <w:p>
            <w:r>
              <w:t>Театр</w:t>
            </w:r>
          </w:p>
        </w:tc>
      </w:tr>
      <w:tr>
        <w:tc>
          <w:tcPr>
            <w:tcW w:type="dxa" w:w="4986"/>
          </w:tcPr>
          <w:p>
            <w:r>
              <w:t>Целевая группа</w:t>
            </w:r>
          </w:p>
        </w:tc>
        <w:tc>
          <w:tcPr>
            <w:tcW w:type="dxa" w:w="4986"/>
          </w:tcPr>
          <w:p>
            <w:r>
              <w:t>Подростки и молодёжь 12–22 лет в городах-миллионниках</w:t>
            </w:r>
          </w:p>
        </w:tc>
      </w:tr>
    </w:tbl>
    <w:p>
      <w:pPr>
        <w:pStyle w:val="Heading2"/>
      </w:pPr>
      <w:r>
        <w:t>1. Исходная ситуация</w:t>
      </w:r>
    </w:p>
    <w:p>
      <w:r>
        <w:t>Целевая группа недостаточно знакома с доступными театральными форматами.</w:t>
      </w:r>
    </w:p>
    <w:p>
      <w:pPr>
        <w:pStyle w:val="Heading2"/>
      </w:pPr>
      <w:r>
        <w:t>2. Целевая группа</w:t>
      </w:r>
    </w:p>
    <w:p>
      <w:r>
        <w:t>Подростки и молодёжь 12–22 лет в городах-миллионниках</w:t>
      </w:r>
    </w:p>
    <w:p>
      <w:pPr>
        <w:pStyle w:val="Heading2"/>
      </w:pPr>
      <w:r>
        <w:t>3. Формулировка социальной проблемы</w:t>
      </w:r>
    </w:p>
    <w:p>
      <w:r>
        <w:t>Молодёжь плохо разбирается в современных форматах народного театра.</w:t>
      </w:r>
    </w:p>
    <w:p>
      <w:pPr>
        <w:pStyle w:val="Heading2"/>
      </w:pPr>
      <w:r>
        <w:t>4. Почему проблема значима</w:t>
      </w:r>
    </w:p>
    <w:p>
      <w:r>
        <w:t>Недостаток информации ограничивает осознанный выбор культурного досуга.</w:t>
      </w:r>
    </w:p>
    <w:p>
      <w:pPr>
        <w:pStyle w:val="Heading2"/>
      </w:pPr>
      <w:r>
        <w:t>5. Доказательства и источники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Факт</w:t>
            </w:r>
          </w:p>
        </w:tc>
        <w:tc>
          <w:tcPr>
            <w:tcW w:type="dxa" w:w="2493"/>
          </w:tcPr>
          <w:p>
            <w:r>
              <w:t>Источник и год</w:t>
            </w:r>
          </w:p>
        </w:tc>
        <w:tc>
          <w:tcPr>
            <w:tcW w:type="dxa" w:w="2493"/>
          </w:tcPr>
          <w:p>
            <w:r>
              <w:t>Ссылка</w:t>
            </w:r>
          </w:p>
        </w:tc>
        <w:tc>
          <w:tcPr>
            <w:tcW w:type="dxa" w:w="2493"/>
          </w:tcPr>
          <w:p>
            <w:r>
              <w:t>Значение для проекта</w:t>
            </w:r>
          </w:p>
        </w:tc>
      </w:tr>
      <w:tr>
        <w:tc>
          <w:tcPr>
            <w:tcW w:type="dxa" w:w="2493"/>
          </w:tcPr>
          <w:p>
            <w:r>
              <w:t>Проверенный источник описывает интерес аудитории к театральным форматам.</w:t>
            </w:r>
          </w:p>
        </w:tc>
        <w:tc>
          <w:tcPr>
            <w:tcW w:type="dxa" w:w="2493"/>
          </w:tcPr>
          <w:p>
            <w:r>
              <w:t>Официальная организация, 2024-02-16</w:t>
            </w:r>
          </w:p>
        </w:tc>
        <w:tc>
          <w:tcPr>
            <w:tcW w:type="dxa" w:w="2493"/>
          </w:tcPr>
          <w:p>
            <w:hyperlink r:id="rId9">
              <w:r>
                <w:rPr>
                  <w:color w:val="1E40AF"/>
                  <w:u w:val="single"/>
                </w:rPr>
                <w:t>Открыть источник</w:t>
              </w:r>
            </w:hyperlink>
          </w:p>
        </w:tc>
        <w:tc>
          <w:tcPr>
            <w:tcW w:type="dxa" w:w="2493"/>
          </w:tcPr>
          <w:p>
            <w:r>
              <w:t>Использовать при обосновании актуальности проекта.</w:t>
            </w:r>
          </w:p>
        </w:tc>
      </w:tr>
      <w:tr>
        <w:tc>
          <w:tcPr>
            <w:tcW w:type="dxa" w:w="2493"/>
          </w:tcPr>
          <w:p>
            <w:r>
              <w:t>Исследовательский материал помогает описать особенности культурного участия.</w:t>
            </w:r>
          </w:p>
        </w:tc>
        <w:tc>
          <w:tcPr>
            <w:tcW w:type="dxa" w:w="2493"/>
          </w:tcPr>
          <w:p>
            <w:r>
              <w:t>Официальная организация, 2024-02-16</w:t>
            </w:r>
          </w:p>
        </w:tc>
        <w:tc>
          <w:tcPr>
            <w:tcW w:type="dxa" w:w="2493"/>
          </w:tcPr>
          <w:p>
            <w:hyperlink r:id="rId10">
              <w:r>
                <w:rPr>
                  <w:color w:val="1E40AF"/>
                  <w:u w:val="single"/>
                </w:rPr>
                <w:t>Открыть источник</w:t>
              </w:r>
            </w:hyperlink>
          </w:p>
        </w:tc>
        <w:tc>
          <w:tcPr>
            <w:tcW w:type="dxa" w:w="2493"/>
          </w:tcPr>
          <w:p>
            <w:r>
              <w:t>Использовать при описании целевой группы.</w:t>
            </w:r>
          </w:p>
        </w:tc>
      </w:tr>
    </w:tbl>
    <w:p>
      <w:pPr>
        <w:pStyle w:val="Heading2"/>
      </w:pPr>
      <w:r>
        <w:t>6. Как проект отвечает на проблему</w:t>
      </w:r>
    </w:p>
    <w:p>
      <w:r>
        <w:t>Проект знакомит молодёжь с возможностями театрального досуга и современными форматами народного театра.</w:t>
      </w:r>
    </w:p>
    <w:p>
      <w:pPr>
        <w:pStyle w:val="Heading2"/>
      </w:pPr>
      <w:r>
        <w:t>7. Что узнать собственным опросом</w:t>
      </w:r>
    </w:p>
    <w:p>
      <w:r>
        <w:t>Проверяемая гипотеза: Целевая группа недостаточно знает о доступных театральных событиях.</w:t>
      </w:r>
    </w:p>
    <w:p>
      <w:r>
        <w:t>Готовый вопрос для публикации во ВКонтакте: Насколько хорошо вы знаете, какие театральные события проходят в вашем городе?</w:t>
      </w:r>
    </w:p>
    <w:p>
      <w:pPr>
        <w:pStyle w:val="ListBullet"/>
      </w:pPr>
      <w:r>
        <w:t>Хорошо знаю и регулярно слежу</w:t>
      </w:r>
    </w:p>
    <w:p>
      <w:pPr>
        <w:pStyle w:val="ListBullet"/>
      </w:pPr>
      <w:r>
        <w:t>Знаю несколько событий</w:t>
      </w:r>
    </w:p>
    <w:p>
      <w:pPr>
        <w:pStyle w:val="ListBullet"/>
      </w:pPr>
      <w:r>
        <w:t>Иногда вижу информацию случайно</w:t>
      </w:r>
    </w:p>
    <w:p>
      <w:pPr>
        <w:pStyle w:val="ListBullet"/>
      </w:pPr>
      <w:r>
        <w:t>Почти ничего не знаю</w:t>
      </w:r>
    </w:p>
    <w:p>
      <w:pPr>
        <w:pStyle w:val="ListBullet"/>
      </w:pPr>
      <w:r>
        <w:t>Не интересуюсь этой темой</w:t>
      </w:r>
    </w:p>
    <w:p>
      <w:r>
        <w:t>Что покажет результат: Ответы помогут оценить дефицит информирования, но не являются уже проведённым исследованием.</w:t>
      </w:r>
    </w:p>
    <w:p>
      <w:pPr>
        <w:pStyle w:val="Heading2"/>
      </w:pPr>
      <w:r>
        <w:t>8. Полезные материалы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Материал</w:t>
            </w:r>
          </w:p>
        </w:tc>
        <w:tc>
          <w:tcPr>
            <w:tcW w:type="dxa" w:w="2493"/>
          </w:tcPr>
          <w:p>
            <w:r>
              <w:t>Организация</w:t>
            </w:r>
          </w:p>
        </w:tc>
        <w:tc>
          <w:tcPr>
            <w:tcW w:type="dxa" w:w="2493"/>
          </w:tcPr>
          <w:p>
            <w:r>
              <w:t>Год</w:t>
            </w:r>
          </w:p>
        </w:tc>
        <w:tc>
          <w:tcPr>
            <w:tcW w:type="dxa" w:w="2493"/>
          </w:tcPr>
          <w:p>
            <w:r>
              <w:t>Ссылка</w:t>
            </w:r>
          </w:p>
        </w:tc>
      </w:tr>
      <w:tr>
        <w:tc>
          <w:tcPr>
            <w:tcW w:type="dxa" w:w="2493"/>
          </w:tcPr>
          <w:p>
            <w:r>
              <w:t>Материал source-1</w:t>
            </w:r>
          </w:p>
        </w:tc>
        <w:tc>
          <w:tcPr>
            <w:tcW w:type="dxa" w:w="2493"/>
          </w:tcPr>
          <w:p>
            <w:r>
              <w:t>Официальная организация</w:t>
            </w:r>
          </w:p>
        </w:tc>
        <w:tc>
          <w:tcPr>
            <w:tcW w:type="dxa" w:w="2493"/>
          </w:tcPr>
          <w:p>
            <w:r>
              <w:t>2024</w:t>
            </w:r>
          </w:p>
        </w:tc>
        <w:tc>
          <w:tcPr>
            <w:tcW w:type="dxa" w:w="2493"/>
          </w:tcPr>
          <w:p>
            <w:hyperlink r:id="rId9">
              <w:r>
                <w:rPr>
                  <w:color w:val="1E40AF"/>
                  <w:u w:val="single"/>
                </w:rPr>
                <w:t>Открыть</w:t>
              </w:r>
            </w:hyperlink>
          </w:p>
        </w:tc>
      </w:tr>
      <w:tr>
        <w:tc>
          <w:tcPr>
            <w:tcW w:type="dxa" w:w="2493"/>
          </w:tcPr>
          <w:p>
            <w:r>
              <w:t>Материал source-2</w:t>
            </w:r>
          </w:p>
        </w:tc>
        <w:tc>
          <w:tcPr>
            <w:tcW w:type="dxa" w:w="2493"/>
          </w:tcPr>
          <w:p>
            <w:r>
              <w:t>Официальная организация</w:t>
            </w:r>
          </w:p>
        </w:tc>
        <w:tc>
          <w:tcPr>
            <w:tcW w:type="dxa" w:w="2493"/>
          </w:tcPr>
          <w:p>
            <w:r>
              <w:t>2024</w:t>
            </w:r>
          </w:p>
        </w:tc>
        <w:tc>
          <w:tcPr>
            <w:tcW w:type="dxa" w:w="2493"/>
          </w:tcPr>
          <w:p>
            <w:hyperlink r:id="rId10">
              <w:r>
                <w:rPr>
                  <w:color w:val="1E40AF"/>
                  <w:u w:val="single"/>
                </w:rPr>
                <w:t>Открыть</w:t>
              </w:r>
            </w:hyperlink>
          </w:p>
        </w:tc>
      </w:tr>
    </w:tbl>
    <w:sectPr w:rsidR="00FC693F" w:rsidRPr="0006063C" w:rsidSect="00034616">
      <w:footerReference w:type="default" r:id="rId11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40A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40A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1182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rymetadata">
    <w:name w:val="Lary metadata"/>
    <w:rPr>
      <w:rFonts w:ascii="Arial" w:hAnsi="Arial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org/source-1" TargetMode="External"/><Relationship Id="rId10" Type="http://schemas.openxmlformats.org/officeDocument/2006/relationships/hyperlink" Target="https://example.org/source-2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