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Львівський національний університет імені Івана Франка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електроніки та комп’ютерних технологій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-85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  <w:t xml:space="preserve">Звіт </w:t>
      </w:r>
    </w:p>
    <w:p>
      <w:pPr>
        <w:spacing w:before="0" w:after="160" w:line="240"/>
        <w:ind w:right="0" w:left="-85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Хеш-таблиці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Виконав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групи ФеП-24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Малярчук О.В.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Перевірив: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Львів 2022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роботи: навчитися працювати з Хеш-таблицями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Частина 1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Створимо бібліотеку та класс Hash, у ній опишемо хеш-функцію та базову структуру таблиці Рис.0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312" w:dyaOrig="4331">
          <v:rect xmlns:o="urn:schemas-microsoft-com:office:office" xmlns:v="urn:schemas-microsoft-com:vml" id="rectole0000000000" style="width:315.600000pt;height:21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Рис.0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бібліотеці Hash, згідно описаних в теоретичній частині алгоритмів, створити функції ChainedHashInsert(…),ChainedHashSearch(…), ChainedHashDelete(…) та ChainedHashShow(…) для вставки, пошуку, видалення даних та відображення хеш-таблиці у вигляді стрічок ланцюгів даних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(Рис.1, Рис.2)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3547" w:dyaOrig="4850">
          <v:rect xmlns:o="urn:schemas-microsoft-com:office:office" xmlns:v="urn:schemas-microsoft-com:vml" id="rectole0000000001" style="width:177.350000pt;height:24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Рис.1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5253" w:dyaOrig="3171">
          <v:rect xmlns:o="urn:schemas-microsoft-com:office:office" xmlns:v="urn:schemas-microsoft-com:vml" id="rectole0000000002" style="width:262.650000pt;height:15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Рис.2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 тепер перевіримо працездатність наших функцій. Створимо зв’язану хеш-таблицю(Рис.4) та використаємо методи для роботи з нею  (Рис.5)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3047" w:dyaOrig="3617">
          <v:rect xmlns:o="urn:schemas-microsoft-com:office:office" xmlns:v="urn:schemas-microsoft-com:vml" id="rectole0000000003" style="width:152.350000pt;height:180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Рис.4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3715" w:dyaOrig="4128">
          <v:rect xmlns:o="urn:schemas-microsoft-com:office:office" xmlns:v="urn:schemas-microsoft-com:vml" id="rectole0000000004" style="width:185.750000pt;height:206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Рис.5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Частина 2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 бібліотеці Hach  додамо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методи HashInsert(…), HashSearch(…), HashDelete(…) та HashShow(…)для вставки, пошуку, видалення даних та відображення хеш-таблиці з відкритою адресацією. Функція HashDelete(…) повинна бути реалізована так, щоб порожня комірка таблиці відрізнялася від комірки з видаленими даними (Рис.6)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5592" w:dyaOrig="7908">
          <v:rect xmlns:o="urn:schemas-microsoft-com:office:office" xmlns:v="urn:schemas-microsoft-com:vml" id="rectole0000000005" style="width:279.600000pt;height:395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Рис.6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Використовуючи нові методи створюємо та змінюємо хеш-таблицю з відкритою адресацією (Рис.7) та бачимо результат (Рис.8)</w: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5057" w:dyaOrig="7038">
          <v:rect xmlns:o="urn:schemas-microsoft-com:office:office" xmlns:v="urn:schemas-microsoft-com:vml" id="rectole0000000006" style="width:252.850000pt;height:351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Рис.7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5276" w:dyaOrig="3732">
          <v:rect xmlns:o="urn:schemas-microsoft-com:office:office" xmlns:v="urn:schemas-microsoft-com:vml" id="rectole0000000007" style="width:263.800000pt;height:186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Рис.8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Отже, я навчився працювати з зв’язними хеш-таблицями та хеш-таблицями з відкритою адресацією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