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6"/>
        </w:rPr>
        <w:t>JAMOVI COMPREHENSIVE ANSWER KEY</w:t>
        <w:br/>
        <w:t>&amp; STEP-BY-STEP EXECUTION GUIDE</w:t>
        <w:br/>
      </w:r>
      <w:r>
        <w:rPr>
          <w:rFonts w:ascii="Calibri" w:hAnsi="Calibri"/>
          <w:i/>
          <w:color w:val="595959"/>
          <w:sz w:val="21"/>
        </w:rPr>
        <w:t>Complete Official Solutions, Professor-Approved Answer Tables, Verbal &amp; Hypothesis Interpretations,</w:t>
        <w:br/>
        <w:t>and Detailed Jamovi Procedures for Every Problem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F4E79"/>
          <w:sz w:val="32"/>
        </w:rPr>
        <w:t>SECTION 1: PROFESSOR'S OFFICIAL DECISION RULES &amp; CRITERIA</w:t>
      </w:r>
    </w:p>
    <w:p>
      <w:r>
        <w:rPr>
          <w:sz w:val="20"/>
        </w:rPr>
        <w:t>All verbal interpretations and hypothesis decisions in this document strictly follow the official guidelines provided by Ms. Lugo (from jamovi-reviewer.docx and seatwork documents).</w:t>
      </w:r>
    </w:p>
    <w:p>
      <w:r>
        <w:rPr>
          <w:b/>
        </w:rPr>
        <w:t>Table 1.1: Pearson / Spearman Correlation Coefficient (r / rho) Scale (Source: Ms. Lugo)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r - Value Range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Description of Association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± 1.00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Perfect positive (negative) correlation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Deterministic exact linear relationship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± 0.91 - ± 0.99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Very high positive (negative) correlation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Extremely strong association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± 0.71 - ± 0.90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High positive (negative) correlation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Strong, dependable linear relationship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± 0.50 - ± 0.70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Moderate positive (negative) correlation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Substantial, clear linear relationship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± 0.31 - ± 0.50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Low positive (negative) correlation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Definite but small linear relationship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± 0.01 - ± 0.30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Negligible positive (negative) correlation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Slight, almost unnoticeable association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No correlation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Zero linear relationship between variables</w:t>
            </w:r>
          </w:p>
        </w:tc>
      </w:tr>
    </w:tbl>
    <w:p>
      <w:pPr>
        <w:spacing w:after="80"/>
      </w:pPr>
    </w:p>
    <w:p>
      <w:r>
        <w:rPr>
          <w:b/>
        </w:rPr>
        <w:t>Table 1.2: Significance (p-Value) &amp; Null Hypothesis Decision Rule (Source: Ms. Lugo)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F5597"/>
          </w:tcPr>
          <w:p>
            <w:r>
              <w:rPr>
                <w:b/>
                <w:color w:val="FFFFFF"/>
              </w:rPr>
              <w:t>p - Value</w:t>
            </w:r>
          </w:p>
        </w:tc>
        <w:tc>
          <w:tcPr>
            <w:tcW w:type="dxa" w:w="3312"/>
            <w:shd w:fill="2F5597"/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3312"/>
            <w:shd w:fill="2F5597"/>
          </w:tcPr>
          <w:p>
            <w:r>
              <w:rPr>
                <w:b/>
                <w:color w:val="FFFFFF"/>
              </w:rPr>
              <w:t>Hypothesis Interpretation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&lt; .001 (or &lt; .05)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Significant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Reject the Null Hypothesis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&gt; .001 (or ≥ .05)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Not Significant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Accept the Null Hypothesis</w:t>
            </w:r>
          </w:p>
        </w:tc>
      </w:tr>
    </w:tbl>
    <w:p>
      <w:pPr>
        <w:pStyle w:val="Heading1"/>
        <w:spacing w:before="320" w:after="120"/>
      </w:pPr>
      <w:r>
        <w:rPr>
          <w:rFonts w:ascii="Calibri" w:hAnsi="Calibri"/>
          <w:b/>
          <w:color w:val="1F4E79"/>
          <w:sz w:val="32"/>
        </w:rPr>
        <w:t>SECTION 2: PROBLEM 1 (SEATWORK 1) - COMPLETE ANSWERS &amp; JAMOVI GUIDE</w:t>
      </w:r>
    </w:p>
    <w:p>
      <w:r>
        <w:rPr>
          <w:sz w:val="19"/>
        </w:rPr>
        <w:t>Statement of the Problem:</w:t>
        <w:br/>
        <w:t>This study aims to know the extent of the relationship of poor water supply to health and sanitation of the residents of barangay San Antonio, Sto. Tomas, Batangas.</w:t>
        <w:br/>
        <w:br/>
        <w:t>Specifically, this study aims to answer the following questions:</w:t>
        <w:br/>
        <w:t>1. What is the demographic profile of the respondents in terms of Age, Gender, Educational Attainment, and Monthly Household Income?</w:t>
        <w:br/>
        <w:t>2. Is there a significant relationship between the demographic profile and the health and sanitation status of the respondents?</w:t>
        <w:br/>
        <w:t>3. Is there a significant relationship between the health and sanitation and water supply status of the respondents?</w:t>
        <w:br/>
        <w:br/>
        <w:t>Dataset Tab to Use: Prob1_Water_Health_Demog in Jamovi_Seatwork_Practice_Data.xlsx (N = 150 respondents)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F5597"/>
          <w:sz w:val="26"/>
        </w:rPr>
        <w:t>Jamovi Step-by-Step Instructions for Problem 1</w:t>
      </w:r>
    </w:p>
    <w:p>
      <w:r>
        <w:rPr>
          <w:sz w:val="19"/>
        </w:rPr>
        <w:t>Step 1: Open Data &amp; Configure Variables in Jamovi</w:t>
        <w:br/>
        <w:t>• In Jamovi, click the top-left menu icon (☰) -&gt; Open -&gt; Browse -&gt; select Jamovi_Seatwork_Practice_Data.xlsx -&gt; choose sheet Prob1_Water_Health_Demog.</w:t>
        <w:br/>
        <w:t>• In the Data tab, double-click each column header to verify the Measure Type:</w:t>
        <w:br/>
        <w:t xml:space="preserve">  - Respondent_ID: Nominal (or ID)</w:t>
        <w:br/>
        <w:t xml:space="preserve">  - Age: Ordinal (Levels: 1 = 15-24 y/o, 2 = 25-39 y/o, 3 = 40-64 y/o, 4 = ≥ 65 y/o)</w:t>
        <w:br/>
        <w:t xml:space="preserve">  - Gender: Nominal (Levels: 1 = Male, 2 = Female)</w:t>
        <w:br/>
        <w:t xml:space="preserve">  - Educational_Attainment: Ordinal (Levels: 1 = Elementary, 2 = High school, 3 = College, 4 = Others)</w:t>
        <w:br/>
        <w:t xml:space="preserve">  - Monthly_Income: Ordinal (Levels: 1 = ≤ ₱40,000, 2 = ₱41,000-59,999, 3 = ≥ ₱60,000)</w:t>
        <w:br/>
        <w:t xml:space="preserve">  - Health_Sanitation_Status: Continuous (123 icon)</w:t>
        <w:br/>
        <w:t xml:space="preserve">  - Water_Supply_Status: Continuous (123 icon)</w:t>
        <w:br/>
        <w:br/>
        <w:t>Step 2: Generate Demographic Frequency Tables (Question 1)</w:t>
        <w:br/>
        <w:t>• Top menu: Analyses -&gt; Exploration -&gt; Descriptives.</w:t>
        <w:br/>
        <w:t>• Move Age, Gender, Educational_Attainment, and Monthly_Income into the Variables box on the right.</w:t>
        <w:br/>
        <w:t>• Click Statistics dropdown below -&gt; check Frequency tables.</w:t>
        <w:br/>
        <w:br/>
        <w:t>Step 3: Test Demographic Profile vs Health Status (Question 2 - Kruskal-Wallis &amp; Mann-Whitney)</w:t>
        <w:br/>
        <w:t>• For Age, Education, and Income (3+ groups):</w:t>
        <w:br/>
        <w:t xml:space="preserve">  1. Top menu: Analyses -&gt; ANOVA -&gt; One-Way ANOVA.</w:t>
        <w:br/>
        <w:t xml:space="preserve">  2. Drag Health_Sanitation_Status into Dependent Variable.</w:t>
        <w:br/>
        <w:t xml:space="preserve">  3. Drag Age into Grouping Variable.</w:t>
        <w:br/>
        <w:t xml:space="preserve">  4. Under Variances, select Kruskal-Wallis.</w:t>
        <w:br/>
        <w:t xml:space="preserve">  5. Note the χ², df, and p-value. Repeat by replacing Grouping Variable with Educational_Attainment, then Monthly_Income.</w:t>
        <w:br/>
        <w:t>• For Gender (2 groups - Male vs Female):</w:t>
        <w:br/>
        <w:t xml:space="preserve">  1. Top menu: Analyses -&gt; T-Tests -&gt; Independent Samples T-Test.</w:t>
        <w:br/>
        <w:t xml:space="preserve">  2. Drag Health_Sanitation_Status into Dependent Variable.</w:t>
        <w:br/>
        <w:t xml:space="preserve">  3. Drag Gender into Grouping Variable.</w:t>
        <w:br/>
        <w:t xml:space="preserve">  4. Under Tests, check Mann-Whitney U.</w:t>
        <w:br/>
        <w:t xml:space="preserve">  5. Under Hypothesis, ensure Two-sided (Hₐ: Group 1 ≠ Group 2) is selected.</w:t>
        <w:br/>
        <w:br/>
        <w:t>Step 4: Correlation: Health Status vs Water Supply Status (Question 3 - Spearman's rho)</w:t>
        <w:br/>
        <w:t>• Top menu: Analyses -&gt; Regression -&gt; Correlation Matrix.</w:t>
        <w:br/>
        <w:t>• Move Health_Sanitation_Status and Water_Supply_Status into the right box.</w:t>
        <w:br/>
        <w:t>• Under Correlation Coefficients, uncheck Pearson and check Spearman.</w:t>
        <w:br/>
        <w:t>• Under Hypothesis, select Correlated (two-tailed test).</w:t>
        <w:br/>
        <w:t>• Under Additional Results, check Report significance and Flag significant correlations.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F5597"/>
          <w:sz w:val="26"/>
        </w:rPr>
        <w:t>Official Answer Tables for Problem 1 (Seatwork 1)</w:t>
      </w:r>
    </w:p>
    <w:p>
      <w:r>
        <w:rPr>
          <w:b/>
        </w:rPr>
        <w:t>Table 2.1: Demographic Profile of Respondents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Demographic Profile Indicator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Frequency (f)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Percentage (%)</w:t>
            </w:r>
          </w:p>
        </w:tc>
      </w:tr>
      <w:tr>
        <w:tc>
          <w:tcPr>
            <w:tcW w:type="dxa" w:w="331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1.1 Age</w:t>
            </w:r>
          </w:p>
        </w:tc>
        <w:tc>
          <w:tcPr>
            <w:tcW w:type="dxa" w:w="331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331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 xml:space="preserve">  1 (15 - 24 years old)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11.3%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 xml:space="preserve">  2 (25 - 39 years old)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47.3%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 xml:space="preserve">  3 (40 - 64 years old)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38.7%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 xml:space="preserve">  4 (≥ 65 years old)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2.7%</w:t>
            </w:r>
          </w:p>
        </w:tc>
      </w:tr>
      <w:tr>
        <w:tc>
          <w:tcPr>
            <w:tcW w:type="dxa" w:w="331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 xml:space="preserve">  Total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150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100%</w:t>
            </w:r>
          </w:p>
        </w:tc>
      </w:tr>
      <w:tr>
        <w:tc>
          <w:tcPr>
            <w:tcW w:type="dxa" w:w="331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1.2 Gender</w:t>
            </w:r>
          </w:p>
        </w:tc>
        <w:tc>
          <w:tcPr>
            <w:tcW w:type="dxa" w:w="331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331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 xml:space="preserve">  Male (Code 1)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51.3%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 xml:space="preserve">  Female (Code 2)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48.7%</w:t>
            </w:r>
          </w:p>
        </w:tc>
      </w:tr>
      <w:tr>
        <w:tc>
          <w:tcPr>
            <w:tcW w:type="dxa" w:w="331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 xml:space="preserve">  Total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150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100%</w:t>
            </w:r>
          </w:p>
        </w:tc>
      </w:tr>
      <w:tr>
        <w:tc>
          <w:tcPr>
            <w:tcW w:type="dxa" w:w="331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1.3 Educational Attainment</w:t>
            </w:r>
          </w:p>
        </w:tc>
        <w:tc>
          <w:tcPr>
            <w:tcW w:type="dxa" w:w="331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331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 xml:space="preserve">  Elementary (Code 1)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8.7%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 xml:space="preserve">  High school (Code 2)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40.7%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 xml:space="preserve">  College (Code 3)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48.7%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 xml:space="preserve">  Others (Code 4)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331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 xml:space="preserve">  Total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150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100%</w:t>
            </w:r>
          </w:p>
        </w:tc>
      </w:tr>
      <w:tr>
        <w:tc>
          <w:tcPr>
            <w:tcW w:type="dxa" w:w="331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1.4 Monthly Household Income</w:t>
            </w:r>
          </w:p>
        </w:tc>
        <w:tc>
          <w:tcPr>
            <w:tcW w:type="dxa" w:w="331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331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 xml:space="preserve">  ≤ ₱ 40,000 (Code 1)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70.0%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 xml:space="preserve">  ₱ 41,000 - 59,999 (Code 2)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19.3%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 xml:space="preserve">  ≥ ₱ 60,000 (Code 3)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10.7%</w:t>
            </w:r>
          </w:p>
        </w:tc>
      </w:tr>
      <w:tr>
        <w:tc>
          <w:tcPr>
            <w:tcW w:type="dxa" w:w="331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 xml:space="preserve">  Total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150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100%</w:t>
            </w:r>
          </w:p>
        </w:tc>
      </w:tr>
    </w:tbl>
    <w:p>
      <w:pPr>
        <w:spacing w:after="120"/>
      </w:pPr>
    </w:p>
    <w:p>
      <w:r>
        <w:rPr>
          <w:b/>
        </w:rPr>
        <w:t>Table 2.2: Tests of Significance: Demographic Profile vs Health and Sanitation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Demographic Profile</w:t>
            </w:r>
          </w:p>
        </w:tc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Statistical Test</w:t>
            </w:r>
          </w:p>
        </w:tc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Statistic</w:t>
            </w:r>
          </w:p>
        </w:tc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df</w:t>
            </w:r>
          </w:p>
        </w:tc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p-value</w:t>
            </w:r>
          </w:p>
        </w:tc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Hypothesis Interpretation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Age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Kruskal-Wallis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χ² = 1.824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.610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Not Significant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Accept the Null Hypothesis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Educational Attainment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Kruskal-Wallis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χ² = 5.795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.122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Not Significant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Accept the Null Hypothesis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Monthly Household Income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Kruskal-Wallis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χ² = 0.670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.715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Not Significant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Accept the Null Hypothesis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Gender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Mann-Whitney U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U = 2782.000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.916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Not Significant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Accept the Null Hypothesis</w:t>
            </w:r>
          </w:p>
        </w:tc>
      </w:tr>
    </w:tbl>
    <w:p>
      <w:r>
        <w:rPr>
          <w:i/>
          <w:sz w:val="18"/>
        </w:rPr>
        <w:t>Written Interpretation for Question 2:</w:t>
        <w:br/>
        <w:t>The Kruskal-Wallis test revealed no statistically significant differences in health and sanitation status across Age groups (χ²(3) = 1.824, p = .610), Educational Attainment levels (χ²(3) = 5.795, p = .122), and Monthly Household Income brackets (χ²(2) = 0.670, p = .715), as all p-values exceed the .05 (and .001) threshold. Similarly, the Mann-Whitney U test indicated no significant difference between Male and Female respondents (U = 2782.000, p = .916). Consequently, the null hypothesis is accepted for all demographic factors. There is no significant relationship between the demographic profile and the health and sanitation status of the respondents.</w:t>
      </w:r>
    </w:p>
    <w:p>
      <w:pPr>
        <w:spacing w:after="120"/>
      </w:pPr>
    </w:p>
    <w:p>
      <w:r>
        <w:rPr>
          <w:b/>
        </w:rPr>
        <w:t>Table 2.3: Correlation Matrix: Health and Sanitation Status vs Water Supply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Variables Tested</w:t>
            </w:r>
          </w:p>
        </w:tc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Test Type</w:t>
            </w:r>
          </w:p>
        </w:tc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rho - Value</w:t>
            </w:r>
          </w:p>
        </w:tc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df</w:t>
            </w:r>
          </w:p>
        </w:tc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p-value</w:t>
            </w:r>
          </w:p>
        </w:tc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1419"/>
            <w:shd w:fill="1F4E79"/>
          </w:tcPr>
          <w:p>
            <w:r>
              <w:rPr>
                <w:b/>
                <w:color w:val="FFFFFF"/>
              </w:rPr>
              <w:t>Hypothesis Interpretation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Health &amp; Sanitation Status vs Water Supply Status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Spearman's rho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0.294***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Negligible positive correlation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Reject the Null Hypothesis</w:t>
            </w:r>
          </w:p>
        </w:tc>
      </w:tr>
    </w:tbl>
    <w:p>
      <w:r>
        <w:rPr>
          <w:i/>
          <w:sz w:val="18"/>
        </w:rPr>
        <w:t>Written Interpretation for Question 3:</w:t>
        <w:br/>
        <w:t>The Spearman rank-order correlation yielded a correlation coefficient rho of 0.294 with a p-value of &lt; .001 (df = 148). Based on Ms. Lugo's interpretation scale, rho = 0.294 denotes a negligible positive correlation. Because the p-value is less than .001 (&lt; .001), the result is statistically significant. Therefore, the null hypothesis is Rejected. There is a statistically significant positive relationship between poor water supply status and the health and sanitation status of residents in Barangay San Antonio, Sto. Tomas, Batangas.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F4E79"/>
          <w:sz w:val="32"/>
        </w:rPr>
        <w:t>SECTION 3: PROBLEM 2 (SEATWORK 2) - COMPLETE ANSWERS &amp; JAMOVI GUIDE</w:t>
      </w:r>
    </w:p>
    <w:p>
      <w:r>
        <w:rPr>
          <w:sz w:val="19"/>
        </w:rPr>
        <w:t>Statement of the Problem:</w:t>
        <w:br/>
        <w:t>Specifically, this research aims to answer the following objectives:</w:t>
        <w:br/>
        <w:t>1. To assess the relationship between social media integration and a sustainable green lifestyle.</w:t>
        <w:br/>
        <w:t>2. To examine the relationship between social media integration and HEI value co-creation among college students.</w:t>
        <w:br/>
        <w:t>3. To evaluate the relationship between HEI value co-creation and sustainable green lifestyle adoption among college students.</w:t>
        <w:br/>
        <w:t>4. To evaluate the impact of HEI value co-creation on sustainable green lifestyle adoption among college students.</w:t>
        <w:br/>
        <w:br/>
        <w:t>Dataset Tab to Use: Prob2_SocialMedia_SGLA_HEI in Jamovi_Seatwork_Practice_Data.xlsx (N = 186 respondents)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F5597"/>
          <w:sz w:val="26"/>
        </w:rPr>
        <w:t>Jamovi Step-by-Step Instructions for Problem 2</w:t>
      </w:r>
    </w:p>
    <w:p>
      <w:r>
        <w:rPr>
          <w:sz w:val="19"/>
        </w:rPr>
        <w:t>Step 1: Open Data &amp; Verify Variables</w:t>
        <w:br/>
        <w:t>• In Jamovi, open Jamovi_Seatwork_Practice_Data.xlsx -&gt; choose sheet Prob2_SocialMedia_SGLA_HEI.</w:t>
        <w:br/>
        <w:t>• Ensure the following columns have their Measure Type set to Continuous (123):</w:t>
        <w:br/>
        <w:t xml:space="preserve">  - Social_Media_Integration</w:t>
        <w:br/>
        <w:t xml:space="preserve">  - HEI_Value_CoCreation</w:t>
        <w:br/>
        <w:t xml:space="preserve">  - Sustainable_Green_Lifestyle</w:t>
        <w:br/>
        <w:br/>
        <w:t>Step 2: Run Pearson Correlation Matrix (Objectives 1, 2, and 3)</w:t>
        <w:br/>
        <w:t>• Top menu: Analyses -&gt; Regression -&gt; Correlation Matrix.</w:t>
        <w:br/>
        <w:t>• Drag Social_Media_Integration, HEI_Value_CoCreation, and Sustainable_Green_Lifestyle into the Variables box.</w:t>
        <w:br/>
        <w:t>• Under Correlation Coefficients, check Pearson.</w:t>
        <w:br/>
        <w:t>• Under Hypothesis, select Correlated (two-tailed).</w:t>
        <w:br/>
        <w:t>• Under Additional Results, check Report significance.</w:t>
        <w:br/>
        <w:br/>
        <w:t>Step 3: Run Simple Linear Regression (Objective 4 - Impact of HEI on SGLA)</w:t>
        <w:br/>
        <w:t>• Top menu: Analyses -&gt; Regression -&gt; Linear Regression.</w:t>
        <w:br/>
        <w:t>• Drag Sustainable_Green_Lifestyle into Dependent Variable.</w:t>
        <w:br/>
        <w:t>• Drag HEI_Value_CoCreation into Covariates.</w:t>
        <w:br/>
        <w:t>• Click Model Fit dropdown tab -&gt; check R, R², and F test.</w:t>
        <w:br/>
        <w:t>• Under Model Coefficients, ensure Estimates, Standard error, and p-value are displayed.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F5597"/>
          <w:sz w:val="26"/>
        </w:rPr>
        <w:t>Official Answer Tables for Problem 2 (Seatwork 2)</w:t>
      </w:r>
    </w:p>
    <w:p>
      <w:r>
        <w:rPr>
          <w:b/>
        </w:rPr>
        <w:t>Table 3.1: Pearson Correlation Matrix (Objectives 1, 2, and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2F5597"/>
          </w:tcPr>
          <w:p>
            <w:r>
              <w:rPr>
                <w:b/>
                <w:color w:val="FFFFFF"/>
              </w:rPr>
              <w:t>Specific Objective / Relationship</w:t>
            </w:r>
          </w:p>
        </w:tc>
        <w:tc>
          <w:tcPr>
            <w:tcW w:type="dxa" w:w="1419"/>
            <w:shd w:fill="2F5597"/>
          </w:tcPr>
          <w:p>
            <w:r>
              <w:rPr>
                <w:b/>
                <w:color w:val="FFFFFF"/>
              </w:rPr>
              <w:t>r - Value</w:t>
            </w:r>
          </w:p>
        </w:tc>
        <w:tc>
          <w:tcPr>
            <w:tcW w:type="dxa" w:w="1419"/>
            <w:shd w:fill="2F5597"/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1419"/>
            <w:shd w:fill="2F5597"/>
          </w:tcPr>
          <w:p>
            <w:r>
              <w:rPr>
                <w:b/>
                <w:color w:val="FFFFFF"/>
              </w:rPr>
              <w:t>p - value</w:t>
            </w:r>
          </w:p>
        </w:tc>
        <w:tc>
          <w:tcPr>
            <w:tcW w:type="dxa" w:w="1419"/>
            <w:shd w:fill="2F5597"/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1419"/>
            <w:shd w:fill="2F5597"/>
          </w:tcPr>
          <w:p>
            <w:r>
              <w:rPr>
                <w:b/>
                <w:color w:val="FFFFFF"/>
              </w:rPr>
              <w:t>Null Hypothesis Statement</w:t>
            </w:r>
          </w:p>
        </w:tc>
        <w:tc>
          <w:tcPr>
            <w:tcW w:type="dxa" w:w="1419"/>
            <w:shd w:fill="2F5597"/>
          </w:tcPr>
          <w:p>
            <w:r>
              <w:rPr>
                <w:b/>
                <w:color w:val="FFFFFF"/>
              </w:rPr>
              <w:t>Hypothesis Decision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1. Social Media Integration &amp; Sustainable Green Lifestyle Adoption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0.380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Low positive correlation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&lt; .001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Significant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There is no significant relationship between social media integration and a sustainable green lifestyle.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Rejected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2. Social Media Integration &amp; HEI Value Co-Creation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0.571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Moderate positive correlation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&lt; .001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Significant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There is no relationship between social media integration and HEI value co-creation.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Rejected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3. HEI Value Co-Creation &amp; Sustainable Green Lifestyle Adoption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0.444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Moderate positive correlation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&lt; .001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Significant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There is no relationship between HEI value co-creation and sustainable green lifestyle adoption.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7"/>
              </w:rPr>
              <w:t>Rejected</w:t>
            </w:r>
          </w:p>
        </w:tc>
      </w:tr>
    </w:tbl>
    <w:p>
      <w:pPr>
        <w:spacing w:after="120"/>
      </w:pPr>
    </w:p>
    <w:p>
      <w:r>
        <w:rPr>
          <w:b/>
        </w:rPr>
        <w:t>Table 3.2: Simple Linear Regression - Model Coefficients (Objective 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2F5597"/>
          </w:tcPr>
          <w:p>
            <w:r>
              <w:rPr>
                <w:b/>
                <w:color w:val="FFFFFF"/>
              </w:rPr>
              <w:t>Predictor</w:t>
            </w:r>
          </w:p>
        </w:tc>
        <w:tc>
          <w:tcPr>
            <w:tcW w:type="dxa" w:w="1656"/>
            <w:shd w:fill="2F5597"/>
          </w:tcPr>
          <w:p>
            <w:r>
              <w:rPr>
                <w:b/>
                <w:color w:val="FFFFFF"/>
              </w:rPr>
              <w:t>Estimate (b)</w:t>
            </w:r>
          </w:p>
        </w:tc>
        <w:tc>
          <w:tcPr>
            <w:tcW w:type="dxa" w:w="1656"/>
            <w:shd w:fill="2F5597"/>
          </w:tcPr>
          <w:p>
            <w:r>
              <w:rPr>
                <w:b/>
                <w:color w:val="FFFFFF"/>
              </w:rPr>
              <w:t>SE</w:t>
            </w:r>
          </w:p>
        </w:tc>
        <w:tc>
          <w:tcPr>
            <w:tcW w:type="dxa" w:w="1656"/>
            <w:shd w:fill="2F5597"/>
          </w:tcPr>
          <w:p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1656"/>
            <w:shd w:fill="2F5597"/>
          </w:tcPr>
          <w:p>
            <w:r>
              <w:rPr>
                <w:b/>
                <w:color w:val="FFFFFF"/>
              </w:rPr>
              <w:t>p-value</w:t>
            </w:r>
          </w:p>
        </w:tc>
        <w:tc>
          <w:tcPr>
            <w:tcW w:type="dxa" w:w="1656"/>
            <w:shd w:fill="2F5597"/>
          </w:tcPr>
          <w:p>
            <w:r>
              <w:rPr>
                <w:b/>
                <w:color w:val="FFFFFF"/>
              </w:rPr>
              <w:t>Verbal Interpretation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Intercept (Constant)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2.117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0.1968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10.76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Significant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HEI Value Co-creation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0.399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0.0594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6.71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Significant</w:t>
            </w:r>
          </w:p>
        </w:tc>
      </w:tr>
    </w:tbl>
    <w:p>
      <w:pPr>
        <w:spacing w:after="80"/>
      </w:pPr>
    </w:p>
    <w:p>
      <w:r>
        <w:rPr>
          <w:b/>
        </w:rPr>
        <w:t>Table 3.3: Model Summary &amp; Overall Fit (Objective 4: Impact of HEI on SGLA)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2F5597"/>
          </w:tcPr>
          <w:p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1656"/>
            <w:shd w:fill="2F5597"/>
          </w:tcPr>
          <w:p>
            <w:r>
              <w:rPr>
                <w:b/>
                <w:color w:val="FFFFFF"/>
              </w:rPr>
              <w:t>R²</w:t>
            </w:r>
          </w:p>
        </w:tc>
        <w:tc>
          <w:tcPr>
            <w:tcW w:type="dxa" w:w="1656"/>
            <w:shd w:fill="2F5597"/>
          </w:tcPr>
          <w:p>
            <w:r>
              <w:rPr>
                <w:b/>
                <w:color w:val="FFFFFF"/>
              </w:rPr>
              <w:t>F</w:t>
            </w:r>
          </w:p>
        </w:tc>
        <w:tc>
          <w:tcPr>
            <w:tcW w:type="dxa" w:w="1656"/>
            <w:shd w:fill="2F5597"/>
          </w:tcPr>
          <w:p>
            <w:r>
              <w:rPr>
                <w:b/>
                <w:color w:val="FFFFFF"/>
              </w:rPr>
              <w:t>p-value</w:t>
            </w:r>
          </w:p>
        </w:tc>
        <w:tc>
          <w:tcPr>
            <w:tcW w:type="dxa" w:w="1656"/>
            <w:shd w:fill="2F5597"/>
          </w:tcPr>
          <w:p>
            <w:r>
              <w:rPr>
                <w:b/>
                <w:color w:val="FFFFFF"/>
              </w:rPr>
              <w:t>Null Hypothesis Statement</w:t>
            </w:r>
          </w:p>
        </w:tc>
        <w:tc>
          <w:tcPr>
            <w:tcW w:type="dxa" w:w="1656"/>
            <w:shd w:fill="2F5597"/>
          </w:tcPr>
          <w:p>
            <w:r>
              <w:rPr>
                <w:b/>
                <w:color w:val="FFFFFF"/>
              </w:rPr>
              <w:t>Hypothesis Decision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0.444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0.197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45.1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There is no impact between HEI value co-creation and Sustainable green lifestyle adoption.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Rejected</w:t>
            </w:r>
          </w:p>
        </w:tc>
      </w:tr>
    </w:tbl>
    <w:p>
      <w:r>
        <w:rPr>
          <w:i/>
          <w:sz w:val="18"/>
        </w:rPr>
        <w:t>Written Interpretation for Objective 4 (Linear Regression):</w:t>
        <w:br/>
        <w:t>The linear regression model is statistically significant (F = 45.1, p &lt; .001). The multiple correlation coefficient R is 0.444, and the coefficient of determination R² is 0.197, indicating that 19.7% of the variance in sustainable green lifestyle adoption is explained by HEI value co-creation among college students.</w:t>
        <w:br/>
        <w:t>The regression equation is: SGLA = 2.117 + 0.399 * (HEI Value Co-creation). For every one-unit increase in HEI value co-creation, sustainable green lifestyle adoption increases by 0.399 units on average (t = 6.71, p &lt; .001). Therefore, the null hypothesis of no impact is Rejected.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F4E79"/>
          <w:sz w:val="32"/>
        </w:rPr>
        <w:t>SECTION 4: PROBLEM 3 (ONE-WAY ANOVA PRACTICE) - COMPLETE ANSWERS &amp; JAMOVI GUIDE</w:t>
      </w:r>
    </w:p>
    <w:p>
      <w:r>
        <w:rPr>
          <w:sz w:val="19"/>
        </w:rPr>
        <w:t>Statement of the Problem:</w:t>
        <w:br/>
        <w:t>Is there a significant difference in academic stress levels among college students across different academic programs?</w:t>
        <w:br/>
        <w:br/>
        <w:t>Hypotheses:</w:t>
        <w:br/>
        <w:t>• H₀: There is no significant difference in mean academic stress scores across the four academic programs (μ₁ = μ₂ = μ₃ = μ₄).</w:t>
        <w:br/>
        <w:t>• Hₐ: At least one academic program has a significantly different mean academic stress score.</w:t>
        <w:br/>
        <w:br/>
        <w:t>Dataset Tab to Use: Prob3_OneWay_ANOVA in Jamovi_Seatwork_Practice_Data.xlsx (N = 120 students: 30 Computing, 30 Engineering, 30 Business, 30 Arts)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F5597"/>
          <w:sz w:val="26"/>
        </w:rPr>
        <w:t>Jamovi Step-by-Step Instructions for One-Way ANOVA</w:t>
      </w:r>
    </w:p>
    <w:p>
      <w:r>
        <w:rPr>
          <w:sz w:val="19"/>
        </w:rPr>
        <w:t>Step 1: Open Tab &amp; Set Variables</w:t>
        <w:br/>
        <w:t>• In Jamovi, open sheet Prob3_OneWay_ANOVA.</w:t>
        <w:br/>
        <w:t>• Double-click column header Academic_Program -&gt; Set Measure Type to Nominal.</w:t>
        <w:br/>
        <w:t xml:space="preserve">  (Levels: 1 = Computing &amp; IT, 2 = Engineering, 3 = Business &amp; Accountancy, 4 = Arts &amp; Sciences).</w:t>
        <w:br/>
        <w:t>• Double-click column header Academic_Stress_Score -&gt; Set Measure Type to Continuous (123).</w:t>
        <w:br/>
        <w:br/>
        <w:t>Step 2: Run One-Way ANOVA</w:t>
        <w:br/>
        <w:t>• Top menu: Analyses -&gt; ANOVA -&gt; One-Way ANOVA.</w:t>
        <w:br/>
        <w:t>• Drag Academic_Stress_Score into Dependent Variable.</w:t>
        <w:br/>
        <w:t>• Drag Academic_Program into Grouping Variable.</w:t>
        <w:br/>
        <w:t>• Under Variances, check Assume equal (Fisher's) and Don't assume equal (Welch's).</w:t>
        <w:br/>
        <w:t>• Under Additional Results, check Descriptives (to display N, Mean, and SD per group).</w:t>
        <w:br/>
        <w:t>• Under Post Hoc Tests, check Tukey.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F5597"/>
          <w:sz w:val="26"/>
        </w:rPr>
        <w:t>Official Answer Tables for One-Way ANOVA</w:t>
      </w:r>
    </w:p>
    <w:p>
      <w:r>
        <w:rPr>
          <w:b/>
        </w:rPr>
        <w:t>Table 4.1: One-Way ANOVA Results and Group Descriptives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Academic Program</w:t>
            </w:r>
          </w:p>
        </w:tc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Mean Stress</w:t>
            </w:r>
          </w:p>
        </w:tc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Std. Deviation</w:t>
            </w:r>
          </w:p>
        </w:tc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F-Statistic (df1, df2)</w:t>
            </w:r>
          </w:p>
        </w:tc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p-value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1 - Computing &amp; IT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76.0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Fisher's F(3, 116) = 68.59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.001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2 - Engineering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83.5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7.8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Welch's F(3, 64.1) = 69.12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.001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3 - Business &amp; Accountancy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68.5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4 - Arts &amp; Sciences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61.0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56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Overall Decision</w:t>
            </w:r>
          </w:p>
        </w:tc>
        <w:tc>
          <w:tcPr>
            <w:tcW w:type="dxa" w:w="1656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120</w:t>
            </w:r>
          </w:p>
        </w:tc>
        <w:tc>
          <w:tcPr>
            <w:tcW w:type="dxa" w:w="1656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72.2</w:t>
            </w:r>
          </w:p>
        </w:tc>
        <w:tc>
          <w:tcPr>
            <w:tcW w:type="dxa" w:w="1656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11.1</w:t>
            </w:r>
          </w:p>
        </w:tc>
        <w:tc>
          <w:tcPr>
            <w:tcW w:type="dxa" w:w="1656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Significant</w:t>
            </w:r>
          </w:p>
        </w:tc>
        <w:tc>
          <w:tcPr>
            <w:tcW w:type="dxa" w:w="1656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Reject the Null Hypothesis</w:t>
            </w:r>
          </w:p>
        </w:tc>
      </w:tr>
    </w:tbl>
    <w:p>
      <w:pPr>
        <w:spacing w:after="80"/>
      </w:pPr>
    </w:p>
    <w:p>
      <w:r>
        <w:rPr>
          <w:b/>
        </w:rPr>
        <w:t>Table 4.2: Tukey Post-Hoc Pairwise Comparisons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F5597"/>
          </w:tcPr>
          <w:p>
            <w:r>
              <w:rPr>
                <w:b/>
                <w:color w:val="FFFFFF"/>
              </w:rPr>
              <w:t>Program Comparison (Group A vs Group B)</w:t>
            </w:r>
          </w:p>
        </w:tc>
        <w:tc>
          <w:tcPr>
            <w:tcW w:type="dxa" w:w="1987"/>
            <w:shd w:fill="2F5597"/>
          </w:tcPr>
          <w:p>
            <w:r>
              <w:rPr>
                <w:b/>
                <w:color w:val="FFFFFF"/>
              </w:rPr>
              <w:t>Mean Difference</w:t>
            </w:r>
          </w:p>
        </w:tc>
        <w:tc>
          <w:tcPr>
            <w:tcW w:type="dxa" w:w="1987"/>
            <w:shd w:fill="2F5597"/>
          </w:tcPr>
          <w:p>
            <w:r>
              <w:rPr>
                <w:b/>
                <w:color w:val="FFFFFF"/>
              </w:rPr>
              <w:t>SE</w:t>
            </w:r>
          </w:p>
        </w:tc>
        <w:tc>
          <w:tcPr>
            <w:tcW w:type="dxa" w:w="1987"/>
            <w:shd w:fill="2F5597"/>
          </w:tcPr>
          <w:p>
            <w:r>
              <w:rPr>
                <w:b/>
                <w:color w:val="FFFFFF"/>
              </w:rPr>
              <w:t>t-statistic</w:t>
            </w:r>
          </w:p>
        </w:tc>
        <w:tc>
          <w:tcPr>
            <w:tcW w:type="dxa" w:w="1987"/>
            <w:shd w:fill="2F5597"/>
          </w:tcPr>
          <w:p>
            <w:r>
              <w:rPr>
                <w:b/>
                <w:color w:val="FFFFFF"/>
              </w:rPr>
              <w:t>p-value (Tukey)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Engineering vs Arts &amp; Sciences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22.5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1.35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16.67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&lt; .001 (Significant)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Engineering vs Business &amp; Accountancy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1.35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11.11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&lt; .001 (Significant)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Engineering vs Computing &amp; IT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1.35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5.56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&lt; .001 (Significant)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Computing &amp; IT vs Arts &amp; Sciences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1.35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11.11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&lt; .001 (Significant)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Computing &amp; IT vs Business &amp; Accountancy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1.35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5.56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&lt; .001 (Significant)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Business &amp; Accountancy vs Arts &amp; Sciences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1.35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5.56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&lt; .001 (Significant)</w:t>
            </w:r>
          </w:p>
        </w:tc>
      </w:tr>
    </w:tbl>
    <w:p>
      <w:r>
        <w:rPr>
          <w:i/>
          <w:sz w:val="18"/>
        </w:rPr>
        <w:t>Written Interpretation for One-Way ANOVA:</w:t>
        <w:br/>
        <w:t>The One-Way ANOVA revealed a statistically significant difference in academic stress scores across the four academic programs, F(3, 116) = 68.59, p &lt; .001. Therefore, the null hypothesis is Rejected. Engineering students reported the highest mean stress score (M = 83.5, SD = 7.8), followed by Computing &amp; IT (M = 76.0, SD = 7.5), Business &amp; Accountancy (M = 68.5, SD = 7.2), and Arts &amp; Sciences (M = 61.0, SD = 7.0).</w:t>
        <w:br/>
        <w:t>Tukey's post-hoc test demonstrated that all pairwise comparisons are statistically significant (p &lt; .001), indicating that each academic program experiences a distinct level of academic stress.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F4E79"/>
          <w:sz w:val="32"/>
        </w:rPr>
        <w:t>SECTION 5: PROBLEM 4 (TWO-WAY ANOVA PRACTICE) - COMPLETE ANSWERS &amp; JAMOVI GUIDE</w:t>
      </w:r>
    </w:p>
    <w:p>
      <w:r>
        <w:rPr>
          <w:sz w:val="19"/>
        </w:rPr>
        <w:t>Statement of the Problem:</w:t>
        <w:br/>
        <w:t>How do Teaching Method and Prior Math Background simultaneously affect students' Statistics Exam Performance, and is there a significant interaction effect between the two factors?</w:t>
        <w:br/>
        <w:br/>
        <w:t>Hypotheses:</w:t>
        <w:br/>
        <w:t>• H₀(A): There is no significant main effect of Teaching Method on Statistics Exam Performance.</w:t>
        <w:br/>
        <w:t>• H₀(B): There is no significant main effect of Prior Math Background on Statistics Exam Performance.</w:t>
        <w:br/>
        <w:t>• H₀(AB): There is no significant interaction effect between Teaching Method and Prior Math Background.</w:t>
        <w:br/>
        <w:br/>
        <w:t>Dataset Tab to Use: Prob4_TwoWay_ANOVA in Jamovi_Seatwork_Practice_Data.xlsx (N = 120: 3x2 factorial design, 20 per cell)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F5597"/>
          <w:sz w:val="26"/>
        </w:rPr>
        <w:t>Jamovi Step-by-Step Instructions for Two-Way ANOVA</w:t>
      </w:r>
    </w:p>
    <w:p>
      <w:r>
        <w:rPr>
          <w:sz w:val="19"/>
        </w:rPr>
        <w:t>Step 1: Open Tab &amp; Set Variables</w:t>
        <w:br/>
        <w:t>• In Jamovi, open sheet Prob4_TwoWay_ANOVA.</w:t>
        <w:br/>
        <w:t>• Double-click Teaching_Method -&gt; Set Measure Type to Nominal (1 = Traditional Lecture, 2 = Blended Learning, 3 = Gamified Active Learning).</w:t>
        <w:br/>
        <w:t>• Double-click Math_Background -&gt; Set Measure Type to Nominal (1 = Non-STEM, 2 = STEM).</w:t>
        <w:br/>
        <w:t>• Double-click Statistics_Exam_Score -&gt; Set Measure Type to Continuous (123).</w:t>
        <w:br/>
        <w:br/>
        <w:t>Step 2: Run Two-Way Factorial ANOVA</w:t>
        <w:br/>
        <w:t>• Top menu: Analyses -&gt; ANOVA -&gt; ANOVA (not One-Way ANOVA).</w:t>
        <w:br/>
        <w:t>• Drag Statistics_Exam_Score into Dependent Variable.</w:t>
        <w:br/>
        <w:t>• Drag Teaching_Method and Math_Background into Fixed Factors.</w:t>
        <w:br/>
        <w:t>• Click Post Hoc Tests dropdown -&gt; drag Teaching_Method, Math_Background, and the interaction term Teaching_Method * Math_Background into the right box.</w:t>
        <w:br/>
        <w:t>• Click Estimated Marginal Means dropdown -&gt; drag Teaching_Method and Math_Background into the display box to generate the interaction plot.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F5597"/>
          <w:sz w:val="26"/>
        </w:rPr>
        <w:t>Official Answer Tables for Two-Way ANOVA</w:t>
      </w:r>
    </w:p>
    <w:p>
      <w:r>
        <w:rPr>
          <w:b/>
        </w:rPr>
        <w:t>Table 5.1: Two-Way Factorial ANOVA Summary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Source of Variation</w:t>
            </w:r>
          </w:p>
        </w:tc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Sum of Squares</w:t>
            </w:r>
          </w:p>
        </w:tc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df</w:t>
            </w:r>
          </w:p>
        </w:tc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F-Statistic</w:t>
            </w:r>
          </w:p>
        </w:tc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p-value</w:t>
            </w:r>
          </w:p>
        </w:tc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Hypothesis Decision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Teaching_Method (Factor A)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6824.5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112.45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Reject Null Hypothesis (Significant Main Effect)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Math_Background (Factor B)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1468.2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48.32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Reject Null Hypothesis (Significant Main Effect)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Teaching_Method * Math_Background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417.3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6.87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.001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Reject Null Hypothesis (Significant Interaction)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Residuals (Error)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3462.8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—</w:t>
            </w:r>
          </w:p>
        </w:tc>
      </w:tr>
    </w:tbl>
    <w:p>
      <w:pPr>
        <w:spacing w:after="80"/>
      </w:pPr>
    </w:p>
    <w:p>
      <w:r>
        <w:rPr>
          <w:b/>
        </w:rPr>
        <w:t>Table 5.2: Cell Means and Marginal Means (Exam Score)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F5597"/>
          </w:tcPr>
          <w:p>
            <w:r>
              <w:rPr>
                <w:b/>
                <w:color w:val="FFFFFF"/>
              </w:rPr>
              <w:t>Teaching Method</w:t>
            </w:r>
          </w:p>
        </w:tc>
        <w:tc>
          <w:tcPr>
            <w:tcW w:type="dxa" w:w="2484"/>
            <w:shd w:fill="2F5597"/>
          </w:tcPr>
          <w:p>
            <w:r>
              <w:rPr>
                <w:b/>
                <w:color w:val="FFFFFF"/>
              </w:rPr>
              <w:t>Non-STEM (1)</w:t>
            </w:r>
          </w:p>
        </w:tc>
        <w:tc>
          <w:tcPr>
            <w:tcW w:type="dxa" w:w="2484"/>
            <w:shd w:fill="2F5597"/>
          </w:tcPr>
          <w:p>
            <w:r>
              <w:rPr>
                <w:b/>
                <w:color w:val="FFFFFF"/>
              </w:rPr>
              <w:t>STEM (2)</w:t>
            </w:r>
          </w:p>
        </w:tc>
        <w:tc>
          <w:tcPr>
            <w:tcW w:type="dxa" w:w="2484"/>
            <w:shd w:fill="2F5597"/>
          </w:tcPr>
          <w:p>
            <w:r>
              <w:rPr>
                <w:b/>
                <w:color w:val="FFFFFF"/>
              </w:rPr>
              <w:t>Marginal Mean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1 - Traditional Lecture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62.0 ± 6.0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74.0 ± 6.0</w:t>
            </w:r>
          </w:p>
        </w:tc>
        <w:tc>
          <w:tcPr>
            <w:tcW w:type="dxa" w:w="2484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68.0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2 - Blended Learning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72.0 ± 5.5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81.0 ± 5.5</w:t>
            </w:r>
          </w:p>
        </w:tc>
        <w:tc>
          <w:tcPr>
            <w:tcW w:type="dxa" w:w="2484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76.5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3 - Gamified Active Learning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83.0 ± 5.0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88.0 ± 5.0</w:t>
            </w:r>
          </w:p>
        </w:tc>
        <w:tc>
          <w:tcPr>
            <w:tcW w:type="dxa" w:w="2484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85.5</w:t>
            </w:r>
          </w:p>
        </w:tc>
      </w:tr>
      <w:tr>
        <w:tc>
          <w:tcPr>
            <w:tcW w:type="dxa" w:w="2484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Marginal Mean (Background)</w:t>
            </w:r>
          </w:p>
        </w:tc>
        <w:tc>
          <w:tcPr>
            <w:tcW w:type="dxa" w:w="2484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72.3</w:t>
            </w:r>
          </w:p>
        </w:tc>
        <w:tc>
          <w:tcPr>
            <w:tcW w:type="dxa" w:w="2484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81.0</w:t>
            </w:r>
          </w:p>
        </w:tc>
        <w:tc>
          <w:tcPr>
            <w:tcW w:type="dxa" w:w="2484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Overall Mean: 76.7</w:t>
            </w:r>
          </w:p>
        </w:tc>
      </w:tr>
    </w:tbl>
    <w:p>
      <w:r>
        <w:rPr>
          <w:i/>
          <w:sz w:val="18"/>
        </w:rPr>
        <w:t>Written Interpretation for Two-Way ANOVA:</w:t>
        <w:br/>
        <w:t>1. Main Effect of Teaching Method: Highly significant, F(2, 114) = 112.45, p &lt; .001. Gamified Active Learning produced the highest overall performance (M = 85.5), followed by Blended Learning (M = 76.5) and Traditional Lecture (M = 68.0).</w:t>
        <w:br/>
        <w:t>2. Main Effect of Math Background: Highly significant, F(1, 114) = 48.32, p &lt; .001. STEM students scored higher on average (M = 81.0) than Non-STEM students (M = 72.3).</w:t>
        <w:br/>
        <w:t>3. Interaction Effect: Statistically significant, F(2, 114) = 6.87, p = .001. While STEM students outperformed Non-STEM students across all methods, the performance gap was widest under Traditional Lecture (12.0 point gap) and smallest under Gamified Active Learning (only a 5.0 point gap). This indicates that Gamified Active Learning disproportionately benefits students with Non-STEM backgrounds.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F4E79"/>
          <w:sz w:val="32"/>
        </w:rPr>
        <w:t>SECTION 6: PROBLEM 5 (VARIANCE &amp; DESCRIPTIVES PRACTICE) - COMPLETE ANSWERS &amp; JAMOVI GUIDE</w:t>
      </w:r>
    </w:p>
    <w:p>
      <w:r>
        <w:rPr>
          <w:sz w:val="19"/>
        </w:rPr>
        <w:t>Statement of the Problem:</w:t>
        <w:br/>
        <w:t>Which academic section demonstrates greater consistency and lower dispersion in student quiz performance?</w:t>
        <w:br/>
        <w:br/>
        <w:t>Dataset Tab to Use: Prob5_Descriptives_Variance in Jamovi_Seatwork_Practice_Data.xlsx (N = 80: 40 Section Alpha, 40 Section Beta)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F5597"/>
          <w:sz w:val="26"/>
        </w:rPr>
        <w:t>Jamovi Step-by-Step Instructions for Descriptives &amp; Variance</w:t>
      </w:r>
    </w:p>
    <w:p>
      <w:r>
        <w:rPr>
          <w:sz w:val="19"/>
        </w:rPr>
        <w:t>Step 1: Open Tab &amp; Set Variables</w:t>
        <w:br/>
        <w:t>• In Jamovi, open sheet Prob5_Descriptives_Variance.</w:t>
        <w:br/>
        <w:t>• Double-click Section -&gt; Set Measure Type to Nominal (Levels: 1 = Section Alpha, 2 = Section Beta).</w:t>
        <w:br/>
        <w:t>• Double-click Quiz_Score -&gt; Set Measure Type to Continuous (123).</w:t>
        <w:br/>
        <w:br/>
        <w:t>Step 2: Run Exploration Descriptives Split by Section</w:t>
        <w:br/>
        <w:t>• Top menu: Analyses -&gt; Exploration -&gt; Descriptives.</w:t>
        <w:br/>
        <w:t>• Drag Quiz_Score into Variables box.</w:t>
        <w:br/>
        <w:t>• Drag Section into Split by box.</w:t>
        <w:br/>
        <w:t>• Under Central Tendency: check Mean and Median.</w:t>
        <w:br/>
        <w:t>• Under Dispersion: check Variance, Std. deviation, IQR, Minimum, Maximum.</w:t>
        <w:br/>
        <w:t>• Under Plots: check Box plot and Violin to visually inspect dispersion.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F5597"/>
          <w:sz w:val="26"/>
        </w:rPr>
        <w:t>Official Answer Tables for Descriptives &amp; Variance</w:t>
      </w:r>
    </w:p>
    <w:p>
      <w:r>
        <w:rPr>
          <w:b/>
        </w:rPr>
        <w:t>Table 6.1: Descriptive Statistics and Dispersion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Statistic / Metric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Section 1 (Alpha - Traditional)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Section 2 (Beta - Peer Study)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Sample Size (N)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Equal sample sizes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77.2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78.4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Comparable average mastery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Median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78.0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78.5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Close central tendency</w:t>
            </w:r>
          </w:p>
        </w:tc>
      </w:tr>
      <w:tr>
        <w:tc>
          <w:tcPr>
            <w:tcW w:type="dxa" w:w="2484"/>
            <w:shd w:fill="E2EFD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Variance (s²)</w:t>
            </w:r>
          </w:p>
        </w:tc>
        <w:tc>
          <w:tcPr>
            <w:tcW w:type="dxa" w:w="2484"/>
            <w:shd w:fill="E2EFD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163.3</w:t>
            </w:r>
          </w:p>
        </w:tc>
        <w:tc>
          <w:tcPr>
            <w:tcW w:type="dxa" w:w="2484"/>
            <w:shd w:fill="E2EFD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26.0</w:t>
            </w:r>
          </w:p>
        </w:tc>
        <w:tc>
          <w:tcPr>
            <w:tcW w:type="dxa" w:w="2484"/>
            <w:shd w:fill="E2EFD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Section Beta has 6.3x smaller variance!</w:t>
            </w:r>
          </w:p>
        </w:tc>
      </w:tr>
      <w:tr>
        <w:tc>
          <w:tcPr>
            <w:tcW w:type="dxa" w:w="2484"/>
            <w:shd w:fill="E2EFD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Standard Deviation (s)</w:t>
            </w:r>
          </w:p>
        </w:tc>
        <w:tc>
          <w:tcPr>
            <w:tcW w:type="dxa" w:w="2484"/>
            <w:shd w:fill="E2EFD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12.8</w:t>
            </w:r>
          </w:p>
        </w:tc>
        <w:tc>
          <w:tcPr>
            <w:tcW w:type="dxa" w:w="2484"/>
            <w:shd w:fill="E2EFD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5.1</w:t>
            </w:r>
          </w:p>
        </w:tc>
        <w:tc>
          <w:tcPr>
            <w:tcW w:type="dxa" w:w="2484"/>
            <w:shd w:fill="E2EFD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Section Beta is tightly clustered around the mean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Interquartile Range (IQR)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18.2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Middle 50% of Section Beta is tightly concentrated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Min - Max Range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48.0 - 98.0 (Range: 50.0)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68.0 - 89.0 (Range: 21.0)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Section Alpha shows wide extreme spreads</w:t>
            </w:r>
          </w:p>
        </w:tc>
      </w:tr>
    </w:tbl>
    <w:p>
      <w:r>
        <w:rPr>
          <w:i/>
          <w:sz w:val="18"/>
        </w:rPr>
        <w:t>Written Interpretation for Descriptives &amp; Variance:</w:t>
        <w:br/>
        <w:t>While both cohorts achieved nearly identical mean scores (Section Alpha = 77.2 vs Section Beta = 78.4), Section Beta exhibited far superior consistency in academic performance. The variance of Section Alpha (s² = 163.3, SD = 12.8) is more than six times greater than that of Section Beta (s² = 26.0, SD = 5.1). Furthermore, the interquartile range of Section Beta (IQR = 7.0) is much narrower than Section Alpha (IQR = 18.2).</w:t>
        <w:br/>
        <w:t>Conclusion: Section Beta (Peer Study) demonstrates significantly greater consistency, lower spread, and lower variability in quiz scores than Section Alpha (Traditional Study).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