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30"/>
          <w:szCs w:val="30"/>
        </w:rPr>
        <w:t xml:space="preserve">Technical Rider, бар Дорожка</w:t>
      </w:r>
      <w:r>
        <w:rPr>
          <w:rFonts w:ascii="Arial" w:hAnsi="Arial" w:eastAsia="Arial" w:cs="Arial"/>
        </w:rPr>
      </w:r>
    </w:p>
    <w:p>
      <w:pPr>
        <w:pBdr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  <w:i/>
          <w:iCs/>
          <w:sz w:val="20"/>
          <w:szCs w:val="20"/>
        </w:rPr>
        <w:t xml:space="preserve">обновлено </w:t>
      </w:r>
      <w:r>
        <w:rPr>
          <w:rFonts w:ascii="Arial" w:hAnsi="Arial" w:eastAsia="Arial" w:cs="Arial"/>
          <w:i/>
          <w:iCs/>
          <w:sz w:val="20"/>
          <w:szCs w:val="20"/>
          <w:lang w:val="ru-RU"/>
        </w:rPr>
        <w:t xml:space="preserve">24.09.2026</w:t>
      </w:r>
      <w:r>
        <w:rPr>
          <w:rFonts w:ascii="Arial" w:hAnsi="Arial" w:eastAsia="Arial" w:cs="Arial"/>
        </w:rPr>
      </w:r>
    </w:p>
    <w:p>
      <w:pPr>
        <w:pBdr/>
        <w:spacing w:after="1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В следующем документе представлено оборудование постоянно установленное на площадке.</w:t>
      </w:r>
      <w:r>
        <w:rPr>
          <w:rFonts w:ascii="Arial" w:hAnsi="Arial" w:eastAsia="Arial" w:cs="Arial"/>
        </w:rPr>
      </w:r>
    </w:p>
    <w:p>
      <w:pPr>
        <w:pBdr/>
        <w:spacing w:after="120" w:before="32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6"/>
          <w:szCs w:val="26"/>
        </w:rPr>
        <w:t xml:space="preserve">Аудио</w:t>
      </w:r>
      <w:r>
        <w:rPr>
          <w:rFonts w:ascii="Arial" w:hAnsi="Arial" w:eastAsia="Arial" w:cs="Arial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Акустические системы (PA):</w:t>
      </w:r>
      <w:r>
        <w:rPr>
          <w:rFonts w:ascii="Arial" w:hAnsi="Arial" w:eastAsia="Arial" w:cs="Arial"/>
        </w:rPr>
      </w:r>
    </w:p>
    <w:p>
      <w:pPr>
        <w:pBdr/>
        <w:spacing w:after="1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Стационарная PA-система на площадке не установлена.</w:t>
      </w:r>
      <w:r>
        <w:rPr>
          <w:rFonts w:ascii="Arial" w:hAnsi="Arial" w:eastAsia="Arial" w:cs="Arial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Микшерные пульты: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Yamaha MG12xu - 1 шт.;</w:t>
      </w:r>
      <w:r>
        <w:rPr>
          <w:rFonts w:ascii="Arial" w:hAnsi="Arial" w:eastAsia="Arial" w:cs="Arial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Мониторы: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Yamaha HS8 - 2 шт.;</w:t>
      </w:r>
      <w:r>
        <w:rPr>
          <w:rFonts w:ascii="Arial" w:hAnsi="Arial" w:eastAsia="Arial" w:cs="Arial"/>
        </w:rPr>
      </w:r>
    </w:p>
    <w:p w14:paraId="22649EEC"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  <w:highlight w:val="none"/>
        </w:rPr>
        <w:t xml:space="preserve">Turbosound M10 - 2 </w:t>
      </w:r>
      <w:r>
        <w:rPr>
          <w:rFonts w:ascii="Arial" w:hAnsi="Arial" w:eastAsia="Arial" w:cs="Arial"/>
          <w:sz w:val="22"/>
          <w:szCs w:val="22"/>
          <w:highlight w:val="none"/>
          <w:lang w:val="ru-RU"/>
        </w:rPr>
        <w:t xml:space="preserve">шт.</w:t>
      </w:r>
      <w:r>
        <w:rPr>
          <w:rFonts w:ascii="Arial" w:hAnsi="Arial" w:eastAsia="Arial" w:cs="Arial"/>
          <w:sz w:val="22"/>
          <w:szCs w:val="22"/>
          <w:highlight w:val="none"/>
          <w:lang w:val="ru-RU"/>
        </w:rPr>
        <w:t xml:space="preserve"> 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(</w:t>
      </w:r>
      <w:r>
        <w:rPr>
          <w:rFonts w:ascii="Arial" w:hAnsi="Arial" w:eastAsia="Arial" w:cs="Arial"/>
          <w:sz w:val="22"/>
          <w:szCs w:val="22"/>
          <w:highlight w:val="none"/>
          <w:lang w:val="ru-RU"/>
        </w:rPr>
        <w:t xml:space="preserve">по предварительному запросу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)</w:t>
      </w:r>
      <w:r>
        <w:rPr>
          <w:rFonts w:ascii="Arial" w:hAnsi="Arial" w:eastAsia="Arial" w:cs="Arial"/>
          <w:sz w:val="22"/>
          <w:szCs w:val="22"/>
          <w:highlight w:val="none"/>
          <w:lang w:val="en-US"/>
        </w:rPr>
        <w:t xml:space="preserve">;</w:t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DJ-оборудование: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Pioneer DJM750 Mk2 - 1 шт.;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Pioneer XDJ1000 Mk2 - 1 шт.;</w:t>
      </w:r>
      <w:r>
        <w:rPr>
          <w:rFonts w:ascii="Arial" w:hAnsi="Arial" w:eastAsia="Arial" w:cs="Arial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Микрофоны: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Behringer ULM300MIC - 2 шт.;</w:t>
      </w:r>
      <w:r>
        <w:rPr>
          <w:rFonts w:ascii="Arial" w:hAnsi="Arial" w:eastAsia="Arial" w:cs="Arial"/>
          <w:sz w:val="22"/>
          <w:szCs w:val="22"/>
          <w:lang w:val="ru-RU"/>
        </w:rPr>
        <w:t xml:space="preserve"> (один приемник – один ручной микрофон)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Arthur Forty U-9300C - 2 шт.;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(</w:t>
      </w:r>
      <w:r>
        <w:rPr>
          <w:rFonts w:ascii="Arial" w:hAnsi="Arial" w:eastAsia="Arial" w:cs="Arial"/>
          <w:lang w:val="ru-RU"/>
        </w:rPr>
        <w:t xml:space="preserve">один приемник – две ручных микрофона</w:t>
      </w:r>
      <w:r>
        <w:rPr>
          <w:rFonts w:ascii="Arial" w:hAnsi="Arial" w:eastAsia="Arial" w:cs="Arial"/>
        </w:rPr>
        <w:t xml:space="preserve">)</w:t>
      </w:r>
      <w:r>
        <w:rPr>
          <w:rFonts w:ascii="Arial" w:hAnsi="Arial" w:eastAsia="Arial" w:cs="Arial"/>
        </w:rPr>
      </w:r>
    </w:p>
    <w:p>
      <w:pPr>
        <w:pBdr/>
        <w:spacing w:after="120" w:before="32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6"/>
          <w:szCs w:val="26"/>
        </w:rPr>
        <w:t xml:space="preserve">Свет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LED Par - 2 шт.;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LED Bar - 8 шт.;</w:t>
      </w:r>
      <w:r>
        <w:rPr>
          <w:rFonts w:ascii="Arial" w:hAnsi="Arial" w:cs="Arial"/>
        </w:rPr>
      </w:r>
    </w:p>
    <w:p w14:paraId="2FEC0C27"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7CE93C"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  <w:highlight w:val="none"/>
          <w:lang w:val="ru-RU"/>
        </w:rPr>
        <w:t xml:space="preserve">Свет инсталлирован статически, управление по </w:t>
      </w:r>
      <w:r>
        <w:rPr>
          <w:rFonts w:ascii="Arial" w:hAnsi="Arial" w:eastAsia="Arial" w:cs="Arial"/>
          <w:sz w:val="22"/>
          <w:szCs w:val="22"/>
          <w:highlight w:val="none"/>
          <w:lang w:val="en-US"/>
        </w:rPr>
        <w:t xml:space="preserve">DMX</w:t>
      </w:r>
      <w:r>
        <w:rPr>
          <w:rFonts w:ascii="Arial" w:hAnsi="Arial" w:eastAsia="Arial" w:cs="Arial"/>
          <w:sz w:val="22"/>
          <w:szCs w:val="22"/>
          <w:highlight w:val="none"/>
          <w:lang w:val="ru-RU"/>
        </w:rPr>
        <w:t xml:space="preserve"> не предусмотрено.</w:t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 w:after="120" w:before="32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6"/>
          <w:szCs w:val="26"/>
        </w:rPr>
        <w:t xml:space="preserve">Видео</w:t>
      </w:r>
      <w:r>
        <w:rPr>
          <w:rFonts w:ascii="Arial" w:hAnsi="Arial" w:eastAsia="Arial" w:cs="Arial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Размер экрана:</w:t>
      </w:r>
      <w:r>
        <w:rPr>
          <w:rFonts w:ascii="Arial" w:hAnsi="Arial" w:eastAsia="Arial" w:cs="Arial"/>
        </w:rPr>
      </w:r>
    </w:p>
    <w:p>
      <w:pPr>
        <w:pBdr/>
        <w:spacing w:after="1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120” - 2 </w:t>
      </w:r>
      <w:r>
        <w:rPr>
          <w:rFonts w:ascii="Arial" w:hAnsi="Arial" w:eastAsia="Arial" w:cs="Arial"/>
          <w:sz w:val="22"/>
          <w:szCs w:val="22"/>
          <w:lang w:val="ru-RU"/>
        </w:rPr>
        <w:t xml:space="preserve">шт.</w:t>
      </w:r>
      <w:r>
        <w:rPr>
          <w:rFonts w:ascii="Arial" w:hAnsi="Arial" w:eastAsia="Arial" w:cs="Arial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Проектор:</w:t>
      </w:r>
      <w:r>
        <w:rPr>
          <w:rFonts w:ascii="Arial" w:hAnsi="Arial" w:eastAsia="Arial" w:cs="Arial"/>
        </w:rPr>
      </w:r>
    </w:p>
    <w:p>
      <w:pPr>
        <w:pBdr/>
        <w:spacing w:after="20"/>
        <w:ind/>
        <w:rPr>
          <w:rFonts w:ascii="Arial" w:hAnsi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EPSON EB-U05 - 2 шт.;</w:t>
      </w:r>
      <w:r>
        <w:rPr>
          <w:rFonts w:ascii="Arial" w:hAnsi="Arial" w:eastAsia="Arial" w:cs="Arial"/>
        </w:rPr>
      </w:r>
    </w:p>
    <w:p>
      <w:pPr>
        <w:pBdr/>
        <w:spacing w:after="80" w:before="2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  <w:lang w:val="ru-RU"/>
        </w:rPr>
        <w:t xml:space="preserve">ТТ для медиа файлов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:</w:t>
      </w:r>
      <w:r>
        <w:rPr>
          <w:rFonts w:ascii="Arial" w:hAnsi="Arial" w:eastAsia="Arial" w:cs="Arial"/>
        </w:rPr>
      </w:r>
    </w:p>
    <w:p>
      <w:pPr>
        <w:pBdr/>
        <w:spacing w:after="12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1920 x 1080 px</w:t>
      </w:r>
      <w:r>
        <w:rPr>
          <w:rFonts w:ascii="Arial" w:hAnsi="Arial" w:eastAsia="Arial" w:cs="Arial"/>
          <w:sz w:val="22"/>
          <w:szCs w:val="22"/>
          <w:lang w:val="ru-RU"/>
        </w:rPr>
        <w:t xml:space="preserve">, </w:t>
      </w:r>
      <w:r>
        <w:rPr>
          <w:rFonts w:ascii="Arial" w:hAnsi="Arial" w:eastAsia="Arial" w:cs="Arial"/>
          <w:sz w:val="22"/>
          <w:szCs w:val="22"/>
          <w:lang w:val="en-US"/>
        </w:rPr>
        <w:t xml:space="preserve">mp4 </w:t>
      </w:r>
      <w:r>
        <w:rPr>
          <w:rFonts w:ascii="Arial" w:hAnsi="Arial" w:eastAsia="Arial" w:cs="Arial"/>
          <w:sz w:val="22"/>
          <w:szCs w:val="22"/>
          <w:lang w:val="ru-RU"/>
        </w:rPr>
        <w:t xml:space="preserve">для видео, </w:t>
      </w:r>
      <w:r>
        <w:rPr>
          <w:rFonts w:ascii="Arial" w:hAnsi="Arial" w:eastAsia="Arial" w:cs="Arial"/>
          <w:sz w:val="22"/>
          <w:szCs w:val="22"/>
          <w:lang w:val="en-US"/>
        </w:rPr>
        <w:t xml:space="preserve">pptx</w:t>
      </w:r>
      <w:r>
        <w:rPr>
          <w:rFonts w:ascii="Arial" w:hAnsi="Arial" w:eastAsia="Arial" w:cs="Arial"/>
          <w:sz w:val="22"/>
          <w:szCs w:val="22"/>
          <w:lang w:val="ru-RU"/>
        </w:rPr>
        <w:t xml:space="preserve">/</w:t>
      </w:r>
      <w:r>
        <w:rPr>
          <w:rFonts w:ascii="Arial" w:hAnsi="Arial" w:eastAsia="Arial" w:cs="Arial"/>
          <w:sz w:val="22"/>
          <w:szCs w:val="22"/>
          <w:lang w:val="en-US"/>
        </w:rPr>
        <w:t xml:space="preserve">slides</w:t>
      </w:r>
      <w:r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sz w:val="22"/>
          <w:szCs w:val="22"/>
          <w:lang w:val="ru-RU"/>
        </w:rPr>
        <w:t xml:space="preserve">для презентаций. </w:t>
      </w:r>
      <w:r>
        <w:rPr>
          <w:rFonts w:ascii="Arial" w:hAnsi="Arial" w:eastAsia="Arial" w:cs="Arial"/>
          <w:sz w:val="22"/>
          <w:szCs w:val="22"/>
          <w:lang w:val="ru-RU"/>
        </w:rPr>
        <w:t xml:space="preserve">Презентации в формате </w:t>
      </w:r>
      <w:r>
        <w:rPr>
          <w:rFonts w:ascii="Arial" w:hAnsi="Arial" w:eastAsia="Arial" w:cs="Arial"/>
          <w:sz w:val="22"/>
          <w:szCs w:val="22"/>
          <w:lang w:val="en-US"/>
        </w:rPr>
        <w:t xml:space="preserve">.keynote </w:t>
      </w:r>
      <w:r>
        <w:rPr>
          <w:rFonts w:ascii="Arial" w:hAnsi="Arial" w:eastAsia="Arial" w:cs="Arial"/>
          <w:sz w:val="22"/>
          <w:szCs w:val="22"/>
          <w:lang w:val="ru-RU"/>
        </w:rPr>
        <w:t xml:space="preserve">только с вашего устройства по предварительному согласованию. </w:t>
      </w:r>
      <w:r>
        <w:rPr>
          <w:rFonts w:ascii="Arial" w:hAnsi="Arial" w:cs="Arial"/>
        </w:rPr>
      </w:r>
      <w:r>
        <w:rPr>
          <w:rFonts w:ascii="Arial" w:hAnsi="Arial" w:eastAsia="Arial" w:cs="Arial"/>
          <w:sz w:val="22"/>
          <w:szCs w:val="22"/>
          <w:highlight w:val="none"/>
          <w:lang w:val="ru-RU"/>
        </w:rPr>
        <w:t xml:space="preserve">По конкретным задачам и реализации </w:t>
      </w:r>
      <w:r>
        <w:rPr>
          <w:rFonts w:ascii="Arial" w:hAnsi="Arial" w:eastAsia="Arial" w:cs="Arial"/>
          <w:sz w:val="22"/>
          <w:szCs w:val="22"/>
          <w:highlight w:val="none"/>
          <w:lang w:val="ru-RU"/>
        </w:rPr>
        <w:t xml:space="preserve">уточняйте у технического персонала площадки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413266BB">
      <w:pPr>
        <w:pBdr/>
        <w:spacing w:after="120" w:before="32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</w:p>
    <w:p w14:paraId="21A4CA9E">
      <w:pPr>
        <w:pBdr/>
        <w:spacing w:after="120" w:before="320"/>
        <w:ind/>
        <w:rPr>
          <w:rFonts w:ascii="Arial" w:hAnsi="Arial" w:eastAsia="Arial" w:cs="Arial"/>
          <w:b/>
          <w:bCs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</w:p>
    <w:p w14:paraId="6792CE0E">
      <w:pPr>
        <w:pBdr/>
        <w:spacing w:after="120" w:before="320"/>
        <w:ind/>
        <w:rPr>
          <w:rFonts w:ascii="Arial" w:hAnsi="Arial" w:eastAsia="Arial" w:cs="Arial"/>
          <w:b/>
          <w:bCs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</w:p>
    <w:p w14:paraId="207B1FCC">
      <w:pPr>
        <w:pBdr/>
        <w:spacing w:after="120" w:before="320"/>
        <w:ind/>
        <w:rPr>
          <w:rFonts w:ascii="Arial" w:hAnsi="Arial" w:eastAsia="Arial" w:cs="Arial"/>
          <w:b/>
          <w:bCs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sz w:val="26"/>
          <w:szCs w:val="26"/>
          <w:highlight w:val="none"/>
        </w:rPr>
      </w:r>
    </w:p>
    <w:p>
      <w:pPr>
        <w:pBdr/>
        <w:spacing w:after="120" w:before="320"/>
        <w:ind/>
        <w:rPr>
          <w:rFonts w:ascii="Arial" w:hAnsi="Arial" w:eastAsia="Arial" w:cs="Arial"/>
          <w:b/>
          <w:bCs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sz w:val="26"/>
          <w:szCs w:val="26"/>
        </w:rPr>
        <w:t xml:space="preserve">Общие условия</w:t>
      </w:r>
      <w:r>
        <w:rPr>
          <w:rFonts w:ascii="Arial" w:hAnsi="Arial" w:eastAsia="Arial" w:cs="Arial"/>
        </w:rPr>
      </w:r>
    </w:p>
    <w:p>
      <w:pPr>
        <w:pBdr/>
        <w:spacing w:after="100"/>
        <w:ind w:hanging="200" w:left="360"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</w:rPr>
        <w:t xml:space="preserve">- Монтаж, демонтаж и работа технического персонала со сторонним оборудованием не входит в стоимость аренды и рассчитывается отдельно.</w:t>
      </w:r>
      <w:r>
        <w:rPr>
          <w:rFonts w:ascii="Arial" w:hAnsi="Arial" w:eastAsia="Arial" w:cs="Arial"/>
        </w:rPr>
      </w:r>
    </w:p>
    <w:p>
      <w:pPr>
        <w:pBdr/>
        <w:spacing w:after="100"/>
        <w:ind w:hanging="200" w:left="360"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</w:rPr>
        <w:t xml:space="preserve">- Список и схема расстан</w:t>
      </w:r>
      <w:r>
        <w:rPr>
          <w:rFonts w:ascii="Arial" w:hAnsi="Arial" w:eastAsia="Arial" w:cs="Arial"/>
          <w:sz w:val="20"/>
          <w:szCs w:val="20"/>
        </w:rPr>
        <w:t xml:space="preserve">овки стороннего звукового, светового и видео оборудования должны быть согласованы с техническим персоналом площадки не позднее чем за 7 дней до мероприятия. В списке обязательно должна быть указана общая потребляемая мощность стороннего оборудования в кВт.</w:t>
      </w:r>
      <w:r>
        <w:rPr>
          <w:rFonts w:ascii="Arial" w:hAnsi="Arial" w:eastAsia="Arial" w:cs="Arial"/>
        </w:rPr>
      </w:r>
    </w:p>
    <w:p>
      <w:pPr>
        <w:pBdr/>
        <w:spacing w:after="100"/>
        <w:ind w:hanging="200" w:left="360"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</w:rPr>
        <w:t xml:space="preserve">- В случае</w:t>
      </w:r>
      <w:r>
        <w:rPr>
          <w:rFonts w:ascii="Arial" w:hAnsi="Arial" w:eastAsia="Arial" w:cs="Arial"/>
          <w:sz w:val="20"/>
          <w:szCs w:val="20"/>
        </w:rPr>
        <w:t xml:space="preserve"> если техническую реализацию мероприятия берет на себя площадка, все данные для должного обеспечения (технические райдеры артистов, стейдж-планы, лайт-плот) должны быть предоставлены техническому персоналу площадки не позднее чем за 14 дней до мероприятия.</w:t>
      </w:r>
      <w:r>
        <w:rPr>
          <w:rFonts w:ascii="Arial" w:hAnsi="Arial" w:eastAsia="Arial" w:cs="Arial"/>
        </w:rPr>
      </w:r>
    </w:p>
    <w:p>
      <w:pPr>
        <w:pBdr/>
        <w:spacing w:after="100"/>
        <w:ind w:hanging="200" w:left="360"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</w:rPr>
        <w:t xml:space="preserve">- Использование генераторов дыма и тумана, генераторов мыльных пузырей или машины для конфетти должно быть согласовано с техническим персоналом площадки заранее.</w:t>
      </w:r>
      <w:r>
        <w:rPr>
          <w:rFonts w:ascii="Arial" w:hAnsi="Arial" w:eastAsia="Arial" w:cs="Arial"/>
        </w:rPr>
      </w:r>
    </w:p>
    <w:p>
      <w:pPr>
        <w:pBdr/>
        <w:spacing w:after="100"/>
        <w:ind w:hanging="200" w:left="360"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</w:rPr>
        <w:t xml:space="preserve">- Громкость акустических систем на площадке может регулироваться отдельно.</w:t>
      </w:r>
      <w:r>
        <w:rPr>
          <w:rFonts w:ascii="Arial" w:hAnsi="Arial" w:eastAsia="Arial" w:cs="Arial"/>
        </w:rPr>
      </w:r>
    </w:p>
    <w:p>
      <w:pPr>
        <w:pBdr/>
        <w:spacing w:after="100"/>
        <w:ind w:hanging="200" w:left="360"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</w:rPr>
        <w:t xml:space="preserve">- Перечисленное стационарное оборудование инсталлировано в соответствии с технической документацией площадки, демонтаж данного оборудования не допускается.</w:t>
      </w:r>
      <w:r>
        <w:rPr>
          <w:rFonts w:ascii="Arial" w:hAnsi="Arial" w:eastAsia="Arial" w:cs="Arial"/>
        </w:rPr>
      </w:r>
    </w:p>
    <w:p>
      <w:pPr>
        <w:pBdr/>
        <w:spacing w:after="100"/>
        <w:ind w:hanging="200" w:left="360"/>
        <w:rPr>
          <w:rFonts w:ascii="Arial" w:hAnsi="Arial" w:cs="Arial"/>
        </w:rPr>
      </w:pPr>
      <w:r>
        <w:rPr>
          <w:rFonts w:ascii="Arial" w:hAnsi="Arial" w:eastAsia="Arial" w:cs="Arial"/>
          <w:sz w:val="20"/>
          <w:szCs w:val="20"/>
        </w:rPr>
        <w:t xml:space="preserve">- По любым уточняющим вопросам просим как можно раньше обратиться к техническому персоналу площадки.</w:t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000" w:right="1200" w:bottom="1000" w:left="12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2026-09-24T09:15:56Z</dcterms:created>
  <dcterms:modified xsi:type="dcterms:W3CDTF">2026-09-24T09:27:29Z</dcterms:modified>
</cp:coreProperties>
</file>