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65A17" w:rsidRDefault="00000000">
      <w:pPr>
        <w:pStyle w:val="Heading3"/>
      </w:pPr>
      <w:bookmarkStart w:id="0" w:name="_2q1ktto5iv4o" w:colFirst="0" w:colLast="0"/>
      <w:bookmarkEnd w:id="0"/>
      <w:r>
        <w:t>Technical Integration, Validation, and Verification (IV&amp;V) Document: SyncAuto AI</w:t>
      </w:r>
    </w:p>
    <w:p w14:paraId="00000002" w14:textId="77777777" w:rsidR="00165A17" w:rsidRDefault="00000000">
      <w:pPr>
        <w:pStyle w:val="Heading5"/>
      </w:pPr>
      <w:bookmarkStart w:id="1" w:name="_8bitv5cdy7pc" w:colFirst="0" w:colLast="0"/>
      <w:bookmarkEnd w:id="1"/>
      <w:r>
        <w:t>1. System Overview and Integration Scope</w:t>
      </w:r>
    </w:p>
    <w:p w14:paraId="00000003" w14:textId="77777777" w:rsidR="00165A17" w:rsidRDefault="00000000">
      <w:r>
        <w:t>SyncAuto AI is an AI-native architecture engineered to automate the audit, configuration, and monitoring of high-precision timing networks. As a Senior IV&amp;V Lead, I define the system as a three-tier synchronized environment where the verification of data integrity across "The Brain," "The Hands," and "The Interface" is paramount for maintaining sub-microsecond accuracy.</w:t>
      </w:r>
    </w:p>
    <w:p w14:paraId="00000004" w14:textId="77777777" w:rsidR="00165A17" w:rsidRDefault="00000000">
      <w:pPr>
        <w:numPr>
          <w:ilvl w:val="0"/>
          <w:numId w:val="6"/>
        </w:numPr>
      </w:pPr>
      <w:r>
        <w:rPr>
          <w:b/>
          <w:bCs/>
        </w:rPr>
        <w:t>The Brain (LLM Knowledge Engine):</w:t>
      </w:r>
      <w:r>
        <w:t xml:space="preserve">  The authoritative logic layer. It synthesizes global timing standards and multi-vendor CLI manuals into a machine-readable expertise base.</w:t>
      </w:r>
    </w:p>
    <w:p w14:paraId="00000005" w14:textId="77777777" w:rsidR="00165A17" w:rsidRDefault="00000000">
      <w:pPr>
        <w:numPr>
          <w:ilvl w:val="0"/>
          <w:numId w:val="6"/>
        </w:numPr>
      </w:pPr>
      <w:r>
        <w:rPr>
          <w:b/>
          <w:bCs/>
        </w:rPr>
        <w:t>The Hands (Agentic Workflow Engine):</w:t>
      </w:r>
      <w:r>
        <w:t xml:space="preserve">  The execution layer. It employs specialized agents to parse raw network telemetry and configuration files, applying the Brain's logic to generate a structured Sync Health Score.</w:t>
      </w:r>
    </w:p>
    <w:p w14:paraId="00000006" w14:textId="77777777" w:rsidR="00165A17" w:rsidRDefault="00000000">
      <w:pPr>
        <w:numPr>
          <w:ilvl w:val="0"/>
          <w:numId w:val="6"/>
        </w:numPr>
      </w:pPr>
      <w:r>
        <w:rPr>
          <w:b/>
          <w:bCs/>
        </w:rPr>
        <w:t>The Interface (Client Dashboard):</w:t>
      </w:r>
      <w:r>
        <w:t xml:space="preserve">  The presentation and remediation layer. It translates complex agent reasoning into visual health metrics, real-time alerts, and actionable playbooks.| Component | Primary Function | Technical Dependencies || ------ | ------ | ------ || </w:t>
      </w:r>
      <w:r>
        <w:rPr>
          <w:b/>
          <w:bCs/>
        </w:rPr>
        <w:t>The Brain</w:t>
      </w:r>
      <w:r>
        <w:t xml:space="preserve"> | Logic and standards interpretation | Standard ingestion engine (IEEE/ITU-T); CLI manual logic (Cisco, Nokia, Juniper, Ericsson). || </w:t>
      </w:r>
      <w:r>
        <w:rPr>
          <w:b/>
          <w:bCs/>
        </w:rPr>
        <w:t>The Hands</w:t>
      </w:r>
      <w:r>
        <w:t xml:space="preserve"> | Data parsing and reasoning | Config/GNSS log parsing; ‘The Brain’ logic outputs; automated reasoning agents. || </w:t>
      </w:r>
      <w:r>
        <w:rPr>
          <w:b/>
          <w:bCs/>
        </w:rPr>
        <w:t>The Interface</w:t>
      </w:r>
      <w:r>
        <w:t xml:space="preserve"> | Visualisation and remediation | Structured JSON telemetry; Sync Health Score data; one-click remediation playbook mapping. |</w:t>
      </w:r>
    </w:p>
    <w:p w14:paraId="00000007" w14:textId="77777777" w:rsidR="00165A17" w:rsidRDefault="00000000">
      <w:pPr>
        <w:pStyle w:val="Heading5"/>
      </w:pPr>
      <w:bookmarkStart w:id="2" w:name="_pe5pv98nix1i" w:colFirst="0" w:colLast="0"/>
      <w:bookmarkEnd w:id="2"/>
      <w:r>
        <w:t>2. Core Component Integration Verification</w:t>
      </w:r>
    </w:p>
    <w:p w14:paraId="00000008" w14:textId="77777777" w:rsidR="00165A17" w:rsidRDefault="00000000">
      <w:pPr>
        <w:rPr>
          <w:b/>
          <w:bCs/>
        </w:rPr>
      </w:pPr>
      <w:r>
        <w:t>Verification of the integration flow ensures that a network’s timing health is never obscured by data silos. The process follows a strict unidirectional flow: The Brain informs the parsing logic of The Hands, which then pushes reasoning-backed results to The Interface.</w:t>
      </w:r>
      <w:r>
        <w:rPr>
          <w:b/>
          <w:bCs/>
        </w:rPr>
        <w:t>Verification Requirements for Data Hand-offs:</w:t>
      </w:r>
    </w:p>
    <w:p w14:paraId="00000009" w14:textId="77777777" w:rsidR="00165A17" w:rsidRDefault="00000000">
      <w:pPr>
        <w:numPr>
          <w:ilvl w:val="0"/>
          <w:numId w:val="1"/>
        </w:numPr>
      </w:pPr>
      <w:r>
        <w:rPr>
          <w:b/>
          <w:bCs/>
        </w:rPr>
        <w:t>Logic Traceability (Brain to Hands):</w:t>
      </w:r>
      <w:r>
        <w:t xml:space="preserve">  Validation Test: Cross-reference agent logic outputs against IEEE 1588v2 golden datasets to ensure zero-variance parsing of clock-class and priority fields.</w:t>
      </w:r>
    </w:p>
    <w:p w14:paraId="0000000A" w14:textId="77777777" w:rsidR="00165A17" w:rsidRDefault="00000000">
      <w:pPr>
        <w:numPr>
          <w:ilvl w:val="0"/>
          <w:numId w:val="1"/>
        </w:numPr>
      </w:pPr>
      <w:r>
        <w:rPr>
          <w:b/>
          <w:bCs/>
        </w:rPr>
        <w:t>Metric Preservation (Hands to Interface):</w:t>
      </w:r>
      <w:r>
        <w:t xml:space="preserve">  Acceptance Criteria: The 'Sync Health Score' and associated reasoning context (the "why" behind the score) must be transmitted to the Dashboard via secure JSON without data loss or truncation.</w:t>
      </w:r>
    </w:p>
    <w:p w14:paraId="0000000B" w14:textId="77777777" w:rsidR="00165A17" w:rsidRDefault="00000000">
      <w:pPr>
        <w:numPr>
          <w:ilvl w:val="0"/>
          <w:numId w:val="1"/>
        </w:numPr>
      </w:pPr>
      <w:r>
        <w:rPr>
          <w:b/>
          <w:bCs/>
        </w:rPr>
        <w:t>Real-Time Alert Triggering:</w:t>
      </w:r>
      <w:r>
        <w:t xml:space="preserve">  Verification Method: Simulate a GNSS interference event in the Workflow Engine and verify that 'Guardian Retainer' agents trigger a Dashboard alert in &lt;5 seconds.</w:t>
      </w:r>
    </w:p>
    <w:p w14:paraId="0000000C" w14:textId="77777777" w:rsidR="00165A17" w:rsidRDefault="00000000">
      <w:pPr>
        <w:numPr>
          <w:ilvl w:val="0"/>
          <w:numId w:val="1"/>
        </w:numPr>
      </w:pPr>
      <w:r>
        <w:rPr>
          <w:b/>
          <w:bCs/>
        </w:rPr>
        <w:t>Remediation Mapping Accuracy:</w:t>
      </w:r>
      <w:r>
        <w:t xml:space="preserve">  Validation Test: Ensure identified root causes (e.g., holdover degradation) correctly map to the corresponding vendor-specific CLI remediation script in the Interface.</w:t>
      </w:r>
    </w:p>
    <w:p w14:paraId="0000000D" w14:textId="77777777" w:rsidR="00165A17" w:rsidRDefault="00000000">
      <w:pPr>
        <w:pStyle w:val="Heading5"/>
      </w:pPr>
      <w:bookmarkStart w:id="3" w:name="_2d7erloz8erw" w:colFirst="0" w:colLast="0"/>
      <w:bookmarkEnd w:id="3"/>
      <w:r>
        <w:t>3. Standards Validation Framework (IEEE &amp; ITU-T)</w:t>
      </w:r>
    </w:p>
    <w:p w14:paraId="0000000E" w14:textId="77777777" w:rsidR="00165A17" w:rsidRDefault="00000000">
      <w:r>
        <w:t xml:space="preserve">The system’s domain expertise is validated against a rigorous matrix of timing-specific standards. IV&amp;V protocols include simulated packet delay variation (PDV) logs to ensure </w:t>
      </w:r>
      <w:r>
        <w:lastRenderedPageBreak/>
        <w:t xml:space="preserve">'The Hands' flags PDV above the 1μs </w:t>
      </w:r>
      <w:proofErr w:type="gramStart"/>
      <w:r>
        <w:t>threshold.|</w:t>
      </w:r>
      <w:proofErr w:type="gramEnd"/>
      <w:r>
        <w:t xml:space="preserve"> Standard Category | Specific Standards | Validation Focus || ------ | ------ | ------ || </w:t>
      </w:r>
      <w:r>
        <w:rPr>
          <w:b/>
          <w:bCs/>
        </w:rPr>
        <w:t>Core Timing</w:t>
      </w:r>
      <w:r>
        <w:t xml:space="preserve"> | IEEE 1588v2 (PTP), SyncE, ESMC | Precision sync and clock quality messaging (SSM/ESMC). || </w:t>
      </w:r>
      <w:r>
        <w:rPr>
          <w:b/>
          <w:bCs/>
        </w:rPr>
        <w:t>Telecom Profiles</w:t>
      </w:r>
      <w:r>
        <w:t xml:space="preserve"> | ITU-T G.8275.1, ITU-T G.8275.2 | Full and partial timing support (FTS/PTS) validation. || </w:t>
      </w:r>
      <w:r>
        <w:rPr>
          <w:b/>
          <w:bCs/>
        </w:rPr>
        <w:t>Financial/HFT</w:t>
      </w:r>
      <w:r>
        <w:t xml:space="preserve"> | MiFID II, FINRA | UTC clock traceability and mandatory audit trails. || </w:t>
      </w:r>
      <w:r>
        <w:rPr>
          <w:b/>
          <w:bCs/>
        </w:rPr>
        <w:t>Power Utilities</w:t>
      </w:r>
      <w:r>
        <w:t xml:space="preserve"> | IEEE C37.238, IEC 61850 | Phase-accurate PTP for substation automation. || </w:t>
      </w:r>
      <w:r>
        <w:rPr>
          <w:b/>
          <w:bCs/>
        </w:rPr>
        <w:t>Media/Broadcast</w:t>
      </w:r>
      <w:r>
        <w:t xml:space="preserve"> | SMPTE ST 2110 | IP-video migration and sync dependencies. |</w:t>
      </w:r>
    </w:p>
    <w:p w14:paraId="0000000F" w14:textId="77777777" w:rsidR="00165A17" w:rsidRDefault="00000000">
      <w:r>
        <w:rPr>
          <w:b/>
          <w:bCs/>
        </w:rPr>
        <w:t xml:space="preserve">LLM Validation Logic </w:t>
      </w:r>
      <w:proofErr w:type="gramStart"/>
      <w:r>
        <w:rPr>
          <w:b/>
          <w:bCs/>
        </w:rPr>
        <w:t>Directive:SYSTEM</w:t>
      </w:r>
      <w:proofErr w:type="gramEnd"/>
      <w:r>
        <w:rPr>
          <w:b/>
          <w:bCs/>
        </w:rPr>
        <w:t xml:space="preserve"> DIRECTIVE:</w:t>
      </w:r>
      <w:r>
        <w:t xml:space="preserve">  You are the Lead Timing Architect. You are to parse the uploaded CLI configuration against the ITU-T G.8275.1 profile. You must identify any clock-class mismatches and flag potential "Timing Islands" where a Grandmaster is not reachable or where PTP Domain IDs are inconsistent across the topology.</w:t>
      </w:r>
    </w:p>
    <w:p w14:paraId="00000010" w14:textId="77777777" w:rsidR="00165A17" w:rsidRDefault="00000000">
      <w:pPr>
        <w:pStyle w:val="Heading5"/>
      </w:pPr>
      <w:bookmarkStart w:id="4" w:name="_va6xixyk7q69" w:colFirst="0" w:colLast="0"/>
      <w:bookmarkEnd w:id="4"/>
      <w:r>
        <w:t>4. Technical Performance Verification: Precision &amp; Latency</w:t>
      </w:r>
    </w:p>
    <w:p w14:paraId="00000011" w14:textId="77777777" w:rsidR="00165A17" w:rsidRDefault="00000000">
      <w:r>
        <w:t xml:space="preserve">Precision is verified through agent-based telemetry verification against GNSS-disciplined reference clocks to ensure the 1μs mandate is </w:t>
      </w:r>
      <w:proofErr w:type="gramStart"/>
      <w:r>
        <w:t>upheld.|</w:t>
      </w:r>
      <w:proofErr w:type="gramEnd"/>
      <w:r>
        <w:t xml:space="preserve"> Metric | Target Threshold | Verification Method || ------ | ------ | ------ || </w:t>
      </w:r>
      <w:r>
        <w:rPr>
          <w:b/>
          <w:bCs/>
        </w:rPr>
        <w:t>Sync Drift Protection</w:t>
      </w:r>
      <w:r>
        <w:t xml:space="preserve"> | 1μs | Continuous monitoring via 'Guardian Retainer' agents against reference clock telemetry. || </w:t>
      </w:r>
      <w:r>
        <w:rPr>
          <w:b/>
          <w:bCs/>
        </w:rPr>
        <w:t>Audit Turnaround</w:t>
      </w:r>
      <w:r>
        <w:t xml:space="preserve"> | &lt;48 Hours | End-to-end timestamping from config ingestion to PDF report generation. || </w:t>
      </w:r>
      <w:r>
        <w:rPr>
          <w:b/>
          <w:bCs/>
        </w:rPr>
        <w:t>Emergency Triage Response</w:t>
      </w:r>
      <w:r>
        <w:t xml:space="preserve"> | &lt;30 Minutes | Response latency test for 'Emergency Vibe' Troubleshooting Agent root-cause analysis. || </w:t>
      </w:r>
      <w:r>
        <w:rPr>
          <w:b/>
          <w:bCs/>
        </w:rPr>
        <w:t>Operating Leverage</w:t>
      </w:r>
      <w:r>
        <w:t xml:space="preserve"> | 10x | Time-motion study comparing AI-native audit generation vs. manual PTP consultant hours. |</w:t>
      </w:r>
    </w:p>
    <w:p w14:paraId="00000012" w14:textId="77777777" w:rsidR="00165A17" w:rsidRDefault="00000000">
      <w:pPr>
        <w:pStyle w:val="Heading5"/>
      </w:pPr>
      <w:bookmarkStart w:id="5" w:name="_p1ifpo5qadsc" w:colFirst="0" w:colLast="0"/>
      <w:bookmarkEnd w:id="5"/>
      <w:r>
        <w:t>5. Vendor-Agnostic Parsing &amp; Interoperability Verification</w:t>
      </w:r>
    </w:p>
    <w:p w14:paraId="00000013" w14:textId="77777777" w:rsidR="00165A17" w:rsidRDefault="00000000">
      <w:pPr>
        <w:rPr>
          <w:b/>
          <w:bCs/>
        </w:rPr>
      </w:pPr>
      <w:r>
        <w:t xml:space="preserve">IV&amp;V must confirm the platform's ability to normalize data from Cisco, Nokia, Juniper, and Ericsson environments. This requires proving the AI can identify inconsistencies when a PTP profile is implemented on hardware that does not support the required timestamping </w:t>
      </w:r>
      <w:proofErr w:type="gramStart"/>
      <w:r>
        <w:t>accuracy.</w:t>
      </w:r>
      <w:r>
        <w:rPr>
          <w:b/>
          <w:bCs/>
        </w:rPr>
        <w:t>Test</w:t>
      </w:r>
      <w:proofErr w:type="gramEnd"/>
      <w:r>
        <w:rPr>
          <w:b/>
          <w:bCs/>
        </w:rPr>
        <w:t xml:space="preserve"> Case: Cross-Vendor Configuration Audit</w:t>
      </w:r>
    </w:p>
    <w:p w14:paraId="00000014" w14:textId="77777777" w:rsidR="00165A17" w:rsidRDefault="00000000">
      <w:pPr>
        <w:numPr>
          <w:ilvl w:val="0"/>
          <w:numId w:val="4"/>
        </w:numPr>
      </w:pPr>
      <w:r>
        <w:rPr>
          <w:b/>
          <w:bCs/>
        </w:rPr>
        <w:t>Objective:</w:t>
      </w:r>
      <w:r>
        <w:t xml:space="preserve">  Identify inconsistencies in a mixed-hardware topology (e.g., Cisco Grandmaster to Nokia Boundary Clock).</w:t>
      </w:r>
    </w:p>
    <w:p w14:paraId="00000015" w14:textId="77777777" w:rsidR="00165A17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Verification Steps:</w:t>
      </w:r>
    </w:p>
    <w:p w14:paraId="00000016" w14:textId="77777777" w:rsidR="00165A17" w:rsidRDefault="00000000">
      <w:pPr>
        <w:numPr>
          <w:ilvl w:val="0"/>
          <w:numId w:val="4"/>
        </w:numPr>
      </w:pPr>
      <w:r>
        <w:t>Ingest disparate CLI formats from at least two vendors simultaneously.</w:t>
      </w:r>
    </w:p>
    <w:p w14:paraId="00000017" w14:textId="77777777" w:rsidR="00165A17" w:rsidRDefault="00000000">
      <w:pPr>
        <w:numPr>
          <w:ilvl w:val="0"/>
          <w:numId w:val="4"/>
        </w:numPr>
      </w:pPr>
      <w:r>
        <w:t>Reason across the topology to identify mismatches between PTP profile implementation and specific hardware capabilities.</w:t>
      </w:r>
    </w:p>
    <w:p w14:paraId="00000018" w14:textId="77777777" w:rsidR="00165A17" w:rsidRDefault="00000000">
      <w:pPr>
        <w:numPr>
          <w:ilvl w:val="0"/>
          <w:numId w:val="4"/>
        </w:numPr>
      </w:pPr>
      <w:r>
        <w:t>Flag any "PDV Anomaly" caused by non-timing-aware intermediate switches.</w:t>
      </w:r>
    </w:p>
    <w:p w14:paraId="00000019" w14:textId="77777777" w:rsidR="00165A17" w:rsidRDefault="00000000">
      <w:pPr>
        <w:pStyle w:val="Heading5"/>
      </w:pPr>
      <w:bookmarkStart w:id="6" w:name="_kdx370f3b6rx" w:colFirst="0" w:colLast="0"/>
      <w:bookmarkEnd w:id="6"/>
      <w:r>
        <w:t>6. Emergency Triage and Remediation Validation</w:t>
      </w:r>
    </w:p>
    <w:p w14:paraId="0000001A" w14:textId="77777777" w:rsidR="00165A17" w:rsidRDefault="00000000">
      <w:pPr>
        <w:rPr>
          <w:b/>
          <w:bCs/>
        </w:rPr>
      </w:pPr>
      <w:r>
        <w:t xml:space="preserve">The 'Emergency Vibe' service must be validated for high-stakes responsiveness. The Troubleshooting Agent is verified for sub-30-minute triage by processing historical outage logs and generating accurate root-cause </w:t>
      </w:r>
      <w:proofErr w:type="gramStart"/>
      <w:r>
        <w:t>identifications.</w:t>
      </w:r>
      <w:r>
        <w:rPr>
          <w:b/>
          <w:bCs/>
        </w:rPr>
        <w:t>Remediation</w:t>
      </w:r>
      <w:proofErr w:type="gramEnd"/>
      <w:r>
        <w:rPr>
          <w:b/>
          <w:bCs/>
        </w:rPr>
        <w:t xml:space="preserve"> Validation Steps:</w:t>
      </w:r>
    </w:p>
    <w:p w14:paraId="0000001B" w14:textId="77777777" w:rsidR="00165A17" w:rsidRDefault="00000000">
      <w:pPr>
        <w:numPr>
          <w:ilvl w:val="0"/>
          <w:numId w:val="3"/>
        </w:numPr>
      </w:pPr>
      <w:r>
        <w:rPr>
          <w:b/>
          <w:bCs/>
        </w:rPr>
        <w:t>Root-Cause Accuracy:</w:t>
      </w:r>
      <w:r>
        <w:t xml:space="preserve">  Verification through "Failure Mode Injection," ensuring the system distinguishes between GNSS interference, holdover degradation, and path asymmetry.</w:t>
      </w:r>
    </w:p>
    <w:p w14:paraId="0000001C" w14:textId="77777777" w:rsidR="00165A17" w:rsidRDefault="00000000">
      <w:pPr>
        <w:numPr>
          <w:ilvl w:val="0"/>
          <w:numId w:val="3"/>
        </w:numPr>
      </w:pPr>
      <w:r>
        <w:rPr>
          <w:b/>
          <w:bCs/>
        </w:rPr>
        <w:t>Actionable Remediation:</w:t>
      </w:r>
      <w:r>
        <w:t xml:space="preserve">  Validation of 'One-Click Remediation Playbooks' to ensure they provide specific, vendor-correct CLI commands based on the identified failure mode.</w:t>
      </w:r>
    </w:p>
    <w:p w14:paraId="0000001D" w14:textId="77777777" w:rsidR="00165A17" w:rsidRDefault="00000000">
      <w:pPr>
        <w:pStyle w:val="Heading5"/>
      </w:pPr>
      <w:bookmarkStart w:id="7" w:name="_bgmd4ajpdwgo" w:colFirst="0" w:colLast="0"/>
      <w:bookmarkEnd w:id="7"/>
      <w:r>
        <w:lastRenderedPageBreak/>
        <w:t>7. Compliance and Regulatory Audit Verification</w:t>
      </w:r>
    </w:p>
    <w:p w14:paraId="0000001E" w14:textId="77777777" w:rsidR="00165A17" w:rsidRDefault="00000000">
      <w:r>
        <w:t>The system verifies compliance through automated traceability reports tailored to industry-specific mandates:</w:t>
      </w:r>
    </w:p>
    <w:p w14:paraId="0000001F" w14:textId="77777777" w:rsidR="00165A17" w:rsidRDefault="00000000">
      <w:pPr>
        <w:numPr>
          <w:ilvl w:val="0"/>
          <w:numId w:val="2"/>
        </w:numPr>
      </w:pPr>
      <w:r>
        <w:rPr>
          <w:b/>
          <w:bCs/>
        </w:rPr>
        <w:t>FinTech/HFT:</w:t>
      </w:r>
      <w:r>
        <w:t xml:space="preserve">  Verification of UTC clock traceability (MiFID II/FINRA) via automated audit of PTP path delay and Grandmaster offset.</w:t>
      </w:r>
    </w:p>
    <w:p w14:paraId="00000020" w14:textId="77777777" w:rsidR="00165A17" w:rsidRDefault="00000000">
      <w:pPr>
        <w:numPr>
          <w:ilvl w:val="0"/>
          <w:numId w:val="2"/>
        </w:numPr>
      </w:pPr>
      <w:r>
        <w:rPr>
          <w:b/>
          <w:bCs/>
        </w:rPr>
        <w:t>Power Utilities:</w:t>
      </w:r>
      <w:r>
        <w:t xml:space="preserve">  Validation of phase-accurate PTP across substations (IEC 61850) to ensure smart grid stability.</w:t>
      </w:r>
    </w:p>
    <w:p w14:paraId="00000021" w14:textId="77777777" w:rsidR="00165A17" w:rsidRDefault="00000000">
      <w:pPr>
        <w:numPr>
          <w:ilvl w:val="0"/>
          <w:numId w:val="2"/>
        </w:numPr>
      </w:pPr>
      <w:r>
        <w:rPr>
          <w:b/>
          <w:bCs/>
        </w:rPr>
        <w:t>5G Networks:</w:t>
      </w:r>
      <w:r>
        <w:t xml:space="preserve">  Verification of sub-μs synchronisation for Industry 4.0 robotics and Private 5G deployments where local IT lack timing expertise.</w:t>
      </w:r>
    </w:p>
    <w:p w14:paraId="00000022" w14:textId="77777777" w:rsidR="00165A17" w:rsidRDefault="00000000">
      <w:pPr>
        <w:pStyle w:val="Heading5"/>
      </w:pPr>
      <w:bookmarkStart w:id="8" w:name="_klxomfc7yzmj" w:colFirst="0" w:colLast="0"/>
      <w:bookmarkEnd w:id="8"/>
      <w:r>
        <w:t>8. Verification of the 'Expert Loop' and Data Flywheel</w:t>
      </w:r>
    </w:p>
    <w:p w14:paraId="00000023" w14:textId="77777777" w:rsidR="00165A17" w:rsidRDefault="00000000">
      <w:r>
        <w:t xml:space="preserve">The 'Expert Loop' constitutes a </w:t>
      </w:r>
      <w:proofErr w:type="gramStart"/>
      <w:r>
        <w:t>closed-loop IV</w:t>
      </w:r>
      <w:proofErr w:type="gramEnd"/>
      <w:r>
        <w:t>&amp;V mechanism where the system's accuracy compounds without human headcount.</w:t>
      </w:r>
    </w:p>
    <w:p w14:paraId="00000024" w14:textId="77777777" w:rsidR="00165A17" w:rsidRDefault="00000000">
      <w:pPr>
        <w:numPr>
          <w:ilvl w:val="0"/>
          <w:numId w:val="5"/>
        </w:numPr>
      </w:pPr>
      <w:r>
        <w:rPr>
          <w:b/>
          <w:bCs/>
        </w:rPr>
        <w:t>Closed-Loop Update Protocol:</w:t>
      </w:r>
      <w:r>
        <w:t xml:space="preserve">  Verified updates to 'The Brain' occur when the system ingests 'real outage postmortems.' These updates must pass a regression test against the core standards (Section 3) before deployment to 'The Hands.'</w:t>
      </w:r>
    </w:p>
    <w:p w14:paraId="00000025" w14:textId="77777777" w:rsidR="00165A17" w:rsidRDefault="00000000">
      <w:pPr>
        <w:numPr>
          <w:ilvl w:val="0"/>
          <w:numId w:val="5"/>
        </w:numPr>
      </w:pPr>
      <w:r>
        <w:rPr>
          <w:b/>
          <w:bCs/>
        </w:rPr>
        <w:t>Knowledge Compounding:</w:t>
      </w:r>
      <w:r>
        <w:t xml:space="preserve">  Every audit performed enriches the Knowledge Engine via aggregated, anonymised data, increasing the Troubleshooting Agent's precision.</w:t>
      </w:r>
    </w:p>
    <w:p w14:paraId="00000026" w14:textId="77777777" w:rsidR="00165A17" w:rsidRDefault="00000000">
      <w:pPr>
        <w:numPr>
          <w:ilvl w:val="0"/>
          <w:numId w:val="5"/>
        </w:numPr>
      </w:pPr>
      <w:r>
        <w:rPr>
          <w:b/>
          <w:bCs/>
        </w:rPr>
        <w:t>Hard Constraint - Data Integrity:</w:t>
      </w:r>
      <w:r>
        <w:t xml:space="preserve">   </w:t>
      </w:r>
      <w:r>
        <w:rPr>
          <w:b/>
          <w:bCs/>
        </w:rPr>
        <w:t>THE SYSTEM IS STRICTLY FORBIDDEN FROM USING EXTERNAL DATA.</w:t>
      </w:r>
      <w:r>
        <w:t xml:space="preserve">  All training and refinement must rely exclusively on ingested standards, vendor manuals, and internal audit data to maintain the platform's technical moat.</w:t>
      </w:r>
    </w:p>
    <w:p w14:paraId="00000027" w14:textId="77777777" w:rsidR="00165A17" w:rsidRDefault="00165A17"/>
    <w:sectPr w:rsidR="00165A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649C9F-54DC-46FF-9910-0300B1D540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C17948-AD2E-487C-AB16-69464DAACF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443"/>
    <w:multiLevelType w:val="multilevel"/>
    <w:tmpl w:val="A3D6B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B1764"/>
    <w:multiLevelType w:val="multilevel"/>
    <w:tmpl w:val="339A2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E97AE8"/>
    <w:multiLevelType w:val="multilevel"/>
    <w:tmpl w:val="B9B61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7B10C9"/>
    <w:multiLevelType w:val="multilevel"/>
    <w:tmpl w:val="6128B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3F1F3F"/>
    <w:multiLevelType w:val="multilevel"/>
    <w:tmpl w:val="C1B27C5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D6D6772"/>
    <w:multiLevelType w:val="multilevel"/>
    <w:tmpl w:val="8D6E3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3881984">
    <w:abstractNumId w:val="2"/>
  </w:num>
  <w:num w:numId="2" w16cid:durableId="1155074447">
    <w:abstractNumId w:val="1"/>
  </w:num>
  <w:num w:numId="3" w16cid:durableId="1379207521">
    <w:abstractNumId w:val="5"/>
  </w:num>
  <w:num w:numId="4" w16cid:durableId="1286932424">
    <w:abstractNumId w:val="4"/>
  </w:num>
  <w:num w:numId="5" w16cid:durableId="1943030968">
    <w:abstractNumId w:val="3"/>
  </w:num>
  <w:num w:numId="6" w16cid:durableId="146619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A17"/>
    <w:rsid w:val="00165A17"/>
    <w:rsid w:val="001A06C1"/>
    <w:rsid w:val="002A0319"/>
    <w:rsid w:val="00B7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0AA045-6639-46E4-84D9-862AFAF2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1117</Words>
  <Characters>6372</Characters>
  <Application>Microsoft Office Word</Application>
  <DocSecurity>0</DocSecurity>
  <Lines>53</Lines>
  <Paragraphs>14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</dc:creator>
  <cp:lastModifiedBy>Nataly Urshanski</cp:lastModifiedBy>
  <cp:revision>3</cp:revision>
  <dcterms:created xsi:type="dcterms:W3CDTF">2026-05-17T08:44:00Z</dcterms:created>
  <dcterms:modified xsi:type="dcterms:W3CDTF">2026-05-17T08:45:00Z</dcterms:modified>
</cp:coreProperties>
</file>