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Which drug–hearing-loss signals in FAERS survive adjustment and independent replication?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independent AI assessor, blind to Cat. 1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hypertension and age confound; VA cohort found lower SNHL risk with calcium-channel blockers (PMID 34855682)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and hearing loss (systematic review, PMID 36459425)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be a symptom of doxycycline-induced intracranial hypertension, which is labelled (PMID 38516546); infections treated (e.g. Lyme disease) can affect the 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cases; hypertension and age confound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Which drug–hearing-loss signals in FAERS survive adjustment and independent replication?</dc:title>
  <dc:creator>Oleg Tropynin</dc:creator>
  <cp:keywords/>
  <dcterms:created xsi:type="dcterms:W3CDTF">2026-10-25T23:26:34Z</dcterms:created>
  <dcterms:modified xsi:type="dcterms:W3CDTF">2026-10-25T23:26:34Z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