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submit the original research article</w:t>
      </w:r>
      <w:r>
        <w:t xml:space="preserve"> </w:t>
      </w:r>
      <w:r>
        <w:t xml:space="preserve">“Adjustment and external replication of drug–hearing-loss signals:</w:t>
      </w:r>
      <w:r>
        <w:t xml:space="preserve"> </w:t>
      </w:r>
      <w:r>
        <w:t xml:space="preserve">a disproportionality analysis of FAERS and Canada Vigilance”</w:t>
      </w:r>
      <w:r>
        <w:t xml:space="preserve"> </w:t>
      </w:r>
      <w:r>
        <w:t xml:space="preserve">for consideration as an Original Article in the</w:t>
      </w:r>
      <w:r>
        <w:t xml:space="preserve"> </w:t>
      </w:r>
      <w:r>
        <w:rPr>
          <w:i/>
          <w:iCs/>
        </w:rPr>
        <w:t xml:space="preserve">British Journal of Clinical Pharmacology</w:t>
      </w:r>
      <w:r>
        <w:t xml:space="preserve">.</w:t>
      </w:r>
    </w:p>
    <w:p>
      <w:pPr>
        <w:pStyle w:val="BodyText"/>
      </w:pPr>
      <w:r>
        <w:t xml:space="preserve">This study addresses a methodological question relevant to routine pharmacovigilance: whether widely reported FAERS</w:t>
      </w:r>
      <w:r>
        <w:t xml:space="preserve"> </w:t>
      </w:r>
      <w:r>
        <w:t xml:space="preserve">hearing-loss signals survive bias adjustment and independent replication. Several recent studies screened FAERS for</w:t>
      </w:r>
      <w:r>
        <w:t xml:space="preserve"> </w:t>
      </w:r>
      <w:r>
        <w:t xml:space="preserve">drug-associated hearing loss with crude disproportionality and reported many unlabelled signals. Using 19.9 million deduplicated FAERS reports</w:t>
      </w:r>
      <w:r>
        <w:t xml:space="preserve"> </w:t>
      </w:r>
      <w:r>
        <w:t xml:space="preserve">and 1.2 million Canada Vigilance reports, the study compares crude and adjusted detection against a label-derived reference set,</w:t>
      </w:r>
      <w:r>
        <w:t xml:space="preserve"> </w:t>
      </w:r>
      <w:r>
        <w:t xml:space="preserve">replicates every signal in Canada Vigilance with a power-calibrated comparison, and reviews the report provenance of each</w:t>
      </w:r>
      <w:r>
        <w:t xml:space="preserve"> </w:t>
      </w:r>
      <w:r>
        <w:t xml:space="preserve">robust unlabelled signal, including an active-comparator check within the indication.</w:t>
      </w:r>
    </w:p>
    <w:p>
      <w:pPr>
        <w:pStyle w:val="BodyText"/>
      </w:pPr>
      <w:r>
        <w:t xml:space="preserve">The main findings are methodological:</w:t>
      </w:r>
    </w:p>
    <w:p>
      <w:pPr>
        <w:pStyle w:val="Compact"/>
        <w:numPr>
          <w:ilvl w:val="0"/>
          <w:numId w:val="1001"/>
        </w:numPr>
      </w:pPr>
      <w:r>
        <w:t xml:space="preserve">adjustment for indication, ototoxic co-medication and stimulated reporting changes the signal list but does not</w:t>
      </w:r>
      <w:r>
        <w:t xml:space="preserve"> </w:t>
      </w:r>
      <w:r>
        <w:t xml:space="preserve">improve agreement with labels;</w:t>
      </w:r>
    </w:p>
    <w:p>
      <w:pPr>
        <w:pStyle w:val="Compact"/>
        <w:numPr>
          <w:ilvl w:val="0"/>
          <w:numId w:val="1001"/>
        </w:numPr>
      </w:pPr>
      <w:r>
        <w:t xml:space="preserve">labelled hearing-loss signals replicate in Canada Vigilance about as often as their FAERS strength predicts</w:t>
      </w:r>
      <w:r>
        <w:t xml:space="preserve"> </w:t>
      </w:r>
      <w:r>
        <w:t xml:space="preserve">(observed/expected 1.02), whereas unlabelled signals replicate less than half as often (0.44; 0.26 when both databases</w:t>
      </w:r>
      <w:r>
        <w:t xml:space="preserve"> </w:t>
      </w:r>
      <w:r>
        <w:t xml:space="preserve">are adjusted);</w:t>
      </w:r>
    </w:p>
    <w:p>
      <w:pPr>
        <w:pStyle w:val="Compact"/>
        <w:numPr>
          <w:ilvl w:val="0"/>
          <w:numId w:val="1001"/>
        </w:numPr>
      </w:pPr>
      <w:r>
        <w:t xml:space="preserve">solicited patient-support-programme reports, report clusters and shared co-medication produce spurious replications,</w:t>
      </w:r>
      <w:r>
        <w:t xml:space="preserve"> </w:t>
      </w:r>
      <w:r>
        <w:t xml:space="preserve">so a second spontaneous-reporting database is informative only when both estimates are adjusted and these sources are</w:t>
      </w:r>
      <w:r>
        <w:t xml:space="preserve"> </w:t>
      </w:r>
      <w:r>
        <w:t xml:space="preserve">handled explicitly;</w:t>
      </w:r>
    </w:p>
    <w:p>
      <w:pPr>
        <w:pStyle w:val="Compact"/>
        <w:numPr>
          <w:ilvl w:val="0"/>
          <w:numId w:val="1001"/>
        </w:numPr>
      </w:pPr>
      <w:r>
        <w:t xml:space="preserve">after these steps, seven of 22 robust unlabelled signals remain (two to nine under alternative post-hoc choices), as hypotheses.</w:t>
      </w:r>
    </w:p>
    <w:p>
      <w:pPr>
        <w:pStyle w:val="FirstParagraph"/>
      </w:pPr>
      <w:r>
        <w:t xml:space="preserve">The analysis protocol was committed to a version-controlled repository before the first result was computed; every later</w:t>
      </w:r>
      <w:r>
        <w:t xml:space="preserve"> </w:t>
      </w:r>
      <w:r>
        <w:t xml:space="preserve">change, including all post-hoc analyses, is dated and labelled, and Figure 1 separates the pre-specified analyses from the</w:t>
      </w:r>
      <w:r>
        <w:t xml:space="preserve"> </w:t>
      </w:r>
      <w:r>
        <w:t xml:space="preserve">post-hoc ones. As BJCP requires for disproportionality analyses, the study follows READUS-PV and the completed checklist is</w:t>
      </w:r>
      <w:r>
        <w:t xml:space="preserve"> </w:t>
      </w:r>
      <w:r>
        <w:t xml:space="preserve">provided (Supplementary Table S1).</w:t>
      </w:r>
    </w:p>
    <w:p>
      <w:pPr>
        <w:pStyle w:val="BodyText"/>
      </w:pPr>
      <w:r>
        <w:t xml:space="preserve">The main text is about 4,500 words, somewhat above the guide of 4,000 for Original Articles. The extra length comes from</w:t>
      </w:r>
      <w:r>
        <w:t xml:space="preserve"> </w:t>
      </w:r>
      <w:r>
        <w:t xml:space="preserve">reporting two databases, keeping pre-specified and post-hoc analyses apart, and describing the case-level review in enough</w:t>
      </w:r>
      <w:r>
        <w:t xml:space="preserve"> </w:t>
      </w:r>
      <w:r>
        <w:t xml:space="preserve">detail to be reproduced; I would be glad to shorten it if the editors prefer. The manuscript is submitted in free format. Code, protocol and result tables are publicly available (https://github.com/olegtropinin/faers-ototoxicity; doi:10.5281/zenodo.23659658).</w:t>
      </w:r>
    </w:p>
    <w:p>
      <w:pPr>
        <w:pStyle w:val="BodyText"/>
      </w:pPr>
      <w:r>
        <w:t xml:space="preserve">The manuscript has not been published in a journal and is not under consideration elsewhere. A version of it is publicly</w:t>
      </w:r>
      <w:r>
        <w:t xml:space="preserve"> </w:t>
      </w:r>
      <w:r>
        <w:t xml:space="preserve">available together with the code (doi:10.5281/zenodo.23659658); it has not been posted on a preprint server.</w:t>
      </w:r>
      <w:r>
        <w:t xml:space="preserve"> </w:t>
      </w:r>
      <w:r>
        <w:t xml:space="preserve">There was no funding. Until October 2026 the author was employed as a software engineer at Suno, a company that develops practice-management software for hearing clinics; the company had no role in this study. AI tools were used in data processing,</w:t>
      </w:r>
      <w:r>
        <w:t xml:space="preserve"> </w:t>
      </w:r>
      <w:r>
        <w:t xml:space="preserve">analysis and drafting under the author’s direction, as described in the Methods.</w:t>
      </w:r>
    </w:p>
    <w:p>
      <w:pPr>
        <w:pStyle w:val="BodyText"/>
      </w:pPr>
      <w:r>
        <w:t xml:space="preserve">Thank you for considering this work.</w:t>
      </w:r>
    </w:p>
    <w:p>
      <w:pPr>
        <w:pStyle w:val="BodyText"/>
      </w:pPr>
      <w:r>
        <w:t xml:space="preserve">Yours sincerely,</w:t>
      </w:r>
      <w:r>
        <w:t xml:space="preserve"> </w:t>
      </w:r>
      <w:r>
        <w:t xml:space="preserve">Oleg Tropynin</w:t>
      </w:r>
      <w:r>
        <w:t xml:space="preserve"> </w:t>
      </w:r>
      <w:r>
        <w:t xml:space="preserve">Independent researcher, Karaganda, Kazakhstan</w:t>
      </w:r>
      <w:r>
        <w:t xml:space="preserve"> </w:t>
      </w:r>
      <w:r>
        <w:t xml:space="preserve">tropininoleg@gmail.com</w:t>
      </w:r>
      <w:r>
        <w:t xml:space="preserve"> </w:t>
      </w:r>
      <w:r>
        <w:t xml:space="preserve">ORCID: https://orcid.org/0009-0006-5431-4285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2026-10-28T10:03:12Z</dcterms:created>
  <dcterms:modified xsi:type="dcterms:W3CDTF">2026-10-28T10:03:12Z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