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a1e0353c8ea77e47a25a7f0e1f68f2d2e3c5a31"/>
      <w:r>
        <w:t xml:space="preserve">Conflict of interest statement</w:t>
      </w:r>
      <w:bookmarkEnd w:id="9"/>
    </w:p>
    <w:p>
      <w:pPr>
        <w:pStyle w:val="FirstParagraph"/>
      </w:pPr>
      <w:r>
        <w:rPr>
          <w:b/>
          <w:bCs/>
        </w:rPr>
        <w:t xml:space="preserve">Manuscript:</w:t>
      </w:r>
      <w:r>
        <w:t xml:space="preserve"> </w:t>
      </w:r>
      <w:r>
        <w:t xml:space="preserve">Adjustment and external replication of drug–hearing-loss signals: a disproportionality analysis of FAERS and Canada Vigilance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Oleg Tropynin (ORCID 0009-0006-5431-4285)</w:t>
      </w:r>
    </w:p>
    <w:p>
      <w:pPr>
        <w:pStyle w:val="BodyText"/>
      </w:pPr>
      <w:r>
        <w:t xml:space="preserve">Until October 2026 the author was employed as a software engineer at Suno, a company that develops practice-management</w:t>
      </w:r>
      <w:r>
        <w:t xml:space="preserve"> </w:t>
      </w:r>
      <w:r>
        <w:t xml:space="preserve">software for hearing clinics. The company had no role in the design, analysis or reporting of this study. The author has</w:t>
      </w:r>
      <w:r>
        <w:t xml:space="preserve"> </w:t>
      </w:r>
      <w:r>
        <w:t xml:space="preserve">no financial relationship with manufacturers of the drugs studied. No funding was received for this study.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2026-10-28T10:19:45Z</dcterms:created>
  <dcterms:modified xsi:type="dcterms:W3CDTF">2026-10-28T10:19:45Z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