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as an Original Article in the</w:t>
      </w:r>
      <w:r>
        <w:t xml:space="preserve"> </w:t>
      </w:r>
      <w:r>
        <w:rPr>
          <w:i/>
          <w:iCs/>
        </w:rPr>
        <w:t xml:space="preserve">British Journal of Clinical Pharmacology</w:t>
      </w:r>
      <w:r>
        <w:t xml:space="preserve">.</w:t>
      </w:r>
    </w:p>
    <w:p>
      <w:pPr>
        <w:pStyle w:val="BodyText"/>
      </w:pPr>
      <w:r>
        <w:t xml:space="preserve">This study addresses a methodological question relevant to routine pharmacovigilance: whether widely reported FAERS</w:t>
      </w:r>
      <w:r>
        <w:t xml:space="preserve"> </w:t>
      </w:r>
      <w:r>
        <w:t xml:space="preserve">hearing-loss signals survive bias adjustment and independent replication. Several recent studies screened FAERS for</w:t>
      </w:r>
      <w:r>
        <w:t xml:space="preserve"> </w:t>
      </w:r>
      <w:r>
        <w:t xml:space="preserve">drug-associated hearing loss with crude disproportionality and reported many unlabelled signals. Using 19.9 million deduplicated FAERS reports</w:t>
      </w:r>
      <w:r>
        <w:t xml:space="preserve"> </w:t>
      </w:r>
      <w:r>
        <w:t xml:space="preserve">and 1.2 million Canada Vigilance reports, the study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labelled, and Figure 1 separates the pre-specified analyses from the</w:t>
      </w:r>
      <w:r>
        <w:t xml:space="preserve"> </w:t>
      </w:r>
      <w:r>
        <w:t xml:space="preserve">post-hoc ones. As BJCP requires for disproportionality analyses, the study follows READUS-PV and the completed checklist is</w:t>
      </w:r>
      <w:r>
        <w:t xml:space="preserve"> </w:t>
      </w:r>
      <w:r>
        <w:t xml:space="preserve">provided (Supplementary Table S1).</w:t>
      </w:r>
    </w:p>
    <w:p>
      <w:pPr>
        <w:pStyle w:val="BodyText"/>
      </w:pPr>
      <w:r>
        <w:t xml:space="preserve">The main text is about 4,500 words, somewhat above the guide of 4,000 for Original Articles. The extra length comes from</w:t>
      </w:r>
      <w:r>
        <w:t xml:space="preserve"> </w:t>
      </w:r>
      <w:r>
        <w:t xml:space="preserve">reporting two databases, keeping pre-specified and post-hoc analyses apart, and describing the case-level review in enough</w:t>
      </w:r>
      <w:r>
        <w:t xml:space="preserve"> </w:t>
      </w:r>
      <w:r>
        <w:t xml:space="preserve">detail to be reproduced; I would be glad to shorten it if the editors prefer. The manuscript is submitted in free format. Code, protocol and result tables are publicly available (https://github.com/olegtropinin/faers-ototoxicity; doi:10.5281/zenodo.23659658).</w:t>
      </w:r>
    </w:p>
    <w:p>
      <w:pPr>
        <w:pStyle w:val="BodyText"/>
      </w:pPr>
      <w:r>
        <w:t xml:space="preserve">The manuscript has not been published in a journal and is not under consideration elsewhere. A version of it is publicly</w:t>
      </w:r>
      <w:r>
        <w:t xml:space="preserve"> </w:t>
      </w:r>
      <w:r>
        <w:t xml:space="preserve">available together with the code (doi:10.5281/zenodo.23659658); it has not been posted on a preprint server.</w:t>
      </w:r>
      <w:r>
        <w:t xml:space="preserve"> </w:t>
      </w:r>
      <w:r>
        <w:t xml:space="preserve">The study analysed only public, de-identified spontaneous-report data; no human subjects were investigated, so there is no Principal Investigator or clinician with medical responsibility for participants. There was no funding. Until October 2026 the author was employed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  <w:r>
        <w:t xml:space="preserve"> </w:t>
      </w:r>
      <w:r>
        <w:t xml:space="preserve">ORCID: https://orcid.org/0009-0006-5431-4285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2026-10-28T10:19:45Z</dcterms:created>
  <dcterms:modified xsi:type="dcterms:W3CDTF">2026-10-28T10:19:45Z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