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8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Adjustment and external replication of drug–hearing-loss signals:</w:t>
      </w:r>
      <w:r>
        <w:t xml:space="preserve"> </w:t>
      </w:r>
      <w:r>
        <w:t xml:space="preserve">a disproportionality analysis of FAERS and Canada Vigilance</w:t>
      </w:r>
    </w:p>
    <w:p>
      <w:pPr>
        <w:pStyle w:val="Author"/>
      </w:pPr>
      <w:r>
        <w:t xml:space="preserve">Oleg Tropynin</w:t>
      </w:r>
      <w:r>
        <w:br/>
      </w:r>
      <w:r>
        <w:t xml:space="preserve">Independent researcher, Karaganda, Kazakhstan</w:t>
      </w:r>
      <w:r>
        <w:br/>
      </w:r>
      <w:r>
        <w:rPr>
          <w:rStyle w:val="VerbatimChar"/>
        </w:rPr>
        <w:t xml:space="preserve">tropininoleg@gmail.com</w:t>
      </w:r>
      <w:r>
        <w:t xml:space="preserve"> </w:t>
      </w:r>
      <w:r>
        <w:t xml:space="preserve">ORCID:</w:t>
      </w:r>
      <w:r>
        <w:t xml:space="preserve"> </w:t>
      </w:r>
      <w:hyperlink r:id="rId9">
        <w:r>
          <w:rPr>
            <w:rStyle w:val="Hyperlink"/>
          </w:rPr>
          <w:t xml:space="preserve">0009-0006-5431-4285</w:t>
        </w:r>
      </w:hyperlink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b/>
          <w:bCs/>
        </w:rPr>
        <w:t xml:space="preserve">Aim:</w:t>
      </w:r>
      <w:r>
        <w:t xml:space="preserve"> </w:t>
      </w:r>
      <w:r>
        <w:t xml:space="preserve">Recent analyses of the US Food and Drug Administration Adverse Event</w:t>
      </w:r>
      <w:r>
        <w:t xml:space="preserve"> </w:t>
      </w:r>
      <w:r>
        <w:t xml:space="preserve">Reporting System (FAERS) reported many drug–hearing-loss signals absent from labels. We assessed which survive adjustment for</w:t>
      </w:r>
      <w:r>
        <w:t xml:space="preserve"> </w:t>
      </w:r>
      <w:r>
        <w:t xml:space="preserve">hearing-specific biases and external replication.</w:t>
      </w:r>
    </w:p>
    <w:p>
      <w:pPr>
        <w:pStyle w:val="Abstract"/>
      </w:pPr>
      <w:r>
        <w:rPr>
          <w:b/>
          <w:bCs/>
        </w:rPr>
        <w:t xml:space="preserve">Methods:</w:t>
      </w:r>
      <w:r>
        <w:t xml:space="preserve"> </w:t>
      </w:r>
      <w:r>
        <w:t xml:space="preserve">Disproportionality analysis of 19.9 million deduplicated FAERS reports</w:t>
      </w:r>
      <w:r>
        <w:t xml:space="preserve"> </w:t>
      </w:r>
      <w:r>
        <w:t xml:space="preserve">(2004–2026) and 1.2 million Canada Vigilance reports, following a protocol committed before</w:t>
      </w:r>
      <w:r>
        <w:t xml:space="preserve"> </w:t>
      </w:r>
      <w:r>
        <w:t xml:space="preserve">analysis. For hearing loss and tinnitus, crude reporting odds ratios (signal: lower 95% bound</w:t>
      </w:r>
      <w: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3 cases) were</w:t>
      </w:r>
      <w:r>
        <w:t xml:space="preserve"> </w:t>
      </w:r>
      <w:r>
        <w:t xml:space="preserve">compared with Mantel–Haenszel estimates stratified by age, sex and period after excluding ear-related indications, reports</w:t>
      </w:r>
      <w:r>
        <w:t xml:space="preserve"> </w:t>
      </w:r>
      <w:r>
        <w:t xml:space="preserve">naming established ototoxic drugs and lawyer reports. Methods were compared on a label-derived reference set (area under the</w:t>
      </w:r>
      <w:r>
        <w:t xml:space="preserve"> </w:t>
      </w:r>
      <w:r>
        <w:t xml:space="preserve">receiver operating characteristic curve, AUC) and by replication in Canada; robust unlabelled signals underwent</w:t>
      </w:r>
      <w:r>
        <w:t xml:space="preserve"> </w:t>
      </w:r>
      <w:r>
        <w:t xml:space="preserve">case-by-case review.</w:t>
      </w:r>
    </w:p>
    <w:p>
      <w:pPr>
        <w:pStyle w:val="Abstract"/>
      </w:pPr>
      <w:r>
        <w:rPr>
          <w:b/>
          <w:bCs/>
        </w:rPr>
        <w:t xml:space="preserve">Results:</w:t>
      </w:r>
      <w:r>
        <w:t xml:space="preserve"> </w:t>
      </w:r>
      <w:r>
        <w:t xml:space="preserve">Adjustment substantially changed the hearing-loss signal list</w:t>
      </w:r>
      <w:r>
        <w:t xml:space="preserve"> </w:t>
      </w:r>
      <w:r>
        <w:t xml:space="preserve">(63 of 300 crude signals lost, 73 gained) but not agreement</w:t>
      </w:r>
      <w:r>
        <w:t xml:space="preserve"> </w:t>
      </w:r>
      <w:r>
        <w:t xml:space="preserve">with labels (AUC, crude vs adjusted lower bound: 0.718 vs</w:t>
      </w:r>
      <w:r>
        <w:t xml:space="preserve"> </w:t>
      </w:r>
      <w:r>
        <w:t xml:space="preserve">0.723). Unlabelled signals replicated in Canada more than background, less than labelled ones; power-calibrated (post hoc), labelled signals replicated as predicted (observed/expected</w:t>
      </w:r>
      <w:r>
        <w:t xml:space="preserve"> </w:t>
      </w:r>
      <w:r>
        <w:t xml:space="preserve">1.02, 95% CI 0.77–1.32)</w:t>
      </w:r>
      <w:r>
        <w:t xml:space="preserve"> </w:t>
      </w:r>
      <w:r>
        <w:t xml:space="preserve">and unlabelled ones did not (0.44, 0.29–0.62),</w:t>
      </w:r>
      <w:r>
        <w:t xml:space="preserve"> </w:t>
      </w:r>
      <w:r>
        <w:t xml:space="preserve">even within consumer-reporting strata. Solicited reports, report clusters and shared</w:t>
      </w:r>
      <w:r>
        <w:t xml:space="preserve"> </w:t>
      </w:r>
      <w:r>
        <w:t xml:space="preserve">co-medication produced spurious replications. Of 22 robust unlabelled signals (post hoc), 15 had artefactual or known</w:t>
      </w:r>
      <w:r>
        <w:t xml:space="preserve"> </w:t>
      </w:r>
      <w:r>
        <w:t xml:space="preserve">explanations; 7 remained (2–9 under</w:t>
      </w:r>
      <w:r>
        <w:t xml:space="preserve"> </w:t>
      </w:r>
      <w:r>
        <w:t xml:space="preserve">alternative choices).</w:t>
      </w:r>
    </w:p>
    <w:p>
      <w:pPr>
        <w:pStyle w:val="Abstract"/>
      </w:pPr>
      <w:r>
        <w:rPr>
          <w:b/>
          <w:bCs/>
        </w:rPr>
        <w:t xml:space="preserve">Conclusion:</w:t>
      </w:r>
      <w:r>
        <w:t xml:space="preserve"> </w:t>
      </w:r>
      <w:r>
        <w:t xml:space="preserve">Most unlabelled FAERS hearing-loss signals do not survive adjusted replication and provenance</w:t>
      </w:r>
      <w:r>
        <w:t xml:space="preserve"> </w:t>
      </w:r>
      <w:r>
        <w:t xml:space="preserve">review. Findings are hypothesis-generating; cross-database replication needs adjusted estimates and explicit</w:t>
      </w:r>
      <w:r>
        <w:t xml:space="preserve"> </w:t>
      </w:r>
      <w:r>
        <w:t xml:space="preserve">handling of solicited reports.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adverse drug reaction reporting systems; pharmacovigilance; hearing loss; tinnitus; ototoxicity; signal detection</w:t>
      </w:r>
    </w:p>
    <w:p>
      <w:pPr>
        <w:pStyle w:val="Heading1"/>
      </w:pPr>
      <w:bookmarkStart w:id="10" w:name="_71124ce4d34790a4c2a91bcf597148a18980640"/>
      <w:r>
        <w:t xml:space="preserve">What is already known about this subject</w:t>
      </w:r>
      <w:bookmarkEnd w:id="10"/>
    </w:p>
    <w:p>
      <w:pPr>
        <w:pStyle w:val="FirstParagraph"/>
        <w:numPr>
          <w:ilvl w:val="0"/>
          <w:numId w:val="1001"/>
        </w:numPr>
      </w:pPr>
      <w:r>
        <w:t xml:space="preserve">Screens of FAERS using crude disproportionality have reported many drug–hearing-loss signals absent from labels.</w:t>
      </w:r>
    </w:p>
    <w:p>
      <w:pPr>
        <w:pStyle w:val="FirstParagraph"/>
        <w:numPr>
          <w:ilvl w:val="0"/>
          <w:numId w:val="1001"/>
        </w:numPr>
      </w:pPr>
      <w:r>
        <w:t xml:space="preserve">These screens rarely address hearing-specific biases or test their signals in an independent database.</w:t>
      </w:r>
    </w:p>
    <w:p>
      <w:pPr>
        <w:pStyle w:val="Heading1"/>
      </w:pPr>
      <w:bookmarkStart w:id="11" w:name="_fb1983dfb4eb0983b9d376e0c0dcf32d76982e5"/>
      <w:r>
        <w:t xml:space="preserve">What this study adds</w:t>
      </w:r>
      <w:bookmarkEnd w:id="11"/>
    </w:p>
    <w:p>
      <w:pPr>
        <w:pStyle w:val="FirstParagraph"/>
        <w:numPr>
          <w:ilvl w:val="0"/>
          <w:numId w:val="1002"/>
        </w:numPr>
      </w:pPr>
      <w:r>
        <w:t xml:space="preserve">Adjustment changed which drugs were flagged but not agreement with labels.</w:t>
      </w:r>
    </w:p>
    <w:p>
      <w:pPr>
        <w:pStyle w:val="FirstParagraph"/>
        <w:numPr>
          <w:ilvl w:val="0"/>
          <w:numId w:val="1002"/>
        </w:numPr>
      </w:pPr>
      <w:r>
        <w:t xml:space="preserve">Labelled signals replicated in Canada Vigilance as predicted; unlabelled signals less than half as often.</w:t>
      </w:r>
    </w:p>
    <w:p>
      <w:pPr>
        <w:pStyle w:val="FirstParagraph"/>
        <w:numPr>
          <w:ilvl w:val="0"/>
          <w:numId w:val="1002"/>
        </w:numPr>
      </w:pPr>
      <w:r>
        <w:t xml:space="preserve">After review of report provenance, 7 of 22 robust unlabelled signals remained, as hypotheses only.</w:t>
      </w:r>
    </w:p>
    <w:p>
      <w:pPr>
        <w:pStyle w:val="Heading1"/>
      </w:pPr>
      <w:bookmarkStart w:id="12" w:name="_introduction"/>
      <w:r>
        <w:t xml:space="preserve">Introduction</w:t>
      </w:r>
      <w:bookmarkEnd w:id="12"/>
    </w:p>
    <w:p>
      <w:pPr>
        <w:pStyle w:val="FirstParagraph"/>
      </w:pPr>
      <w:r>
        <w:t xml:space="preserve">The classical ototoxic drugs—aminoglycosides, platinum agents, loop diuretics, quinine, salicylates—were identified</w:t>
      </w:r>
      <w:r>
        <w:t xml:space="preserve"> </w:t>
      </w:r>
      <w:r>
        <w:t xml:space="preserve">mainly through clinical observation and case series</w:t>
      </w:r>
      <w:r>
        <w:t xml:space="preserve"> </w:t>
      </w:r>
      <w:r>
        <w:t xml:space="preserve">[1]</w:t>
      </w:r>
      <w:r>
        <w:t xml:space="preserve">. For newer drugs, spontaneous reports are often the</w:t>
      </w:r>
      <w:r>
        <w:t xml:space="preserve"> </w:t>
      </w:r>
      <w:r>
        <w:t xml:space="preserve">first evidence, and recent studies have screened the FDA Adverse Event Reporting System (FAERS) across all drugs for</w:t>
      </w:r>
      <w:r>
        <w:t xml:space="preserve"> </w:t>
      </w:r>
      <w:r>
        <w:t xml:space="preserve">hearing-loss signals</w:t>
      </w:r>
      <w:r>
        <w:t xml:space="preserve"> </w:t>
      </w:r>
      <w:r>
        <w:t xml:space="preserve">[2–4]</w:t>
      </w:r>
      <w:r>
        <w:t xml:space="preserve"> </w:t>
      </w:r>
      <w:r>
        <w:t xml:space="preserve">and for tinnitus</w:t>
      </w:r>
      <w:r>
        <w:t xml:space="preserve"> </w:t>
      </w:r>
      <w:r>
        <w:t xml:space="preserve">[5,6]</w:t>
      </w:r>
      <w:r>
        <w:t xml:space="preserve">, as have national</w:t>
      </w:r>
      <w:r>
        <w:t xml:space="preserve"> </w:t>
      </w:r>
      <w:r>
        <w:t xml:space="preserve">databases in Japan and France</w:t>
      </w:r>
      <w:r>
        <w:t xml:space="preserve"> </w:t>
      </w:r>
      <w:r>
        <w:t xml:space="preserve">[7,8]</w:t>
      </w:r>
      <w:r>
        <w:t xml:space="preserve">. These screens identify many unlabelled signals, but few</w:t>
      </w:r>
      <w:r>
        <w:t xml:space="preserve"> </w:t>
      </w:r>
      <w:r>
        <w:t xml:space="preserve">evaluate whether those signals survive adjustment and independent replication.</w:t>
      </w:r>
    </w:p>
    <w:p>
      <w:pPr>
        <w:pStyle w:val="BodyText"/>
      </w:pPr>
      <w:r>
        <w:t xml:space="preserve">The FAERS screens share a design: crude disproportionality across all reports, with novelty defined as absence from the</w:t>
      </w:r>
      <w:r>
        <w:t xml:space="preserve"> </w:t>
      </w:r>
      <w:r>
        <w:t xml:space="preserve">label. This design is open to biases specific to hearing outcomes. Corticosteroids, vasodilators and antivirals are</w:t>
      </w:r>
      <w:r>
        <w:t xml:space="preserve"> </w:t>
      </w:r>
      <w:r>
        <w:t xml:space="preserve">prescribed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sudden hearing loss and tinnitus, and several diseases cause hearing loss themselves (confounding by</w:t>
      </w:r>
      <w:r>
        <w:t xml:space="preserve"> </w:t>
      </w:r>
      <w:r>
        <w:t xml:space="preserve">indication). A drug routinely given with a strongly ototoxic one—an antiemetic with cisplatin, an antibiotic with an</w:t>
      </w:r>
      <w:r>
        <w:t xml:space="preserve"> </w:t>
      </w:r>
      <w:r>
        <w:t xml:space="preserve">aminoglycoside—inherits part of the association (co-medication bias). Reporting can be stimulated by safety</w:t>
      </w:r>
      <w:r>
        <w:t xml:space="preserve"> </w:t>
      </w:r>
      <w:r>
        <w:t xml:space="preserve">communications, litigation or media attention</w:t>
      </w:r>
      <w:r>
        <w:t xml:space="preserve"> </w:t>
      </w:r>
      <w:r>
        <w:t xml:space="preserve">[9]</w:t>
      </w:r>
      <w:r>
        <w:t xml:space="preserve">. Editorials have questioned disproportionality analyses</w:t>
      </w:r>
      <w:r>
        <w:t xml:space="preserve"> </w:t>
      </w:r>
      <w:r>
        <w:t xml:space="preserve">that ignore such biases</w:t>
      </w:r>
      <w:r>
        <w:t xml:space="preserve"> </w:t>
      </w:r>
      <w:r>
        <w:t xml:space="preserve">[10]</w:t>
      </w:r>
      <w:r>
        <w:t xml:space="preserve">, and signal lists are rarely tested against an independent data source or a</w:t>
      </w:r>
      <w:r>
        <w:t xml:space="preserve"> </w:t>
      </w:r>
      <w:r>
        <w:t xml:space="preserve">reference set, as is done in evaluations of signal-detection methods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We therefore asked a narrower question than</w:t>
      </w:r>
      <w:r>
        <w:t xml:space="preserve"> </w:t>
      </w:r>
      <w:r>
        <w:t xml:space="preserve">“which drugs are ototoxic?”</w:t>
      </w:r>
      <w:r>
        <w:t xml:space="preserve">:</w:t>
      </w:r>
      <w:r>
        <w:t xml:space="preserve"> </w:t>
      </w:r>
      <w:r>
        <w:rPr>
          <w:i/>
          <w:iCs/>
        </w:rPr>
        <w:t xml:space="preserve">which hearing-loss and tinnitus signals</w:t>
      </w:r>
      <w:r>
        <w:rPr>
          <w:i/>
          <w:iCs/>
        </w:rPr>
        <w:t xml:space="preserve"> </w:t>
      </w:r>
      <w:r>
        <w:rPr>
          <w:i/>
          <w:iCs/>
        </w:rPr>
        <w:t xml:space="preserve">remain after adjustment for these biases, and do the signals that remain replicate in an independent national database</w:t>
      </w:r>
      <w:r>
        <w:rPr>
          <w:i/>
          <w:iCs/>
        </w:rPr>
        <w:t xml:space="preserve"> </w:t>
      </w:r>
      <w:r>
        <w:rPr>
          <w:i/>
          <w:iCs/>
        </w:rPr>
        <w:t xml:space="preserve">and over time?</w:t>
      </w:r>
      <w:r>
        <w:t xml:space="preserve"> </w:t>
      </w:r>
      <w:r>
        <w:t xml:space="preserve">We compared crude and adjusted detection against a reference set derived from US labels, replicated every</w:t>
      </w:r>
      <w:r>
        <w:t xml:space="preserve"> </w:t>
      </w:r>
      <w:r>
        <w:t xml:space="preserve">signal in Canada Vigilance, re-tested the signals reported by previous FAERS screens, and reviewed the report provenance</w:t>
      </w:r>
      <w:r>
        <w:t xml:space="preserve"> </w:t>
      </w:r>
      <w:r>
        <w:t xml:space="preserve">of every robust unlabelled signal.</w:t>
      </w:r>
    </w:p>
    <w:p>
      <w:pPr>
        <w:pStyle w:val="Heading1"/>
      </w:pPr>
      <w:bookmarkStart w:id="13" w:name="_methods"/>
      <w:r>
        <w:t xml:space="preserve">Methods</w:t>
      </w:r>
      <w:bookmarkEnd w:id="13"/>
    </w:p>
    <w:p>
      <w:pPr>
        <w:pStyle w:val="FirstParagraph"/>
      </w:pPr>
      <w:r>
        <w:t xml:space="preserve">The study is reported according to the READUS-PV guideline</w:t>
      </w:r>
      <w:r>
        <w:t xml:space="preserve"> </w:t>
      </w:r>
      <w:r>
        <w:t xml:space="preserve">[12,13]</w:t>
      </w:r>
      <w:r>
        <w:t xml:space="preserve">; the checklist is given in</w:t>
      </w:r>
      <w:r>
        <w:t xml:space="preserve"> </w:t>
      </w:r>
      <w:r>
        <w:t xml:space="preserve">Supplementary Table S1. Primary analysis decisions were committed before the first result was computed; all later analyses</w:t>
      </w:r>
      <w:r>
        <w:t xml:space="preserve"> </w:t>
      </w:r>
      <w:r>
        <w:t xml:space="preserve">are labelled post hoc. The protocol, with all definitions and thresholds of the primary analysis, was committed to a</w:t>
      </w:r>
      <w:r>
        <w:t xml:space="preserve"> </w:t>
      </w:r>
      <w:r>
        <w:t xml:space="preserve">version-controlled repository at 02:05 UTC+5 on 26 October 2026 (git commit ff77c40). The first disproportionality estimates</w:t>
      </w:r>
      <w:r>
        <w:t xml:space="preserve"> </w:t>
      </w:r>
      <w:r>
        <w:t xml:space="preserve">were produced at 02:47–02:49 the same night; before that, only data preparation, the label reference set and tests on</w:t>
      </w:r>
      <w:r>
        <w:t xml:space="preserve"> </w:t>
      </w:r>
      <w:r>
        <w:t xml:space="preserve">simulated data had been run. The repository is controlled by the author and the protocol was not registered with a third</w:t>
      </w:r>
      <w:r>
        <w:t xml:space="preserve"> </w:t>
      </w:r>
      <w:r>
        <w:t xml:space="preserve">party. Every later change is dated and labelled in the protocol file (</w:t>
      </w:r>
      <w:r>
        <w:rPr>
          <w:rStyle w:val="VerbatimChar"/>
        </w:rPr>
        <w:t xml:space="preserve">PROTOCOL.md</w:t>
      </w:r>
      <w:r>
        <w:t xml:space="preserve">). Figure </w:t>
      </w:r>
      <w:hyperlink w:anchor="_553a5bb8a650859a35268e72a6a3c6ec4ce77a8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separates the pre-specified analyses from those added after the primary results were seen.</w:t>
      </w:r>
    </w:p>
    <w:bookmarkStart w:id="17" w:name="_553a5bb8a650859a35268e72a6a3c6ec4ce77a8"/>
    <w:p>
      <w:pPr>
        <w:pStyle w:val="CaptionedFigure"/>
      </w:pPr>
      <w:r>
        <w:drawing>
          <wp:inline>
            <wp:extent cx="3840479" cy="348451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figures/workflow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79" cy="348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Study workflow. Blue: pre-specified analyses (protocol committed before the first result). Orange: analyses added</w:t>
      </w:r>
      <w:r>
        <w:t xml:space="preserve"> </w:t>
      </w:r>
      <w:r>
        <w:t xml:space="preserve">after the primary results were seen (post hoc). The remaining signals are hypotheses, not evidence of causation.</w:t>
      </w:r>
    </w:p>
    <w:bookmarkEnd w:id="17"/>
    <w:p>
      <w:pPr>
        <w:pStyle w:val="Heading2"/>
      </w:pPr>
      <w:bookmarkStart w:id="18" w:name="_60ab88ea7c784c0820fe7a63c9fb74c6302d3a0"/>
      <w:r>
        <w:t xml:space="preserve">Data sources</w:t>
      </w:r>
      <w:bookmarkEnd w:id="18"/>
    </w:p>
    <w:p>
      <w:pPr>
        <w:pStyle w:val="FirstParagraph"/>
      </w:pPr>
      <w:r>
        <w:t xml:space="preserve">We used all 90 quarterly ASCII extracts of the legacy Adverse Event Reporting System (2004Q1–2012Q3) and FAERS</w:t>
      </w:r>
      <w:r>
        <w:t xml:space="preserve"> </w:t>
      </w:r>
      <w:r>
        <w:t xml:space="preserve">(2012Q4–2026Q2), published by the US Food and Drug Administration; the Canada Vigilance Adverse Reaction Online Database</w:t>
      </w:r>
      <w:r>
        <w:t xml:space="preserve"> </w:t>
      </w:r>
      <w:r>
        <w:t xml:space="preserve">extract (Health Canada; reports received 1965 to 30 June 2026); and the openFDA bulk export of structured product labels</w:t>
      </w:r>
      <w:r>
        <w:t xml:space="preserve"> </w:t>
      </w:r>
      <w:r>
        <w:t xml:space="preserve">(23 October 2026)</w:t>
      </w:r>
      <w:r>
        <w:t xml:space="preserve"> </w:t>
      </w:r>
      <w:r>
        <w:t xml:space="preserve">[14]</w:t>
      </w:r>
      <w:r>
        <w:t xml:space="preserve">. Events are coded in MedDRA preferred terms (PTs), at the version current when each</w:t>
      </w:r>
      <w:r>
        <w:t xml:space="preserve"> </w:t>
      </w:r>
      <w:r>
        <w:t xml:space="preserve">quarter was released (FAERS) and version 29.0 (Canada Vigilance); outcome terms were matched by preferred-term name, which</w:t>
      </w:r>
      <w:r>
        <w:t xml:space="preserve"> </w:t>
      </w:r>
      <w:r>
        <w:t xml:space="preserve">is stable across these versions for the terms used. All data are public and de-identified.</w:t>
      </w:r>
    </w:p>
    <w:p>
      <w:pPr>
        <w:pStyle w:val="Heading2"/>
      </w:pPr>
      <w:bookmarkStart w:id="19" w:name="_c751b153c47986e3244e5a761476196ea4a5ffc"/>
      <w:r>
        <w:t xml:space="preserve">Pre-processing and deduplication</w:t>
      </w:r>
      <w:bookmarkEnd w:id="19"/>
    </w:p>
    <w:p>
      <w:pPr>
        <w:pStyle w:val="FirstParagraph"/>
      </w:pPr>
      <w:r>
        <w:t xml:space="preserve">In FAERS we kept the most recent version of each case (by FDA receipt date, preferring FAERS over legacy records, then case</w:t>
      </w:r>
      <w:r>
        <w:t xml:space="preserve"> </w:t>
      </w:r>
      <w:r>
        <w:t xml:space="preserve">version), removed cases on FDA deletion lists, removed report identifiers recorded under two case numbers, and collapsed</w:t>
      </w:r>
      <w:r>
        <w:t xml:space="preserve"> </w:t>
      </w:r>
      <w:r>
        <w:t xml:space="preserve">content duplicates: reports with identical sex, age, event date, country, set of suspect ingredients and set of reactions</w:t>
      </w:r>
      <w:r>
        <w:t xml:space="preserve"> </w:t>
      </w:r>
      <w:r>
        <w:t xml:space="preserve">(applied only when event date and age were present). Drug names were mapped to active ingredients: the</w:t>
      </w:r>
      <w:r>
        <w:t xml:space="preserve"> </w:t>
      </w:r>
      <w:r>
        <w:rPr>
          <w:rStyle w:val="VerbatimChar"/>
        </w:rPr>
        <w:t xml:space="preserve">prod_ai</w:t>
      </w:r>
      <w:r>
        <w:t xml:space="preserve"> </w:t>
      </w:r>
      <w:r>
        <w:t xml:space="preserve">field was split into ingredients; salt and hydrate words were removed when the remaining base was itself an observed</w:t>
      </w:r>
      <w:r>
        <w:t xml:space="preserve"> </w:t>
      </w:r>
      <w:r>
        <w:t xml:space="preserve">ingredient; free-text names in records without</w:t>
      </w:r>
      <w:r>
        <w:t xml:space="preserve"> </w:t>
      </w:r>
      <w:r>
        <w:rPr>
          <w:rStyle w:val="VerbatimChar"/>
        </w:rPr>
        <w:t xml:space="preserve">prod_ai</w:t>
      </w:r>
      <w:r>
        <w:t xml:space="preserve"> </w:t>
      </w:r>
      <w:r>
        <w:t xml:space="preserve">were mapped to the dominant ingredient recorded for that</w:t>
      </w:r>
      <w:r>
        <w:t xml:space="preserve"> </w:t>
      </w:r>
      <w:r>
        <w:t xml:space="preserve">name (</w:t>
      </w:r>
      <m:oMath>
        <m:r>
          <m:rPr>
            <m:sty m:val="p"/>
          </m:rPr>
          <m:t>≥</m:t>
        </m:r>
      </m:oMath>
      <w:r>
        <w:t xml:space="preserve">70% of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5 records); INN/USAN synonyms were merged (for example glycopyrronium and glycopyrrolate);</w:t>
      </w:r>
      <w:r>
        <w:t xml:space="preserve"> </w:t>
      </w:r>
      <w:r>
        <w:t xml:space="preserve">four-letter biologic suffixes were removed; and non-specific entries (for example</w:t>
      </w:r>
      <w:r>
        <w:t xml:space="preserve"> </w:t>
      </w:r>
      <w:r>
        <w:t xml:space="preserve">“vitamins”</w:t>
      </w:r>
      <w:r>
        <w:t xml:space="preserve">,</w:t>
      </w:r>
      <w:r>
        <w:t xml:space="preserve"> </w:t>
      </w:r>
      <w:r>
        <w:t xml:space="preserve">“minerals”</w:t>
      </w:r>
      <w:r>
        <w:t xml:space="preserve">,</w:t>
      </w:r>
      <w:r>
        <w:t xml:space="preserve"> </w:t>
      </w:r>
      <w:r>
        <w:t xml:space="preserve">“… NOS”</w:t>
      </w:r>
      <w:r>
        <w:t xml:space="preserve">)</w:t>
      </w:r>
      <w:r>
        <w:t xml:space="preserve"> </w:t>
      </w:r>
      <w:r>
        <w:t xml:space="preserve">were dropped. Combination products contribute to each of their ingredients. In Canada Vigilance, reports flagged as</w:t>
      </w:r>
      <w:r>
        <w:t xml:space="preserve"> </w:t>
      </w:r>
      <w:r>
        <w:t xml:space="preserve">duplicates of a report present in the extract were removed and product ingredients were normalised with the same rules.</w:t>
      </w:r>
    </w:p>
    <w:p>
      <w:pPr>
        <w:pStyle w:val="Heading2"/>
      </w:pPr>
      <w:bookmarkStart w:id="20" w:name="_41a40ce5571f028458004e399e8bf88c95f8185"/>
      <w:r>
        <w:t xml:space="preserve">Outcomes, exposure and comparator</w:t>
      </w:r>
      <w:bookmarkEnd w:id="20"/>
    </w:p>
    <w:p>
      <w:pPr>
        <w:pStyle w:val="FirstParagraph"/>
      </w:pPr>
      <w:r>
        <w:t xml:space="preserve">The primary outcome, hearing loss, comprised the MedDRA PTs Deafness; Deafness unilateral, bilateral, neurosensory,</w:t>
      </w:r>
      <w:r>
        <w:t xml:space="preserve"> </w:t>
      </w:r>
      <w:r>
        <w:t xml:space="preserve">transitory, permanent and mixed; Hypoacusis; Neurosensory hypoacusis; Sudden hearing loss; Ototoxicity; Hearing impaired;</w:t>
      </w:r>
      <w:r>
        <w:t xml:space="preserve"> </w:t>
      </w:r>
      <w:r>
        <w:t xml:space="preserve">Hearing disability; and High frequency hearing loss. Conductive and congenital deafness were excluded. The secondary outcome</w:t>
      </w:r>
      <w:r>
        <w:t xml:space="preserve"> </w:t>
      </w:r>
      <w:r>
        <w:t xml:space="preserve">was Tinnitus. An ingredient was exposed when reported as a suspect drug (FAERS primary suspect, secondary suspect or</w:t>
      </w:r>
      <w:r>
        <w:t xml:space="preserve"> </w:t>
      </w:r>
      <w:r>
        <w:t xml:space="preserve">interacting; Canada suspect or interacting). The comparator for each ingredient was all other reports in the same</w:t>
      </w:r>
      <w:r>
        <w:t xml:space="preserve"> </w:t>
      </w:r>
      <w:r>
        <w:t xml:space="preserve">population. Missing age and sex formed their own strata; missing indication or country was treated as not meeting the</w:t>
      </w:r>
      <w:r>
        <w:t xml:space="preserve"> </w:t>
      </w:r>
      <w:r>
        <w:t xml:space="preserve">corresponding exclusion.</w:t>
      </w:r>
    </w:p>
    <w:p>
      <w:pPr>
        <w:pStyle w:val="Heading2"/>
      </w:pPr>
      <w:bookmarkStart w:id="21" w:name="_disproportionality"/>
      <w:r>
        <w:t xml:space="preserve">Disproportionality</w:t>
      </w:r>
      <w:bookmarkEnd w:id="21"/>
    </w:p>
    <w:p>
      <w:pPr>
        <w:pStyle w:val="FirstParagraph"/>
      </w:pPr>
      <w:r>
        <w:t xml:space="preserve">For each ingredient we computed the reporting odds ratio (ROR) with a Woolf 95% confidence interval</w:t>
      </w:r>
      <w:r>
        <w:t xml:space="preserve"> </w:t>
      </w:r>
      <w:r>
        <w:t xml:space="preserve">[15,16]</w:t>
      </w:r>
      <w:r>
        <w:t xml:space="preserve"> </w:t>
      </w:r>
      <w:r>
        <w:t xml:space="preserve">and the information component (IC) with its lower credibility bound IC</w:t>
      </w:r>
      <m:oMath>
        <m:sSub>
          <m:e>
            <m:r>
              <m:t>​</m:t>
            </m:r>
          </m:e>
          <m:sub>
            <m:r>
              <m:t>025</m:t>
            </m:r>
          </m:sub>
        </m:sSub>
      </m:oMath>
      <w:r>
        <w:t xml:space="preserve"> </w:t>
      </w:r>
      <w:r>
        <w:t xml:space="preserve">[17]</w:t>
      </w:r>
      <w:r>
        <w:t xml:space="preserve">. A</w:t>
      </w:r>
      <w:r>
        <w:t xml:space="preserve"> </w:t>
      </w:r>
      <w:r>
        <w:rPr>
          <w:i/>
          <w:iCs/>
        </w:rPr>
        <w:t xml:space="preserve">crude signal</w:t>
      </w:r>
      <w:r>
        <w:t xml:space="preserve"> </w:t>
      </w:r>
      <w:r>
        <w:t xml:space="preserve">required at least three cases, a lower ROR bound above 1 and IC</w:t>
      </w:r>
      <m:oMath>
        <m:sSub>
          <m:e>
            <m:r>
              <m:t>​</m:t>
            </m:r>
          </m:e>
          <m:sub>
            <m:r>
              <m:t>025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pre-specified</w:t>
      </w:r>
      <w:r>
        <w:t xml:space="preserve"> </w:t>
      </w:r>
      <w:r>
        <w:rPr>
          <w:i/>
          <w:iCs/>
        </w:rPr>
        <w:t xml:space="preserve">adjusted</w:t>
      </w:r>
      <w:r>
        <w:t xml:space="preserve"> </w:t>
      </w:r>
      <w:r>
        <w:t xml:space="preserve">analysis was run in a restricted population and stratified. We excluded (i) reports in</w:t>
      </w:r>
      <w:r>
        <w:t xml:space="preserve"> </w:t>
      </w:r>
      <w:r>
        <w:t xml:space="preserve">which any drug had an ear or hearing indication (deafness, hearing, tinnitus, ototoxicity, Ménière’s disease, otitis,</w:t>
      </w:r>
      <w:r>
        <w:t xml:space="preserve"> </w:t>
      </w:r>
      <w:r>
        <w:t xml:space="preserve">vertigo, vestibular, labyrinthine and cochlear terms); (ii) reports that mentioned, in any role, a drug from an a-priori list</w:t>
      </w:r>
      <w:r>
        <w:t xml:space="preserve"> </w:t>
      </w:r>
      <w:r>
        <w:t xml:space="preserve">of 29 drugs from the established ototoxic classes</w:t>
      </w:r>
      <w:r>
        <w:t xml:space="preserve"> </w:t>
      </w:r>
      <w:r>
        <w:t xml:space="preserve">[1]</w:t>
      </w:r>
      <w:r>
        <w:t xml:space="preserve"> </w:t>
      </w:r>
      <w:r>
        <w:t xml:space="preserve">(aminoglycosides, capreomycin and vancomycin; cisplatin,</w:t>
      </w:r>
      <w:r>
        <w:t xml:space="preserve"> </w:t>
      </w:r>
      <w:r>
        <w:t xml:space="preserve">carboplatin and oxaliplatin; loop diuretics; quinine and related antimalarials; aspirin; macrolides; deferoxamine;</w:t>
      </w:r>
      <w:r>
        <w:t xml:space="preserve"> </w:t>
      </w:r>
      <w:r>
        <w:t xml:space="preserve">vincristine; eflornithine) other than the drug under study; and (iii) FAERS reports submitted by lawyers (Canada Vigilance</w:t>
      </w:r>
      <w:r>
        <w:t xml:space="preserve"> </w:t>
      </w:r>
      <w:r>
        <w:t xml:space="preserve">does not record this). For a drug on the list, reports naming the drug itself in a non-suspect role were also removed from</w:t>
      </w:r>
      <w:r>
        <w:t xml:space="preserve"> </w:t>
      </w:r>
      <w:r>
        <w:t xml:space="preserve">its population. We then computed the Mantel–Haenszel (MH) OR</w:t>
      </w:r>
      <w:r>
        <w:t xml:space="preserve"> </w:t>
      </w:r>
      <w:r>
        <w:t xml:space="preserve">[18]</w:t>
      </w:r>
      <w:r>
        <w:t xml:space="preserve"> </w:t>
      </w:r>
      <w:r>
        <w:t xml:space="preserve">over 60 strata (five age bands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sex</w:t>
      </w:r>
      <w:r>
        <w:t xml:space="preserve"> </w:t>
      </w:r>
      <w:r>
        <w:t xml:space="preserve">[male, female, unknown]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four periods of report receipt: before 2004, 2004–2012, 2013–2018, 2019–2026) with the Robins–Breslow–Greenland variance</w:t>
      </w:r>
      <w:r>
        <w:t xml:space="preserve"> </w:t>
      </w:r>
      <w:r>
        <w:t xml:space="preserve">[19]</w:t>
      </w:r>
      <w:r>
        <w:t xml:space="preserve">. An</w:t>
      </w:r>
      <w:r>
        <w:t xml:space="preserve"> </w:t>
      </w:r>
      <w:r>
        <w:rPr>
          <w:i/>
          <w:iCs/>
        </w:rPr>
        <w:t xml:space="preserve">adjusted signal</w:t>
      </w:r>
      <w:r>
        <w:t xml:space="preserve"> </w:t>
      </w:r>
      <w:r>
        <w:t xml:space="preserve">required at least three cases in the restricted population and a lower 95% bound above 1. The</w:t>
      </w:r>
      <w:r>
        <w:t xml:space="preserve"> </w:t>
      </w:r>
      <w:r>
        <w:t xml:space="preserve">implementation reproduces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 </w:t>
      </w:r>
      <w:r>
        <w:t xml:space="preserve">estimates on simulated data to nine decimal places.</w:t>
      </w:r>
    </w:p>
    <w:p>
      <w:pPr>
        <w:pStyle w:val="Heading2"/>
      </w:pPr>
      <w:bookmarkStart w:id="22" w:name="_142cd368ea85e8fddc952a4320432a4163793ac"/>
      <w:r>
        <w:t xml:space="preserve">Reference set</w:t>
      </w:r>
      <w:bookmarkEnd w:id="22"/>
    </w:p>
    <w:p>
      <w:pPr>
        <w:pStyle w:val="FirstParagraph"/>
      </w:pPr>
      <w:r>
        <w:t xml:space="preserve">From single-ingredient US labels we classified each ingredient as label-positive when a hearing-loss term appeared in a</w:t>
      </w:r>
      <w:r>
        <w:t xml:space="preserve"> </w:t>
      </w:r>
      <w:r>
        <w:t xml:space="preserve">safety section (boxed warning, warnings, precautions, adverse reactions, post-marketing experience, contraindications,</w:t>
      </w:r>
      <w:r>
        <w:t xml:space="preserve"> </w:t>
      </w:r>
      <w:r>
        <w:t xml:space="preserve">overdosage, drug abuse and dependence, or the corresponding over-the-counter sections) of at least half of its prescription</w:t>
      </w:r>
      <w:r>
        <w:t xml:space="preserve"> </w:t>
      </w:r>
      <w:r>
        <w:t xml:space="preserve">labels, and label-negative when no label mentioned hearing loss or tinnitus; other ingredients were left out. Phrases that</w:t>
      </w:r>
      <w:r>
        <w:t xml:space="preserve"> </w:t>
      </w:r>
      <w:r>
        <w:t xml:space="preserve">contain a hearing word without describing an adverse effect (for example the disease name</w:t>
      </w:r>
      <w:r>
        <w:t xml:space="preserve"> </w:t>
      </w:r>
      <w:r>
        <w:t xml:space="preserve">“maternally inherited diabetes and</w:t>
      </w:r>
      <w:r>
        <w:t xml:space="preserve"> </w:t>
      </w:r>
      <w:r>
        <w:t xml:space="preserve">deafness”</w:t>
      </w:r>
      <w:r>
        <w:t xml:space="preserve"> </w:t>
      </w:r>
      <w:r>
        <w:t xml:space="preserve">and telephone lines for deaf users) were removed first. Discrimination was measured by the area under the ROC</w:t>
      </w:r>
      <w:r>
        <w:t xml:space="preserve"> </w:t>
      </w:r>
      <w:r>
        <w:t xml:space="preserve">curve (AUC) among ingredients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1</w:t>
      </w:r>
      <w:r>
        <w:t xml:space="preserve">,</w:t>
      </w:r>
      <w:r>
        <w:t xml:space="preserve">000 suspect FAERS reports, comparing the crude and adjusted lower 95% bounds</w:t>
      </w:r>
      <w:r>
        <w:t xml:space="preserve"> </w:t>
      </w:r>
      <w:r>
        <w:t xml:space="preserve">(the like-for-like pair; the protocol pre-specified the crude IC</w:t>
      </w:r>
      <m:oMath>
        <m:sSub>
          <m:e>
            <m:r>
              <m:t>​</m:t>
            </m:r>
          </m:e>
          <m:sub>
            <m:r>
              <m:t>025</m:t>
            </m:r>
          </m:sub>
        </m:sSub>
      </m:oMath>
      <w:r>
        <w:t xml:space="preserve">, which is also reported) and point estimates; the difference was bootstrapped (2</w:t>
      </w:r>
      <w:r>
        <w:t xml:space="preserve">,</w:t>
      </w:r>
      <w:r>
        <w:t xml:space="preserve">000</w:t>
      </w:r>
      <w:r>
        <w:t xml:space="preserve"> </w:t>
      </w:r>
      <w:r>
        <w:t xml:space="preserve">resamples). Because labels are partly informed by spontaneous reports, the reference set compares methods with each other;</w:t>
      </w:r>
      <w:r>
        <w:t xml:space="preserve"> </w:t>
      </w:r>
      <w:r>
        <w:t xml:space="preserve">it does not estimate absolute accuracy.</w:t>
      </w:r>
    </w:p>
    <w:p>
      <w:pPr>
        <w:pStyle w:val="Heading2"/>
      </w:pPr>
      <w:bookmarkStart w:id="23" w:name="_replication"/>
      <w:r>
        <w:t xml:space="preserve">Replication</w:t>
      </w:r>
      <w:bookmarkEnd w:id="23"/>
    </w:p>
    <w:p>
      <w:pPr>
        <w:pStyle w:val="FirstParagraph"/>
      </w:pPr>
      <w:r>
        <w:t xml:space="preserve">For external replication, signals were derived in FAERS after removing reports of Canadian origin and tested in Canada</w:t>
      </w:r>
      <w:r>
        <w:t xml:space="preserve"> </w:t>
      </w:r>
      <w:r>
        <w:t xml:space="preserve">Vigilance. Pre-specified rule: an ingredient was testable when the observed or expected number of Canadian cases was at</w:t>
      </w:r>
      <w:r>
        <w:t xml:space="preserve"> </w:t>
      </w:r>
      <w:r>
        <w:t xml:space="preserve">least three, and replicated when the Canadian lower ROR bound exceeded 1 with at least three cases. The same rule applied to</w:t>
      </w:r>
      <w:r>
        <w:t xml:space="preserve"> </w:t>
      </w:r>
      <w:r>
        <w:t xml:space="preserve">label-negative ingredients that were neither crude nor adjusted FAERS signals gave the background rate of replication</w:t>
      </w:r>
      <w:r>
        <w:t xml:space="preserve"> </w:t>
      </w:r>
      <w:r>
        <w:t xml:space="preserve">without a known association; label-negative ingredients that</w:t>
      </w:r>
      <w:r>
        <w:t xml:space="preserve"> </w:t>
      </w:r>
      <w:r>
        <w:rPr>
          <w:i/>
          <w:iCs/>
        </w:rPr>
        <w:t xml:space="preserve">were</w:t>
      </w:r>
      <w:r>
        <w:t xml:space="preserve"> </w:t>
      </w:r>
      <w:r>
        <w:t xml:space="preserve">adjusted signals form a second reference group.</w:t>
      </w:r>
      <w:r>
        <w:t xml:space="preserve"> </w:t>
      </w:r>
      <w:r>
        <w:t xml:space="preserve">Because the testability rule depends on the observed count, we also computed a power-calibrated comparison (post hoc): for</w:t>
      </w:r>
      <w:r>
        <w:t xml:space="preserve"> </w:t>
      </w:r>
      <w:r>
        <w:t xml:space="preserve">every ingredient with a Canadian expected count</w:t>
      </w:r>
      <w:r>
        <w:t xml:space="preserve"> </w:t>
      </w:r>
      <m:oMath>
        <m:r>
          <m:t>E</m:t>
        </m:r>
        <m:r>
          <m:rPr>
            <m:sty m:val="p"/>
          </m:rPr>
          <m:t>&gt;</m:t>
        </m:r>
        <m:r>
          <m:t>0</m:t>
        </m:r>
      </m:oMath>
      <w:r>
        <w:t xml:space="preserve">, replication was defined as an observed count of at least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 the smallest count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with Poisson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0.025</m:t>
        </m:r>
      </m:oMath>
      <w:r>
        <w:t xml:space="preserve">, and the expected number of</w:t>
      </w:r>
      <w:r>
        <w:t xml:space="preserve"> </w:t>
      </w:r>
      <w:r>
        <w:t xml:space="preserve">replications was the sum over ingredients of the Poisson probability of reaching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  <m:r>
              <m:t>r</m:t>
            </m:r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when the mean is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times OR</w:t>
      </w:r>
      <m:oMath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, with OR</w:t>
      </w:r>
      <m:oMath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adjusted FAERS</w:t>
      </w:r>
      <w:r>
        <w:t xml:space="preserve"> </w:t>
      </w:r>
      <w:r>
        <w:t xml:space="preserve">estimate shrunk towards the null by empirical Bayes (log OR</w:t>
      </w:r>
      <w:r>
        <w:t xml:space="preserve"> </w:t>
      </w:r>
      <m:oMath>
        <m:r>
          <m:rPr>
            <m:sty m:val="p"/>
          </m:rPr>
          <m:t>×</m:t>
        </m:r>
        <m:r>
          <m:t> 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estimated</w:t>
      </w:r>
      <w:r>
        <w:t xml:space="preserve"> </w:t>
      </w:r>
      <w:r>
        <w:t xml:space="preserve">across all ingredients) to counter the selection of signals on their estimate; observed-to-expected ratios near 1 indicate that</w:t>
      </w:r>
      <w:r>
        <w:t xml:space="preserve"> </w:t>
      </w:r>
      <w:r>
        <w:t xml:space="preserve">signals replicate as often as their FAERS strength predicts. Confidence intervals were bootstrapped over ingredients (2</w:t>
      </w:r>
      <w:r>
        <w:t xml:space="preserve">,</w:t>
      </w:r>
      <w:r>
        <w:t xml:space="preserve">000</w:t>
      </w:r>
      <w:r>
        <w:t xml:space="preserve"> </w:t>
      </w:r>
      <w:r>
        <w:t xml:space="preserve">resamples). In the post-hoc adjusted-to-adjusted analysis the Canadian adjusted case count was compared with its stratified</w:t>
      </w:r>
      <w:r>
        <w:t xml:space="preserve"> </w:t>
      </w:r>
      <w:r>
        <w:t xml:space="preserve">expected count. For</w:t>
      </w:r>
      <w:r>
        <w:t xml:space="preserve"> </w:t>
      </w:r>
      <w:r>
        <w:t xml:space="preserve">temporal replication, signals derived from reports received up to 2014 were tested in reports received from 2015 onwards.</w:t>
      </w:r>
      <w:r>
        <w:t xml:space="preserve"> </w:t>
      </w:r>
      <w:r>
        <w:t xml:space="preserve">Rates were compared with Fisher’s exact test.</w:t>
      </w:r>
    </w:p>
    <w:p>
      <w:pPr>
        <w:pStyle w:val="Heading2"/>
      </w:pPr>
      <w:bookmarkStart w:id="24" w:name="_e4620e00135245931b16a0788d572999fd386c0"/>
      <w:r>
        <w:t xml:space="preserve">Post-hoc and sensitivity analyses</w:t>
      </w:r>
      <w:bookmarkEnd w:id="24"/>
    </w:p>
    <w:p>
      <w:pPr>
        <w:pStyle w:val="FirstParagraph"/>
      </w:pPr>
      <w:r>
        <w:t xml:space="preserve">After the primary results were seen we added: Canada Vigilance without solicited reports (</w:t>
      </w:r>
      <w:r>
        <w:t xml:space="preserve">“Study”</w:t>
      </w:r>
      <w:r>
        <w:t xml:space="preserve"> </w:t>
      </w:r>
      <w:r>
        <w:t xml:space="preserve">report type, which</w:t>
      </w:r>
      <w:r>
        <w:t xml:space="preserve"> </w:t>
      </w:r>
      <w:r>
        <w:t xml:space="preserve">includes manufacturers’ patient-support programmes); an extended indication filter (further ear terms; diseases that</w:t>
      </w:r>
      <w:r>
        <w:t xml:space="preserve"> </w:t>
      </w:r>
      <w:r>
        <w:t xml:space="preserve">themselves cause hearing loss, such as Fabry disease, mucopolysaccharidoses, cryopyrin-associated syndromes, meningitis,</w:t>
      </w:r>
      <w:r>
        <w:t xml:space="preserve"> </w:t>
      </w:r>
      <w:r>
        <w:t xml:space="preserve">giant cell arteritis and thyroid eye disease; and reports of prenatal exposure); and replication in which the Canadian</w:t>
      </w:r>
      <w:r>
        <w:t xml:space="preserve"> </w:t>
      </w:r>
      <w:r>
        <w:t xml:space="preserve">estimate is adjusted in the same way as the FAERS one (</w:t>
      </w:r>
      <w:r>
        <w:rPr>
          <w:i/>
          <w:iCs/>
        </w:rPr>
        <w:t xml:space="preserve">adjusted-to-adjusted</w:t>
      </w:r>
      <w:r>
        <w:t xml:space="preserve">). In this post-hoc framework, ototoxic</w:t>
      </w:r>
      <w:r>
        <w:t xml:space="preserve"> </w:t>
      </w:r>
      <w:r>
        <w:t xml:space="preserve">co-medication was handled in three further ways: as a stratum dimension instead of an exclusion (because restricting on a</w:t>
      </w:r>
      <w:r>
        <w:t xml:space="preserve"> </w:t>
      </w:r>
      <w:r>
        <w:t xml:space="preserve">variable that reporters may add after observing hearing loss can introduce selection bias), with a short list of strongly</w:t>
      </w:r>
      <w:r>
        <w:t xml:space="preserve"> </w:t>
      </w:r>
      <w:r>
        <w:t xml:space="preserve">ototoxic drugs only, and after excluding reports that list 15 or more drugs (report clusters). Canada Vigilance was also</w:t>
      </w:r>
      <w:r>
        <w:t xml:space="preserve"> </w:t>
      </w:r>
      <w:r>
        <w:t xml:space="preserve">restricted to reports received from 2004.</w:t>
      </w:r>
    </w:p>
    <w:p>
      <w:pPr>
        <w:pStyle w:val="Heading2"/>
      </w:pPr>
      <w:bookmarkStart w:id="25" w:name="_4fbb619f4cb7014e603bc4722c15e1d3db783b4"/>
      <w:r>
        <w:t xml:space="preserve">Robust signals and case-level review</w:t>
      </w:r>
      <w:bookmarkEnd w:id="25"/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robust signal</w:t>
      </w:r>
      <w:r>
        <w:t xml:space="preserve"> </w:t>
      </w:r>
      <w:r>
        <w:t xml:space="preserve">(post hoc) was an adjusted FAERS signal that replicated adjusted-to-adjusted in Canada Vigilance</w:t>
      </w:r>
      <w:r>
        <w:t xml:space="preserve"> </w:t>
      </w:r>
      <w:r>
        <w:t xml:space="preserve">without solicited reports. Throughout, a signal is</w:t>
      </w:r>
      <w:r>
        <w:t xml:space="preserve"> </w:t>
      </w:r>
      <w:r>
        <w:rPr>
          <w:i/>
          <w:iCs/>
        </w:rPr>
        <w:t xml:space="preserve">labelled</w:t>
      </w:r>
      <w:r>
        <w:t xml:space="preserve"> </w:t>
      </w:r>
      <w:r>
        <w:t xml:space="preserve">when the event is mentioned in any safety section of any US label of a product</w:t>
      </w:r>
      <w:r>
        <w:t xml:space="preserve"> </w:t>
      </w:r>
      <w:r>
        <w:t xml:space="preserve">containing the drug (single-ingredient or combination) and</w:t>
      </w:r>
      <w:r>
        <w:t xml:space="preserve"> </w:t>
      </w:r>
      <w:r>
        <w:rPr>
          <w:i/>
          <w:iCs/>
        </w:rPr>
        <w:t xml:space="preserve">unlabelled</w:t>
      </w:r>
      <w:r>
        <w:t xml:space="preserve"> </w:t>
      </w:r>
      <w:r>
        <w:t xml:space="preserve">otherwise, including drugs with no US label in the</w:t>
      </w:r>
      <w:r>
        <w:t xml:space="preserve"> </w:t>
      </w:r>
      <w:r>
        <w:t xml:space="preserve">export;</w:t>
      </w:r>
      <w:r>
        <w:t xml:space="preserve"> </w:t>
      </w:r>
      <w:r>
        <w:rPr>
          <w:i/>
          <w:iCs/>
        </w:rPr>
        <w:t xml:space="preserve">label-positive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label-negative</w:t>
      </w:r>
      <w:r>
        <w:t xml:space="preserve"> </w:t>
      </w:r>
      <w:r>
        <w:t xml:space="preserve">refer to the stricter reference-set classes. Robust unlabelled signals</w:t>
      </w:r>
      <w:r>
        <w:t xml:space="preserve"> </w:t>
      </w:r>
      <w:r>
        <w:t xml:space="preserve">were reviewed. For each we profiled the FAERS case series (without Canadian reports):</w:t>
      </w:r>
      <w:r>
        <w:t xml:space="preserve"> </w:t>
      </w:r>
      <w:r>
        <w:t xml:space="preserve">share of cases from the most frequent country and receipt year, consumer reports, reports listing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15 drugs, reports</w:t>
      </w:r>
      <w:r>
        <w:t xml:space="preserve"> </w:t>
      </w:r>
      <w:r>
        <w:t xml:space="preserve">co-naming an established ototoxic drug, prenatal exposure and leading indications; we searched PubMed for the drug with</w:t>
      </w:r>
      <w:r>
        <w:t xml:space="preserve"> </w:t>
      </w:r>
      <w:r>
        <w:t xml:space="preserve">hearing terms. Each signal was assigned the first applicable category of a written rubric: K, established ototoxic class or</w:t>
      </w:r>
      <w:r>
        <w:t xml:space="preserve"> </w:t>
      </w:r>
      <w:r>
        <w:t xml:space="preserve">association documented by a prospective or cohort clinical series; A, report cluster (</w:t>
      </w:r>
      <m:oMath>
        <m:r>
          <m:rPr>
            <m:sty m:val="p"/>
          </m:rPr>
          <m:t>≥</m:t>
        </m:r>
      </m:oMath>
      <w:r>
        <w:t xml:space="preserve">50% of cases in reports listing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15 drugs); B, ototoxic co-medication (</w:t>
      </w:r>
      <m:oMath>
        <m:r>
          <m:rPr>
            <m:sty m:val="p"/>
          </m:rPr>
          <m:t>≥</m:t>
        </m:r>
      </m:oMath>
      <w:r>
        <w:t xml:space="preserve">50% of cases co-name an established ototoxic drug); C, stimulated or</w:t>
      </w:r>
      <w:r>
        <w:t xml:space="preserve"> </w:t>
      </w:r>
      <w:r>
        <w:t xml:space="preserve">solicited reporting documented for the drug; D, main indication itself associated with the event; E, none of these. The</w:t>
      </w:r>
      <w:r>
        <w:t xml:space="preserve"> </w:t>
      </w:r>
      <w:r>
        <w:t xml:space="preserve">rubric distinguishes C from D only on documented evidence; a high consumer share alone does not make a signal C. Because</w:t>
      </w:r>
      <w:r>
        <w:t xml:space="preserve"> </w:t>
      </w:r>
      <w:r>
        <w:t xml:space="preserve">confounding by indication remained plausible after the indication exclusions (reported indications are often missing or</w:t>
      </w:r>
      <w:r>
        <w:t xml:space="preserve"> </w:t>
      </w:r>
      <w:r>
        <w:t xml:space="preserve">non-specific), for category D we additionally required that the signal not persist against other drugs used for the same indication: within</w:t>
      </w:r>
      <w:r>
        <w:t xml:space="preserve"> </w:t>
      </w:r>
      <w:r>
        <w:t xml:space="preserve">FAERS reports (without Canadian origin) whose indication matched the drug’s main indication, we computed the ROR of the drug</w:t>
      </w:r>
      <w:r>
        <w:t xml:space="preserve"> </w:t>
      </w:r>
      <w:r>
        <w:t xml:space="preserve">against all other suspect drugs (active-comparator check, post hoc). The author applied the rubric, and a second, AI-based</w:t>
      </w:r>
      <w:r>
        <w:t xml:space="preserve"> </w:t>
      </w:r>
      <w:r>
        <w:t xml:space="preserve">assessor applied it blind to the author’s assignments, with the same profiles and literature access; agreement is reported as</w:t>
      </w:r>
      <w:r>
        <w:t xml:space="preserve"> </w:t>
      </w:r>
      <w:r>
        <w:t xml:space="preserve">Cohen’s</w:t>
      </w:r>
      <w:r>
        <w:t xml:space="preserve"> </w:t>
      </w:r>
      <m:oMath>
        <m:r>
          <m:t>κ</m:t>
        </m:r>
      </m:oMath>
      <w:r>
        <w:t xml:space="preserve">.</w:t>
      </w:r>
    </w:p>
    <w:p>
      <w:pPr>
        <w:pStyle w:val="Heading2"/>
      </w:pPr>
      <w:bookmarkStart w:id="26" w:name="_60422f0ac97f34e860c6d6c8d42a63ef1fce636"/>
      <w:r>
        <w:t xml:space="preserve">Software and use of AI tools</w:t>
      </w:r>
      <w:bookmarkEnd w:id="26"/>
    </w:p>
    <w:p>
      <w:pPr>
        <w:pStyle w:val="FirstParagraph"/>
      </w:pPr>
      <w:r>
        <w:t xml:space="preserve">Analyses used Python 3.10 (numpy 2.2.6, pandas 2.3.3, scipy 1.15.3, statsmodels 0.15.0, matplotlib 3.10.9). An AI</w:t>
      </w:r>
      <w:r>
        <w:t xml:space="preserve"> </w:t>
      </w:r>
      <w:r>
        <w:t xml:space="preserve">assistant (Claude, Anthropic) wrote the code and the first draft of the manuscript under the author’s direction, and AI</w:t>
      </w:r>
      <w:r>
        <w:t xml:space="preserve"> </w:t>
      </w:r>
      <w:r>
        <w:t xml:space="preserve">reviewers critiqued the methods, clinical interpretation and text; changes made in response are recorded in the protocol</w:t>
      </w:r>
      <w:r>
        <w:t xml:space="preserve"> </w:t>
      </w:r>
      <w:r>
        <w:t xml:space="preserve">file. The second assessor of the case-level review was also AI-based. The author reviewed the code, results and text and is</w:t>
      </w:r>
      <w:r>
        <w:t xml:space="preserve"> </w:t>
      </w:r>
      <w:r>
        <w:t xml:space="preserve">responsible for them.</w:t>
      </w:r>
    </w:p>
    <w:p>
      <w:pPr>
        <w:pStyle w:val="Heading1"/>
      </w:pPr>
      <w:bookmarkStart w:id="27" w:name="_results"/>
      <w:r>
        <w:t xml:space="preserve">Results</w:t>
      </w:r>
      <w:bookmarkEnd w:id="27"/>
    </w:p>
    <w:p>
      <w:pPr>
        <w:pStyle w:val="Heading2"/>
      </w:pPr>
      <w:bookmarkStart w:id="28" w:name="_data"/>
      <w:r>
        <w:t xml:space="preserve">Data</w:t>
      </w:r>
      <w:bookmarkEnd w:id="28"/>
    </w:p>
    <w:p>
      <w:pPr>
        <w:pStyle w:val="FirstParagraph"/>
      </w:pPr>
      <w:r>
        <w:t xml:space="preserve">The 90 FAERS extracts held 24</w:t>
      </w:r>
      <w:r>
        <w:t xml:space="preserve">,</w:t>
      </w:r>
      <w:r>
        <w:t xml:space="preserve">812</w:t>
      </w:r>
      <w:r>
        <w:t xml:space="preserve">,</w:t>
      </w:r>
      <w:r>
        <w:t xml:space="preserve">424 report versions, from which 20</w:t>
      </w:r>
      <w:r>
        <w:t xml:space="preserve">,</w:t>
      </w:r>
      <w:r>
        <w:t xml:space="preserve">692</w:t>
      </w:r>
      <w:r>
        <w:t xml:space="preserve">,</w:t>
      </w:r>
      <w:r>
        <w:t xml:space="preserve">682</w:t>
      </w:r>
      <w:r>
        <w:t xml:space="preserve"> </w:t>
      </w:r>
      <w:r>
        <w:t xml:space="preserve">cases remained after keeping the latest version; 104</w:t>
      </w:r>
      <w:r>
        <w:t xml:space="preserve">,</w:t>
      </w:r>
      <w:r>
        <w:t xml:space="preserve">186 cases on FDA deletion lists, cases without a</w:t>
      </w:r>
      <w:r>
        <w:t xml:space="preserve"> </w:t>
      </w:r>
      <w:r>
        <w:t xml:space="preserve">reaction or mappable ingredient, 1</w:t>
      </w:r>
      <w:r>
        <w:t xml:space="preserve">,</w:t>
      </w:r>
      <w:r>
        <w:t xml:space="preserve">681 report identifiers recorded under two cases and</w:t>
      </w:r>
      <w:r>
        <w:t xml:space="preserve"> </w:t>
      </w:r>
      <w:r>
        <w:t xml:space="preserve">510</w:t>
      </w:r>
      <w:r>
        <w:t xml:space="preserve">,</w:t>
      </w:r>
      <w:r>
        <w:t xml:space="preserve">312 content duplicates were then removed, leaving</w:t>
      </w:r>
      <w:r>
        <w:t xml:space="preserve"> </w:t>
      </w:r>
      <w:r>
        <w:rPr>
          <w:b/>
          <w:bCs/>
        </w:rPr>
        <w:t xml:space="preserve">19</w:t>
      </w:r>
      <w:r>
        <w:rPr>
          <w:b/>
          <w:bCs/>
        </w:rPr>
        <w:t xml:space="preserve">,</w:t>
      </w:r>
      <w:r>
        <w:rPr>
          <w:b/>
          <w:bCs/>
        </w:rPr>
        <w:t xml:space="preserve">876</w:t>
      </w:r>
      <w:r>
        <w:rPr>
          <w:b/>
          <w:bCs/>
        </w:rPr>
        <w:t xml:space="preserve">,</w:t>
      </w:r>
      <w:r>
        <w:rPr>
          <w:b/>
          <w:bCs/>
        </w:rPr>
        <w:t xml:space="preserve">330</w:t>
      </w:r>
      <w:r>
        <w:rPr>
          <w:b/>
          <w:bCs/>
        </w:rP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(4% of drug rows could not be mapped; Supplementary Figure S1). They contained</w:t>
      </w:r>
      <w:r>
        <w:t xml:space="preserve"> </w:t>
      </w:r>
      <w:r>
        <w:t xml:space="preserve">83</w:t>
      </w:r>
      <w:r>
        <w:t xml:space="preserve">,</w:t>
      </w:r>
      <w:r>
        <w:t xml:space="preserve">883 hearing-loss and 42</w:t>
      </w:r>
      <w:r>
        <w:t xml:space="preserve">,</w:t>
      </w:r>
      <w:r>
        <w:t xml:space="preserve">900 tinnitus reports; hearing-loss reports</w:t>
      </w:r>
      <w:r>
        <w:t xml:space="preserve"> </w:t>
      </w:r>
      <w:r>
        <w:t xml:space="preserve">came more often from consumers and from patients aged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65 years than other reports (Supplementary Table S4). Without</w:t>
      </w:r>
      <w:r>
        <w:t xml:space="preserve"> </w:t>
      </w:r>
      <w:r>
        <w:t xml:space="preserve">Canadian reports, the population used for signal detection held 19</w:t>
      </w:r>
      <w:r>
        <w:t xml:space="preserve">,</w:t>
      </w:r>
      <w:r>
        <w:t xml:space="preserve">135</w:t>
      </w:r>
      <w:r>
        <w:t xml:space="preserve">,</w:t>
      </w:r>
      <w:r>
        <w:t xml:space="preserve">329 reports and 8</w:t>
      </w:r>
      <w:r>
        <w:t xml:space="preserve">,</w:t>
      </w:r>
      <w:r>
        <w:t xml:space="preserve">122 suspect</w:t>
      </w:r>
      <w:r>
        <w:t xml:space="preserve"> </w:t>
      </w:r>
      <w:r>
        <w:t xml:space="preserve">ingredients; its adjusted subset excluded 18</w:t>
      </w:r>
      <w:r>
        <w:t xml:space="preserve">,</w:t>
      </w:r>
      <w:r>
        <w:t xml:space="preserve">735 reports with an ear or hearing indication,</w:t>
      </w:r>
      <w:r>
        <w:t xml:space="preserve"> </w:t>
      </w:r>
      <w:r>
        <w:t xml:space="preserve">1</w:t>
      </w:r>
      <w:r>
        <w:t xml:space="preserve">,</w:t>
      </w:r>
      <w:r>
        <w:t xml:space="preserve">712</w:t>
      </w:r>
      <w:r>
        <w:t xml:space="preserve">,</w:t>
      </w:r>
      <w:r>
        <w:t xml:space="preserve">914 reports naming a listed ototoxic drug and 484</w:t>
      </w:r>
      <w:r>
        <w:t xml:space="preserve">,</w:t>
      </w:r>
      <w:r>
        <w:t xml:space="preserve">957 lawyer reports,</w:t>
      </w:r>
      <w:r>
        <w:t xml:space="preserve"> </w:t>
      </w:r>
      <w:r>
        <w:t xml:space="preserve">leaving 16</w:t>
      </w:r>
      <w:r>
        <w:t xml:space="preserve">,</w:t>
      </w:r>
      <w:r>
        <w:t xml:space="preserve">962</w:t>
      </w:r>
      <w:r>
        <w:t xml:space="preserve">,</w:t>
      </w:r>
      <w:r>
        <w:t xml:space="preserve">022 reports (67</w:t>
      </w:r>
      <w:r>
        <w:t xml:space="preserve">,</w:t>
      </w:r>
      <w:r>
        <w:t xml:space="preserve">913 hearing-loss cases). Canada Vigilance</w:t>
      </w:r>
      <w:r>
        <w:t xml:space="preserve"> </w:t>
      </w:r>
      <w:r>
        <w:t xml:space="preserve">contributed 1</w:t>
      </w:r>
      <w:r>
        <w:t xml:space="preserve">,</w:t>
      </w:r>
      <w:r>
        <w:t xml:space="preserve">210</w:t>
      </w:r>
      <w:r>
        <w:t xml:space="preserve">,</w:t>
      </w:r>
      <w:r>
        <w:t xml:space="preserve">857 reports after removing 58</w:t>
      </w:r>
      <w:r>
        <w:t xml:space="preserve">,</w:t>
      </w:r>
      <w:r>
        <w:t xml:space="preserve">623 duplicates</w:t>
      </w:r>
      <w:r>
        <w:t xml:space="preserve"> </w:t>
      </w:r>
      <w:r>
        <w:t xml:space="preserve">(4</w:t>
      </w:r>
      <w:r>
        <w:t xml:space="preserve">,</w:t>
      </w:r>
      <w:r>
        <w:t xml:space="preserve">000 hearing-loss and 3</w:t>
      </w:r>
      <w:r>
        <w:t xml:space="preserve">,</w:t>
      </w:r>
      <w:r>
        <w:t xml:space="preserve">284 tinnitus reports).</w:t>
      </w:r>
    </w:p>
    <w:p>
      <w:pPr>
        <w:pStyle w:val="BodyText"/>
      </w:pPr>
      <w:r>
        <w:t xml:space="preserve">Drugs of the established ototoxic classes gave strong signals in both databases (Supplementary Table S2), for example</w:t>
      </w:r>
      <w:r>
        <w:t xml:space="preserve"> </w:t>
      </w:r>
      <w:r>
        <w:t xml:space="preserve">amikacin (FAERS adjusted OR 12.7 (11.6–13.9)), gentamicin (11.4 (9.8–13.2)) and cisplatin (4.3 (4.0–4.6)); so did</w:t>
      </w:r>
      <w:r>
        <w:t xml:space="preserve"> </w:t>
      </w:r>
      <w:r>
        <w:t xml:space="preserve">the PDE5 inhibitors sildenafil (3.9 (3.7–4.2)) and tadalafil (4.2 (3.9–4.6)), whose labels carry hearing-loss</w:t>
      </w:r>
      <w:r>
        <w:t xml:space="preserve"> </w:t>
      </w:r>
      <w:r>
        <w:t xml:space="preserve">warnings, and teprotumumab (59.8 (55.4–64.5)). Some label-positive drugs did not signal: oxaliplatin (crude ROR</w:t>
      </w:r>
      <w:r>
        <w:t xml:space="preserve"> </w:t>
      </w:r>
      <w:r>
        <w:t xml:space="preserve">0.44) and vardenafil (6 cases); carboplatin was a</w:t>
      </w:r>
      <w:r>
        <w:t xml:space="preserve"> </w:t>
      </w:r>
      <w:r>
        <w:t xml:space="preserve">crude signal that fell below 1 after adjustment (1.96 to</w:t>
      </w:r>
      <w:r>
        <w:t xml:space="preserve"> </w:t>
      </w:r>
      <w:r>
        <w:t xml:space="preserve">0.82), as did vincristine’s estimate, an example of the sensitivity that the</w:t>
      </w:r>
      <w:r>
        <w:t xml:space="preserve"> </w:t>
      </w:r>
      <w:r>
        <w:t xml:space="preserve">co-medication filter costs.</w:t>
      </w:r>
    </w:p>
    <w:p>
      <w:pPr>
        <w:pStyle w:val="Heading2"/>
      </w:pPr>
      <w:bookmarkStart w:id="29" w:name="_107f3c85ced1315e9f212c36f210ded9bb333bb"/>
      <w:r>
        <w:t xml:space="preserve">Adjustment changes the signal list but not its agreement with labels</w:t>
      </w:r>
      <w:bookmarkEnd w:id="29"/>
    </w:p>
    <w:p>
      <w:pPr>
        <w:pStyle w:val="FirstParagraph"/>
      </w:pPr>
      <w:r>
        <w:t xml:space="preserve">In FAERS without Canadian reports the crude rule flagged 300 ingredients for hearing loss and the adjusted</w:t>
      </w:r>
      <w:r>
        <w:t xml:space="preserve"> </w:t>
      </w:r>
      <w:r>
        <w:t xml:space="preserve">rule 310; 63 crude signals were lost and 73 appeared</w:t>
      </w:r>
      <w:r>
        <w:t xml:space="preserve"> </w:t>
      </w:r>
      <w:r>
        <w:t xml:space="preserve">(Table </w:t>
      </w:r>
      <w:hyperlink w:anchor="_01d9fd756df68368595dee6b7688533f3c9fbbd">
        <w:r>
          <w:rPr>
            <w:rStyle w:val="Hyperlink"/>
          </w:rPr>
          <w:t xml:space="preserve">1</w:t>
        </w:r>
      </w:hyperlink>
      <w:r>
        <w:t xml:space="preserve">). Against the reference set (106 label-positive and 927 label-negative</w:t>
      </w:r>
      <w:r>
        <w:t xml:space="preserve"> </w:t>
      </w:r>
      <w:r>
        <w:t xml:space="preserve">ingredients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1</w:t>
      </w:r>
      <w:r>
        <w:t xml:space="preserve">,</w:t>
      </w:r>
      <w:r>
        <w:t xml:space="preserve">000 suspect reports), discrimination was moderate and practically identical. For the</w:t>
      </w:r>
      <w:r>
        <w:t xml:space="preserve"> </w:t>
      </w:r>
      <w:r>
        <w:t xml:space="preserve">like-for-like pair, crude versus adjusted lower bound, the AUC was 0.718 vs</w:t>
      </w:r>
      <w:r>
        <w:t xml:space="preserve"> </w:t>
      </w:r>
      <w:r>
        <w:t xml:space="preserve">0.723 (difference 0.005, 95% CI -0.023 to</w:t>
      </w:r>
      <w:r>
        <w:t xml:space="preserve"> </w:t>
      </w:r>
      <w:r>
        <w:t xml:space="preserve">0.030); for the pre-specified pair, crude IC</w:t>
      </w:r>
      <m:oMath>
        <m:sSub>
          <m:e>
            <m:r>
              <m:t>​</m:t>
            </m:r>
          </m:e>
          <m:sub>
            <m:r>
              <m:t>025</m:t>
            </m:r>
          </m:sub>
        </m:sSub>
      </m:oMath>
      <w:r>
        <w:t xml:space="preserve"> </w:t>
      </w:r>
      <w:r>
        <w:t xml:space="preserve">versus adjusted lower bound, it was</w:t>
      </w:r>
      <w:r>
        <w:t xml:space="preserve"> </w:t>
      </w:r>
      <w:r>
        <w:t xml:space="preserve">0.720 vs 0.723. Adjustment thus changed which drugs were flagged</w:t>
      </w:r>
      <w:r>
        <w:t xml:space="preserve"> </w:t>
      </w:r>
      <w:r>
        <w:t xml:space="preserve">but brought almost no improvement in agreement with labels. The same held for point estimates (0.700 vs</w:t>
      </w:r>
      <w:r>
        <w:t xml:space="preserve"> </w:t>
      </w:r>
      <w:r>
        <w:t xml:space="preserve">0.705), after excluding the 83 ingredients without an estimable</w:t>
      </w:r>
      <w:r>
        <w:t xml:space="preserve"> </w:t>
      </w:r>
      <w:r>
        <w:t xml:space="preserve">adjusted bound (0.698 vs</w:t>
      </w:r>
      <w:r>
        <w:t xml:space="preserve"> </w:t>
      </w:r>
      <w:r>
        <w:t xml:space="preserve">0.703), at lower report thresholds, without the 29 listed</w:t>
      </w:r>
      <w:r>
        <w:t xml:space="preserve"> </w:t>
      </w:r>
      <w:r>
        <w:t xml:space="preserve">drugs, and for tinnitus (0.775 vs 0.777). Adjustment lowered</w:t>
      </w:r>
      <w:r>
        <w:t xml:space="preserve"> </w:t>
      </w:r>
      <w:r>
        <w:t xml:space="preserve">sensitivity (0.40 to 0.35) with little change in specificity</w:t>
      </w:r>
      <w:r>
        <w:t xml:space="preserve"> </w:t>
      </w:r>
      <w:r>
        <w:t xml:space="preserve">(0.866 to 0.873).</w:t>
      </w:r>
    </w:p>
    <w:p>
      <w:pPr>
        <w:pStyle w:val="Heading2"/>
      </w:pPr>
      <w:bookmarkStart w:id="30" w:name="_2ba7c5a9bf848498b9a7ba8a5df5dde68d81479"/>
      <w:r>
        <w:t xml:space="preserve">Replication in Canada Vigilance</w:t>
      </w:r>
      <w:bookmarkEnd w:id="30"/>
    </w:p>
    <w:p>
      <w:pPr>
        <w:pStyle w:val="FirstParagraph"/>
      </w:pPr>
      <w:r>
        <w:t xml:space="preserve">Under the pre-specified rule, adjusted hearing-loss signals already on a label replicated in 34/50 (68%)</w:t>
      </w:r>
      <w:r>
        <w:t xml:space="preserve"> </w:t>
      </w:r>
      <w:r>
        <w:t xml:space="preserve">of testable cases and unlabelled adjusted signals in 31/76 (41%) (Table </w:t>
      </w:r>
      <w:hyperlink w:anchor="_01d9fd756df68368595dee6b7688533f3c9fbbd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t xml:space="preserve">Label-negative adjusted signals replicated in 21/54 (39%) and crude-only signals in</w:t>
      </w:r>
      <w:r>
        <w:t xml:space="preserve"> </w:t>
      </w:r>
      <w:r>
        <w:t xml:space="preserve">9/21 (43%). The background—label-negative ingredients that were neither crude nor adjusted signals—replicated</w:t>
      </w:r>
      <w:r>
        <w:t xml:space="preserve"> </w:t>
      </w:r>
      <w:r>
        <w:t xml:space="preserve">in 43/214 (20%) (all label-negative ingredients, as literally specified in the protocol:</w:t>
      </w:r>
      <w:r>
        <w:t xml:space="preserve"> </w:t>
      </w:r>
      <w:r>
        <w:t xml:space="preserve">68/281 (24%)). In this pre-specified comparison unlabelled signals replicated more</w:t>
      </w:r>
      <w:r>
        <w:t xml:space="preserve"> </w:t>
      </w:r>
      <w:r>
        <w:t xml:space="preserve">often than the background (odds ratio 2.74, Fisher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 but less</w:t>
      </w:r>
      <w:r>
        <w:t xml:space="preserve"> </w:t>
      </w:r>
      <w:r>
        <w:t xml:space="preserve">often than labelled signals.</w:t>
      </w:r>
    </w:p>
    <w:p>
      <w:pPr>
        <w:pStyle w:val="BodyText"/>
      </w:pPr>
      <w:r>
        <w:t xml:space="preserve">The power-calibrated comparison (post hoc) placed this contrast on a common scale (Figure </w:t>
      </w:r>
      <w:hyperlink w:anchor="_576b9bd78d0890981a1f156b59228419fd8f27c">
        <w:r>
          <w:rPr>
            <w:rStyle w:val="Hyperlink"/>
          </w:rPr>
          <w:t xml:space="preserve">2</w:t>
        </w:r>
      </w:hyperlink>
      <w:r>
        <w:t xml:space="preserve">). Labelled signals</w:t>
      </w:r>
      <w:r>
        <w:t xml:space="preserve"> </w:t>
      </w:r>
      <w:r>
        <w:t xml:space="preserve">(n=70 ingredients) replicated about as often as their shrunken FAERS estimates predicted</w:t>
      </w:r>
      <w:r>
        <w:t xml:space="preserve"> </w:t>
      </w:r>
      <w:r>
        <w:t xml:space="preserve">(31 observed vs 30.5 expected; O/E 1.02, 95% CI 0.77–1.32). Unlabelled signals (n=201) replicated less than half as often</w:t>
      </w:r>
      <w:r>
        <w:t xml:space="preserve"> </w:t>
      </w:r>
      <w:r>
        <w:t xml:space="preserve">(25 observed vs 56.8 expected; O/E 0.44, 95% CI 0.29–0.62); the ratio of the two was 0.43</w:t>
      </w:r>
      <w:r>
        <w:t xml:space="preserve"> </w:t>
      </w:r>
      <w:r>
        <w:t xml:space="preserve">(95% CI 0.26–0.66). The</w:t>
      </w:r>
      <w:r>
        <w:t xml:space="preserve"> </w:t>
      </w:r>
      <w:r>
        <w:t xml:space="preserve">label-negative signals, a subset of the unlabelled group, behaved alike (18 observed vs 37.5 expected; O/E 0.48, 95% CI 0.27–0.72). Results were the</w:t>
      </w:r>
      <w:r>
        <w:t xml:space="preserve"> </w:t>
      </w:r>
      <w:r>
        <w:t xml:space="preserve">same with unshrunken estimates, with the pre-specified label definition, and for tinnitus (60 observed vs 63.2 expected; O/E 0.95, 95% CI 0.79–1.14 for</w:t>
      </w:r>
      <w:r>
        <w:t xml:space="preserve"> </w:t>
      </w:r>
      <w:r>
        <w:t xml:space="preserve">labelled and 22 observed vs 46.4 expected; O/E 0.47, 95% CI 0.29–0.66 for unlabelled signals).</w:t>
      </w:r>
    </w:p>
    <w:p>
      <w:pPr>
        <w:pStyle w:val="BodyText"/>
      </w:pPr>
      <w:r>
        <w:t xml:space="preserve">Unlabelled signals were more often reported by consumers (median share of FAERS cases</w:t>
      </w:r>
      <w:r>
        <w:t xml:space="preserve"> </w:t>
      </w:r>
      <w:r>
        <w:t xml:space="preserve">58% vs 39% for labelled signals) and</w:t>
      </w:r>
      <w:r>
        <w:t xml:space="preserve"> </w:t>
      </w:r>
      <w:r>
        <w:t xml:space="preserve">more often from the United States (67% vs 50%), so</w:t>
      </w:r>
      <w:r>
        <w:t xml:space="preserve"> </w:t>
      </w:r>
      <w:r>
        <w:t xml:space="preserve">provenance could explain the contrast. It did not: among signals with a consumer share at or below the median, O/E was</w:t>
      </w:r>
      <w:r>
        <w:t xml:space="preserve"> </w:t>
      </w:r>
      <w:r>
        <w:t xml:space="preserve">1.01 for labelled and</w:t>
      </w:r>
      <w:r>
        <w:t xml:space="preserve"> </w:t>
      </w:r>
      <w:r>
        <w:t xml:space="preserve">0.57 (95% CI</w:t>
      </w:r>
      <w:r>
        <w:t xml:space="preserve"> </w:t>
      </w:r>
      <w:r>
        <w:t xml:space="preserve">0.27–0.93) for</w:t>
      </w:r>
      <w:r>
        <w:t xml:space="preserve"> </w:t>
      </w:r>
      <w:r>
        <w:t xml:space="preserve">unlabelled signals, and above the median 1.04 and</w:t>
      </w:r>
      <w:r>
        <w:t xml:space="preserve"> </w:t>
      </w:r>
      <w:r>
        <w:t xml:space="preserve">0.36. Pooled across ingredients (random effects), the Canadian ROR</w:t>
      </w:r>
      <w:r>
        <w:t xml:space="preserve"> </w:t>
      </w:r>
      <w:r>
        <w:t xml:space="preserve">was 3.60 (2.47–5.26)</w:t>
      </w:r>
      <w:r>
        <w:t xml:space="preserve"> </w:t>
      </w:r>
      <w:r>
        <w:t xml:space="preserve">for labelled and 1.59 (1.28–1.96)</w:t>
      </w:r>
      <w:r>
        <w:t xml:space="preserve"> </w:t>
      </w:r>
      <w:r>
        <w:t xml:space="preserve">for unlabelled signals: as a group, unlabelled signals were attenuated rather than absent.</w:t>
      </w:r>
    </w:p>
    <w:p>
      <w:pPr>
        <w:pStyle w:val="BodyText"/>
      </w:pPr>
      <w:r>
        <w:t xml:space="preserve">The replication test was not conservative: label-negative non-signals replicated 4.2 times as often as expected without any association</w:t>
      </w:r>
      <w:r>
        <w:t xml:space="preserve"> </w:t>
      </w:r>
      <w:r>
        <w:t xml:space="preserve">(36 vs 8.5). Solicited reports explained much of this:</w:t>
      </w:r>
      <w:r>
        <w:t xml:space="preserve"> </w:t>
      </w:r>
      <w:r>
        <w:rPr>
          <w:i/>
          <w:iCs/>
        </w:rPr>
        <w:t xml:space="preserve">Study</w:t>
      </w:r>
      <w:r>
        <w:t xml:space="preserve"> </w:t>
      </w:r>
      <w:r>
        <w:t xml:space="preserve">reports, which include manufacturers’ patient-support programmes, made up 61%</w:t>
      </w:r>
      <w:r>
        <w:t xml:space="preserve"> </w:t>
      </w:r>
      <w:r>
        <w:t xml:space="preserve">of Canadian hearing-loss cases for the background drugs that replicated, against 14% for</w:t>
      </w:r>
      <w:r>
        <w:t xml:space="preserve"> </w:t>
      </w:r>
      <w:r>
        <w:t xml:space="preserve">replicated labelled signals and 36% overall; for ocrelizumab, mepolizumab and omalizumab the share</w:t>
      </w:r>
      <w:r>
        <w:t xml:space="preserve"> </w:t>
      </w:r>
      <w:r>
        <w:t xml:space="preserve">was 93%, 93% and 86%, against</w:t>
      </w:r>
      <w:r>
        <w:t xml:space="preserve"> </w:t>
      </w:r>
      <w:r>
        <w:t xml:space="preserve">1% for gentamicin and 1% for cisplatin. The mirror image appeared in FAERS:</w:t>
      </w:r>
      <w:r>
        <w:t xml:space="preserve"> </w:t>
      </w:r>
      <w:r>
        <w:t xml:space="preserve">tafamidis (adjusted OR 4.3 (3.8–4.8)) had</w:t>
      </w:r>
      <w:r>
        <w:t xml:space="preserve"> </w:t>
      </w:r>
      <w:r>
        <w:t xml:space="preserve">361 hearing-loss reports in FAERS (86% from consumers,</w:t>
      </w:r>
      <w:r>
        <w:t xml:space="preserve"> </w:t>
      </w:r>
      <w:r>
        <w:t xml:space="preserve">97% from the United States) but none in Canada Vigilance against 3.4 expected, and</w:t>
      </w:r>
      <w:r>
        <w:t xml:space="preserve"> </w:t>
      </w:r>
      <w:r>
        <w:t xml:space="preserve">sacubitril (2</w:t>
      </w:r>
      <w:r>
        <w:t xml:space="preserve">,</w:t>
      </w:r>
      <w:r>
        <w:t xml:space="preserve">801 FAERS hearing-loss reports; 88% from consumers) none against</w:t>
      </w:r>
      <w:r>
        <w:t xml:space="preserve"> </w:t>
      </w:r>
      <w:r>
        <w:t xml:space="preserve">1.9 expected (too few to be testable).</w:t>
      </w:r>
    </w:p>
    <w:p>
      <w:pPr>
        <w:pStyle w:val="BodyText"/>
      </w:pPr>
      <w:r>
        <w:t xml:space="preserve">Co-medication bias can also replicate when crude estimates are compared. Etoposide, given in cisplatin-containing regimens,</w:t>
      </w:r>
      <w:r>
        <w:t xml:space="preserve"> </w:t>
      </w:r>
      <w:r>
        <w:t xml:space="preserve">was a crude signal in both databases (FAERS ROR 2.09 (1.91–2.28);</w:t>
      </w:r>
      <w:r>
        <w:t xml:space="preserve"> </w:t>
      </w:r>
      <w:r>
        <w:t xml:space="preserve">Canada 5.13 (3.68–7.14)); after adjustment the FAERS estimate reversed</w:t>
      </w:r>
      <w:r>
        <w:t xml:space="preserve"> </w:t>
      </w:r>
      <w:r>
        <w:t xml:space="preserve">(0.67 (0.46–0.98)) and the Canadian one rested on</w:t>
      </w:r>
      <w:r>
        <w:t xml:space="preserve"> </w:t>
      </w:r>
      <w:r>
        <w:t xml:space="preserve">2 cases (1.15 (0.29–4.64)). Temporal replication within FAERS</w:t>
      </w:r>
      <w:r>
        <w:t xml:space="preserve"> </w:t>
      </w:r>
      <w:r>
        <w:t xml:space="preserve">did not favour adjustment for hearing loss: early crude-only signals recurred after 2014 at least as often</w:t>
      </w:r>
      <w:r>
        <w:t xml:space="preserve"> </w:t>
      </w:r>
      <w:r>
        <w:t xml:space="preserve">(18/28 (64%)) as early adjusted signals (81/155 (52%); background 137/938 (15%)),</w:t>
      </w:r>
      <w:r>
        <w:t xml:space="preserve"> </w:t>
      </w:r>
      <w:r>
        <w:t xml:space="preserve">consistent with biases that persist within one database; for tinnitus adjusted signals recurred more often</w:t>
      </w:r>
      <w:r>
        <w:t xml:space="preserve"> </w:t>
      </w:r>
      <w:r>
        <w:t xml:space="preserve">(100/121 (83%) vs 9/15 (60%)).</w:t>
      </w:r>
    </w:p>
    <w:p>
      <w:pPr>
        <w:pStyle w:val="Heading2"/>
      </w:pPr>
      <w:bookmarkStart w:id="31" w:name="_be549a4ec8708f84b63e1dc0d4821bd33780b5c"/>
      <w:r>
        <w:t xml:space="preserve">Post-hoc analyses</w:t>
      </w:r>
      <w:bookmarkEnd w:id="31"/>
    </w:p>
    <w:p>
      <w:pPr>
        <w:pStyle w:val="FirstParagraph"/>
      </w:pPr>
      <w:r>
        <w:t xml:space="preserve">The post-hoc framework combined the extended indication filter, Canada Vigilance restricted to unsolicited reports and</w:t>
      </w:r>
      <w:r>
        <w:t xml:space="preserve"> </w:t>
      </w:r>
      <w:r>
        <w:t xml:space="preserve">adjusted estimates in both databases (Table </w:t>
      </w:r>
      <w:hyperlink w:anchor="_fb475224272a447d57b77f14dfc8774bb10ba7c">
        <w:r>
          <w:rPr>
            <w:rStyle w:val="Hyperlink"/>
          </w:rPr>
          <w:t xml:space="preserve">2</w:t>
        </w:r>
      </w:hyperlink>
      <w:r>
        <w:t xml:space="preserve">). In it, labelled hearing-loss signals replicated in</w:t>
      </w:r>
      <w:r>
        <w:t xml:space="preserve"> </w:t>
      </w:r>
      <w:r>
        <w:t xml:space="preserve">26/44 (59%), unlabelled signals in 10/51 (20%) and the background in 19/158 (12%)</w:t>
      </w:r>
      <w:r>
        <w:t xml:space="preserve"> </w:t>
      </w:r>
      <w:r>
        <w:t xml:space="preserve">(Fisher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0.24</m:t>
        </m:r>
      </m:oMath>
      <w:r>
        <w:t xml:space="preserve">). Calibrated on adjusted Canadian counts, O/E was 1.10 (95% CI</w:t>
      </w:r>
      <w:r>
        <w:t xml:space="preserve"> </w:t>
      </w:r>
      <w:r>
        <w:t xml:space="preserve">0.79–1.48) for labelled and</w:t>
      </w:r>
      <w:r>
        <w:t xml:space="preserve"> </w:t>
      </w:r>
      <w:r>
        <w:t xml:space="preserve">0.26 (0.11–0.43)</w:t>
      </w:r>
      <w:r>
        <w:t xml:space="preserve"> </w:t>
      </w:r>
      <w:r>
        <w:t xml:space="preserve">for unlabelled signals (ratio 0.24, 95% CI</w:t>
      </w:r>
      <w:r>
        <w:t xml:space="preserve"> </w:t>
      </w:r>
      <w:r>
        <w:t xml:space="preserve">0.09–0.44); the pooled</w:t>
      </w:r>
      <w:r>
        <w:t xml:space="preserve"> </w:t>
      </w:r>
      <w:r>
        <w:t xml:space="preserve">Canadian adjusted OR was 4.25 (2.73–6.64)</w:t>
      </w:r>
      <w:r>
        <w:t xml:space="preserve"> </w:t>
      </w:r>
      <w:r>
        <w:t xml:space="preserve">for labelled, 1.37 (1.03–1.83)</w:t>
      </w:r>
      <w:r>
        <w:t xml:space="preserve"> </w:t>
      </w:r>
      <w:r>
        <w:t xml:space="preserve">for unlabelled and 1.29 (1.00–1.66)</w:t>
      </w:r>
      <w:r>
        <w:t xml:space="preserve"> </w:t>
      </w:r>
      <w:r>
        <w:t xml:space="preserve">for label-negative signals. For tinnitus, labelled signals replicated less fully in this framework (O/E</w:t>
      </w:r>
      <w:r>
        <w:t xml:space="preserve"> </w:t>
      </w:r>
      <w:r>
        <w:t xml:space="preserve">0.70, 95% CI 0.54–0.88),</w:t>
      </w:r>
      <w:r>
        <w:t xml:space="preserve"> </w:t>
      </w:r>
      <w:r>
        <w:t xml:space="preserve">with unlabelled signals lower still (0.21). Across the co-medication variants and the restriction of Canada Vigilance to reports from 2004,</w:t>
      </w:r>
      <w:r>
        <w:t xml:space="preserve"> </w:t>
      </w:r>
      <w:r>
        <w:t xml:space="preserve">unlabelled O/E ranged 0.23–0.28 and labelled</w:t>
      </w:r>
      <w:r>
        <w:t xml:space="preserve"> </w:t>
      </w:r>
      <w:r>
        <w:t xml:space="preserve">0.94–1.18. The comparison with the background depended on</w:t>
      </w:r>
      <w:r>
        <w:t xml:space="preserve"> </w:t>
      </w:r>
      <w:r>
        <w:t xml:space="preserve">report clusters: after excluding reports that list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15 drugs, the background fell to 5/159 (3%) and</w:t>
      </w:r>
      <w:r>
        <w:t xml:space="preserve"> </w:t>
      </w:r>
      <w:r>
        <w:t xml:space="preserve">unlabelled signals (8/48 (17%)) exceeded it (Fisher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</m:t>
        </m:r>
      </m:oMath>
      <w:r>
        <w:t xml:space="preserve">),</w:t>
      </w:r>
      <w:r>
        <w:t xml:space="preserve"> </w:t>
      </w:r>
      <w:r>
        <w:t xml:space="preserve">although still replicating far below expectation (O/E 0.27). Handling</w:t>
      </w:r>
      <w:r>
        <w:t xml:space="preserve"> </w:t>
      </w:r>
      <w:r>
        <w:t xml:space="preserve">co-medication as a stratum rather than an exclusion removed the below-1 estimates of label-positive drugs (carboplatin</w:t>
      </w:r>
      <w:r>
        <w:t xml:space="preserve"> </w:t>
      </w:r>
      <w:r>
        <w:t xml:space="preserve">0.79 to 1.34; vincristine</w:t>
      </w:r>
      <w:r>
        <w:t xml:space="preserve"> </w:t>
      </w:r>
      <w:r>
        <w:t xml:space="preserve">0.48 to 1.04), consistent</w:t>
      </w:r>
      <w:r>
        <w:t xml:space="preserve"> </w:t>
      </w:r>
      <w:r>
        <w:t xml:space="preserve">with selection bias from the exclusion, but did not remove the etoposide association</w:t>
      </w:r>
      <w:r>
        <w:t xml:space="preserve"> </w:t>
      </w:r>
      <w:r>
        <w:t xml:space="preserve">(1.57), consistent with residual co-medication bias under a binary stratum.</w:t>
      </w:r>
    </w:p>
    <w:p>
      <w:pPr>
        <w:pStyle w:val="Heading2"/>
      </w:pPr>
      <w:bookmarkStart w:id="32" w:name="_42e042e6440987e2814ddf706c2a7b829123a6f"/>
      <w:r>
        <w:t xml:space="preserve">Signals from previous screens</w:t>
      </w:r>
      <w:bookmarkEnd w:id="32"/>
    </w:p>
    <w:p>
      <w:pPr>
        <w:pStyle w:val="FirstParagraph"/>
      </w:pPr>
      <w:r>
        <w:t xml:space="preserve">Of the 23 hearing-loss signals that Li et al. classified as unlabelled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16 were crude and 16 adjusted signals in FAERS without Canadian reports,</w:t>
      </w:r>
      <w:r>
        <w:t xml:space="preserve"> </w:t>
      </w:r>
      <w:r>
        <w:t xml:space="preserve">6 were testable in Canada and 2 replicated; 1</w:t>
      </w:r>
      <w:r>
        <w:t xml:space="preserve"> </w:t>
      </w:r>
      <w:r>
        <w:t xml:space="preserve">met the post-hoc robust definition (glycopyrrolate). Their strongest unlabelled signals included</w:t>
      </w:r>
      <w:r>
        <w:t xml:space="preserve"> </w:t>
      </w:r>
      <w:r>
        <w:t xml:space="preserve">sacubitril/valsartan and tafamidis. Of the 28 unlabelled paediatric signals of Liu et al. </w:t>
      </w:r>
      <w:r>
        <w:t xml:space="preserve">[4]</w:t>
      </w:r>
      <w:r>
        <w:t xml:space="preserve">,</w:t>
      </w:r>
      <w:r>
        <w:t xml:space="preserve"> </w:t>
      </w:r>
      <w:r>
        <w:t xml:space="preserve">11 were adjusted signals in our all-age data and 1 met the robust definition</w:t>
      </w:r>
      <w:r>
        <w:t xml:space="preserve"> </w:t>
      </w:r>
      <w:r>
        <w:t xml:space="preserve">(azithromycin, which is on the a-priori ototoxic list);</w:t>
      </w:r>
      <w:r>
        <w:t xml:space="preserve"> </w:t>
      </w:r>
      <w:r>
        <w:t xml:space="preserve">cefixime, ceftriaxone, etoposide and isoniazid were lost on adjustment (Table </w:t>
      </w:r>
      <w:hyperlink w:anchor="_5dcdb19b87d05ca6b5d15ccad55830f58746f11">
        <w:r>
          <w:rPr>
            <w:rStyle w:val="Hyperlink"/>
          </w:rPr>
          <w:t xml:space="preserve">3</w:t>
        </w:r>
      </w:hyperlink>
      <w:r>
        <w:t xml:space="preserve">). Only</w:t>
      </w:r>
      <w:r>
        <w:t xml:space="preserve"> </w:t>
      </w:r>
      <w:r>
        <w:t xml:space="preserve">abstract-level lists were available for the other screens (Supplementary Table S6).</w:t>
      </w:r>
    </w:p>
    <w:p>
      <w:pPr>
        <w:pStyle w:val="Heading2"/>
      </w:pPr>
      <w:bookmarkStart w:id="33" w:name="_79ce093ef77156c196cf1ee4b9b58429eba3dcd"/>
      <w:r>
        <w:t xml:space="preserve">Case-level review</w:t>
      </w:r>
      <w:bookmarkEnd w:id="33"/>
    </w:p>
    <w:p>
      <w:pPr>
        <w:pStyle w:val="FirstParagraph"/>
      </w:pPr>
      <w:r>
        <w:t xml:space="preserve">Under the post-hoc definition, 10 hearing-loss and 12 tinnitus signals were robust and absent from every US</w:t>
      </w:r>
      <w:r>
        <w:t xml:space="preserve"> </w:t>
      </w:r>
      <w:r>
        <w:t xml:space="preserve">label (Table </w:t>
      </w:r>
      <w:hyperlink w:anchor="_a3680f2908c270ccb110f4515419033f2692535">
        <w:r>
          <w:rPr>
            <w:rStyle w:val="Hyperlink"/>
          </w:rPr>
          <w:t xml:space="preserve">4</w:t>
        </w:r>
      </w:hyperlink>
      <w:r>
        <w:t xml:space="preserve">, Figure </w:t>
      </w:r>
      <w:hyperlink w:anchor="_8438971255fac547e59d2aeeb15af050352f533">
        <w:r>
          <w:rPr>
            <w:rStyle w:val="Hyperlink"/>
          </w:rPr>
          <w:t xml:space="preserve">3</w:t>
        </w:r>
      </w:hyperlink>
      <w:r>
        <w:t xml:space="preserve">). The review attributed 4 to report clusters (for</w:t>
      </w:r>
      <w:r>
        <w:t xml:space="preserve"> </w:t>
      </w:r>
      <w:r>
        <w:t xml:space="preserve">example candesartan–tinnitus: 80%</w:t>
      </w:r>
      <w:r>
        <w:t xml:space="preserve"> </w:t>
      </w:r>
      <w:r>
        <w:t xml:space="preserve">of cases from the United Kingdom, median 42 drugs per</w:t>
      </w:r>
      <w:r>
        <w:t xml:space="preserve"> </w:t>
      </w:r>
      <w:r>
        <w:t xml:space="preserve">report), 6 to stimulated or mass-exposure reporting (mRNA COVID-19 vaccines, rofecoxib, finasteride),</w:t>
      </w:r>
      <w:r>
        <w:t xml:space="preserve"> </w:t>
      </w:r>
      <w:r>
        <w:t xml:space="preserve">1 to an established ototoxic class (oral paromomycin) and 4 to an indication, with an</w:t>
      </w:r>
      <w:r>
        <w:t xml:space="preserve"> </w:t>
      </w:r>
      <w:r>
        <w:t xml:space="preserve">active-comparator estimate consistent with it (etanercept against other rheumatoid-arthritis drugs,</w:t>
      </w:r>
      <w:r>
        <w:t xml:space="preserve"> </w:t>
      </w:r>
      <w:r>
        <w:t xml:space="preserve">ROR 0.93 (0.87–1.00); insulin aspart within diabetes, 1.17 (1.00–1.37); galcanezumab within migraine,</w:t>
      </w:r>
      <w:r>
        <w:t xml:space="preserve"> </w:t>
      </w:r>
      <w:r>
        <w:t xml:space="preserve">0.82 (0.63–1.06); and chlorthalidone within hypertension, 1.04 (0.43–2.51), which is indeterminate with</w:t>
      </w:r>
      <w:r>
        <w:t xml:space="preserve"> </w:t>
      </w:r>
      <w:r>
        <w:t xml:space="preserve">5 cases). For seven signals the</w:t>
      </w:r>
      <w:r>
        <w:t xml:space="preserve"> </w:t>
      </w:r>
      <w:r>
        <w:t xml:space="preserve">indication did not account for the association, because it persisted against other drugs for the same indication:</w:t>
      </w:r>
      <w:r>
        <w:t xml:space="preserve"> </w:t>
      </w:r>
      <w:r>
        <w:t xml:space="preserve">tofacitinib, pregabalin, amlodipine, glycopyrrolate and travoprost for hearing loss (for example pregabalin within pain and neuropathy, ROR 3.27 (3.04–3.52); amlodipine</w:t>
      </w:r>
      <w:r>
        <w:t xml:space="preserve"> </w:t>
      </w:r>
      <w:r>
        <w:t xml:space="preserve">within hypertension, 1.89 (1.69–2.10)) and doxycycline and liothyronine for tinnitus (doxycycline, 3.63 (2.98–4.42)).</w:t>
      </w:r>
      <w:r>
        <w:t xml:space="preserve"> </w:t>
      </w:r>
      <w:r>
        <w:t xml:space="preserve">A second, AI-based assessor applying the same rubric to the same profiles agreed on 19 of 22 assignments</w:t>
      </w:r>
      <w:r>
        <w:t xml:space="preserve"> </w:t>
      </w:r>
      <w:r>
        <w:t xml:space="preserve">before the active-comparator step (Cohen’s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0.82</m:t>
        </m:r>
      </m:oMath>
      <w:r>
        <w:t xml:space="preserve">) and on 19 after the same mechanical rule</w:t>
      </w:r>
      <w:r>
        <w:t xml:space="preserve"> </w:t>
      </w:r>
      <w:r>
        <w:t xml:space="preserve">was applied to both (</w:t>
      </w:r>
      <m:oMath>
        <m:r>
          <m:t>κ</m:t>
        </m:r>
        <m:r>
          <m:rPr>
            <m:sty m:val="p"/>
          </m:rPr>
          <m:t>=</m:t>
        </m:r>
        <m:r>
          <m:t>0.82</m:t>
        </m:r>
      </m:oMath>
      <w:r>
        <w:t xml:space="preserve">); with its assignments, nine signals would remain unexplained</w:t>
      </w:r>
      <w:r>
        <w:t xml:space="preserve"> </w:t>
      </w:r>
      <w:r>
        <w:t xml:space="preserve">(Supplementary Table S3). Before the post-hoc active-comparator rule, only two (pregabalin and doxycycline)</w:t>
      </w:r>
      <w:r>
        <w:t xml:space="preserve"> </w:t>
      </w:r>
      <w:r>
        <w:t xml:space="preserve">were unexplained; the residual count therefore ranges from 2 to 9 depending on post-hoc choices and assessor.</w:t>
      </w:r>
    </w:p>
    <w:bookmarkStart w:id="34" w:name="_01d9fd756df68368595dee6b7688533f3c9fbbd"/>
    <w:p>
      <w:pPr>
        <w:pStyle w:val="TableCaption"/>
      </w:pPr>
      <w:r>
        <w:t xml:space="preserve">Crude versus adjusted detection (pre-specified analyses). Replication counts are replicated/testable ingredients.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ude versus adjusted detection (pre-specified analyses). Replication counts are replicated/testable ingredient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Crude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Adjusted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Hearing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set, positive/negative ingredients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106/927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AUC, lower 95% 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difference (95% CI)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0.005 (-0.023 to 0.030)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 / specificity of the signal rule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 / 0.87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 / 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Signals (FAERS without Canadian reports)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Replicated in Canada</w:t>
            </w:r>
            <m:oMath>
              <m:sSup>
                <m:e>
                  <m:r>
                    <m:t>​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: labelled adjusted signals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34/50 (68%)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unlabelled adjusted signals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31/76 (41%)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label-negative adjusted signals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21/54 (39%)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crude-only signals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9/21 (43%)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(label-negative non-signals)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43/214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label-negative ingredients (protocol wording)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68/281 (24%)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Observed/expected replications</w:t>
            </w:r>
            <m:oMath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oMath>
            <w:r>
              <w:t xml:space="preserve">: labelled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31/30.5 = 1.02 (0.77–1.32)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unlabelled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25/56.8 = 0.44 (0.29–0.62)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label-negative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18/37.5 = 0.48 (0.27–0.72)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Tinnitus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set, positive/negative ingredients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186/927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AUC, lower 95% 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difference (95% CI)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0.002 (-0.016 to 0.018)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 / specificity of the signal rule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 / 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 / 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Signals (FAERS without Canadian reports)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Replicated in Canada</w:t>
            </w:r>
            <m:oMath>
              <m:sSup>
                <m:e>
                  <m:r>
                    <m:t>​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: labelled adjusted signals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65/89 (73%)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unlabelled adjusted signals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24/56 (43%)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label-negative adjusted signals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17/43 (40%)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crude-only signals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13/30 (43%)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(label-negative non-signals)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31/193 (16%)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label-negative ingredients (protocol wording)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53/252 (21%)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Observed/expected replications</w:t>
            </w:r>
            <m:oMath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oMath>
            <w:r>
              <w:t xml:space="preserve">: labelled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60/63.2 = 0.95 (0.79–1.14)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unlabelled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22/46.4 = 0.47 (0.29–0.66)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label-negative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16/33.8 = 0.47 (0.27–0.72)</w:t>
            </w:r>
          </w:p>
        </w:tc>
      </w:tr>
    </w:tbl>
    <w:bookmarkEnd w:id="34"/>
    <w:p>
      <w:pPr>
        <w:pStyle w:val="FirstParagraph"/>
      </w:pPr>
      <m:oMath>
        <m:sSup>
          <m:e>
            <m:r>
              <m:t>​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Pre-specified rule: FAERS without Canadian reports; Canada crude ROR, all reports.</w:t>
      </w:r>
      <w:r>
        <w:t xml:space="preserve"> </w:t>
      </w:r>
      <m:oMath>
        <m:sSup>
          <m:e>
            <m:r>
              <m:t>​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Power-calibrated (post hoc): observed replications vs those expected if each FAERS adjusted estimate were true.</w:t>
      </w:r>
    </w:p>
    <w:bookmarkStart w:id="35" w:name="_fb475224272a447d57b77f14dfc8774bb10ba7c"/>
    <w:p>
      <w:pPr>
        <w:pStyle w:val="TableCaption"/>
      </w:pPr>
      <w:r>
        <w:t xml:space="preserve">Post-hoc analyses: extended indication filter, Canada Vigilance without solicited reports, both estimates adjusted,</w:t>
      </w:r>
      <w:r>
        <w:t xml:space="preserve"> </w:t>
      </w:r>
      <w:r>
        <w:t xml:space="preserve">with four ways of handling ototoxic co-medication and a restriction of Canada Vigilance to reports from 2004. Fisher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unlabelled vs background replication. O/E: observed/expected replications (adjusted counts). Robust: adjusted signals replicated</w:t>
      </w:r>
      <w:r>
        <w:t xml:space="preserve"> </w:t>
      </w:r>
      <w:r>
        <w:t xml:space="preserve">adjusted-to-adjusted (unlabelled in brackets).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ost-hoc analyses: extended indication filter, Canada Vigilance without solicited reports, both estimates adjusted, with four ways of handling ototoxic co-medication and a restriction of Canada Vigilance to reports from 2004. Fisher p: unlabelled vs background replication. O/E: observed/expected replications (adjusted counts). Robust: adjusted signals replicated adjusted-to-adjusted (unlabelled in brackets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Co-medication handling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Labelled repl.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Unlabelled repl.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Background repl.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Fisher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O/E lab./unlab.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Robust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Hearing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Exclusion (as primary)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26/44 (59%)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10/51 (20%)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19/158 (12%)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1.10 / 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 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Co-medication as stratum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28/43 (65%)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17/57 (30%)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28/158 (18%)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 / 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(17)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ototoxic list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26/43 (60%)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14/54 (26%)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22/158 (14%)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 / 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(14)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Without reports listing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15 drugs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26/41 (63%)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8/48 (17%)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5/159 (3%)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 / 0.27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 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Exclusion; Canada from 2004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18/37 (49%)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10/48 (21%)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15/125 (12%)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 / 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(10)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Tinnitus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Exclusion (as primary)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52/89 (58%)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12/50 (24%)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8/153 (5%)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 / 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 (12)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Co-medication as stratum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59/96 (61%)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20/66 (30%)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15/154 (10%)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 / 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 (20)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ototoxic list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54/97 (56%)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12/60 (20%)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14/154 (9%)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 / 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 (12)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Without reports listing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15 drugs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47/86 (55%)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7/45 (16%)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1/153 (1%)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 / 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 (7)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Exclusion; Canada from 2004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41/81 (51%)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14/44 (32%)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8/111 (7%)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 / 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 (14)</w:t>
            </w:r>
          </w:p>
        </w:tc>
      </w:tr>
    </w:tbl>
    <w:bookmarkEnd w:id="35"/>
    <w:p/>
    <w:bookmarkStart w:id="36" w:name="_5dcdb19b87d05ca6b5d15ccad55830f58746f11"/>
    <w:p>
      <w:pPr>
        <w:pStyle w:val="TableCaption"/>
      </w:pPr>
      <w:r>
        <w:t xml:space="preserve">Previously reported FAERS hearing-loss signals re-tested here (FAERS without Canadian reports). Columns: reported,</w:t>
      </w:r>
      <w:r>
        <w:t xml:space="preserve"> </w:t>
      </w:r>
      <w:r>
        <w:t xml:space="preserve">crude signal, adjusted signal, adjusted and testable in Canada, adjusted and replicated, robust (post hoc).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viously reported FAERS hearing-loss signals re-tested here (FAERS without Canadian reports). Columns: reported, crude signal, adjusted signal, adjusted and testable in Canada, adjusted and replicated, robust (post hoc)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Authors’ label 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Reported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Adjusted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Replicated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Robust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 et al. 2024 (all 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 et al. 2024 (all 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unlabelled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Liu et al. 2025 (children)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Liu et al. 2025 (children)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unlabelled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36"/>
    <w:p/>
    <w:bookmarkStart w:id="37" w:name="_a3680f2908c270ccb110f4515419033f2692535"/>
    <w:p>
      <w:pPr>
        <w:pStyle w:val="TableCaption"/>
      </w:pPr>
      <w:r>
        <w:t xml:space="preserve">Robust signals absent from all US labels, with case-level review category: A report cluster; C stimulated or</w:t>
      </w:r>
      <w:r>
        <w:t xml:space="preserve"> </w:t>
      </w:r>
      <w:r>
        <w:t xml:space="preserve">solicited reporting; D indication associated with the event; K established ototoxic class; E none of these (bold). FAERS</w:t>
      </w:r>
      <w:r>
        <w:t xml:space="preserve"> </w:t>
      </w:r>
      <w:r>
        <w:t xml:space="preserve">cases: reports without Canadian origin naming the drug as suspect with the event. Consumer and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15 drugs: share of those</w:t>
      </w:r>
      <w:r>
        <w:t xml:space="preserve"> </w:t>
      </w:r>
      <w:r>
        <w:t xml:space="preserve">cases. Hypotheses only, not evidence of causation.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obust signals absent from all US labels, with case-level review category: A report cluster; C stimulated or solicited reporting; D indication associated with the event; K established ototoxic class; E none of these (bold). FAERS cases: reports without Canadian origin naming the drug as suspect with the event. Consumer and \geq15 drugs: share of those cases. Hypotheses only, not evidence of causation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FAERS 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FAERS adj. OR (95% CI)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Canada adj. OR (95% CI)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15 drugs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Rofecoxib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2.39 (2.02–2.82)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4.42 (2.35–8.31)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Tozinameran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2.36 (1.76–3.15)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7.04 (5.70–8.69)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Elasomeran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2.36 (1.44–3.86)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3.30 (2.01–5.44)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Etanercept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 (1.10–1.21)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2.28 (1.71–3.05)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 Aspart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2.27 (2.00–2.58)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2.69 (1.11–6.50)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Tofacitinib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3.27 (3.11–3.45)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1.39 (1.05–1.84)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Pregabalin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3.25 (3.09–3.43)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2.06 (1.24–3.44)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Amlodipine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2.39 (2.21–2.57)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2.70 (1.65–4.44)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Glycopyrrolate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3.08 (2.74–3.45)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4.40 (1.82–10.67)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Travoprost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3.71 (3.13–4.40)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4.96 (1.58–15.54)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Candesartan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11.72 (10.40–13.22)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2.80 (1.68–4.68)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Propranolol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 (1.40–2.28)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 (1.03–5.17)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Tozinameran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6.53 (5.01–8.50)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10.11 (8.46–12.07)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Indapamide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2.05 (1.29–3.26)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3.44 (1.53–7.71)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Finasteride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9.73 (8.63–10.95)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3.04 (1.26–7.37)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Rofecoxib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2.53 (2.13–3.02)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2.26 (1.12–4.54)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Elasomeran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3.62 (1.94–6.74)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3.50 (2.26–5.43)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Galcanezumab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1.86 (1.52–2.28)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16.70 (6.73–41.48)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Chlorthalidone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1.94 (1.04–3.62)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4.57 (1.70–12.29)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Doxycycline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4.54 (3.88–5.31)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2.36 (1.12–4.97)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Liothyronine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4.90 (3.56–6.75)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16.73 (5.22–53.59)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Paromomycin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27.75 (8.63–89.29)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262.76 (53.09–1300.46)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</w:tr>
    </w:tbl>
    <w:bookmarkEnd w:id="37"/>
    <w:bookmarkStart w:id="41" w:name="_576b9bd78d0890981a1f156b59228419fd8f27c"/>
    <w:p>
      <w:pPr>
        <w:pStyle w:val="CaptionedFigure"/>
      </w:pPr>
      <w:r>
        <w:drawing>
          <wp:inline>
            <wp:extent cx="5334000" cy="208026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../figures/replicat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Power-calibrated replication in Canada Vigilance: observed replications divided by those expected if each FAERS</w:t>
      </w:r>
      <w:r>
        <w:t xml:space="preserve"> </w:t>
      </w:r>
      <w:r>
        <w:t xml:space="preserve">adjusted estimate were true (labels give observed/expected counts). Primary: pre-specified signals, Canada crude estimates,</w:t>
      </w:r>
      <w:r>
        <w:t xml:space="preserve"> </w:t>
      </w:r>
      <w:r>
        <w:t xml:space="preserve">all reports. Post hoc: both databases adjusted, Canada without solicited reports, four ways of handling co-medication.</w:t>
      </w:r>
      <w:r>
        <w:t xml:space="preserve"> </w:t>
      </w:r>
      <w:r>
        <w:t xml:space="preserve">A ratio near 1 means signals replicate as their FAERS strength predicts.</w:t>
      </w:r>
    </w:p>
    <w:bookmarkEnd w:id="41"/>
    <w:bookmarkStart w:id="45" w:name="_8438971255fac547e59d2aeeb15af050352f533"/>
    <w:p>
      <w:pPr>
        <w:pStyle w:val="CaptionedFigure"/>
      </w:pPr>
      <w:r>
        <w:drawing>
          <wp:inline>
            <wp:extent cx="4533900" cy="465567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../figures/candidat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65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Robust signals absent from all US labels: FAERS and Canada Vigilance adjusted estimates, with case-review category</w:t>
      </w:r>
      <w:r>
        <w:t xml:space="preserve"> </w:t>
      </w:r>
      <w:r>
        <w:t xml:space="preserve">(A report cluster; C stimulated reporting; D indication; K established class; E none, bold).</w:t>
      </w:r>
    </w:p>
    <w:bookmarkEnd w:id="45"/>
    <w:p>
      <w:pPr>
        <w:pStyle w:val="Heading1"/>
      </w:pPr>
      <w:bookmarkStart w:id="46" w:name="_discussion"/>
      <w:r>
        <w:t xml:space="preserve">Discussion</w:t>
      </w:r>
      <w:bookmarkEnd w:id="46"/>
    </w:p>
    <w:p>
      <w:pPr>
        <w:pStyle w:val="FirstParagraph"/>
      </w:pPr>
      <w:r>
        <w:t xml:space="preserve">Three findings matter for anyone screening spontaneous reports for ototoxicity. First, adjusting for indication, ototoxic</w:t>
      </w:r>
      <w:r>
        <w:t xml:space="preserve"> </w:t>
      </w:r>
      <w:r>
        <w:t xml:space="preserve">co-medication, lawyer reports and demographics changed a substantial part of the hearing-loss signal list</w:t>
      </w:r>
      <w:r>
        <w:t xml:space="preserve"> </w:t>
      </w:r>
      <w:r>
        <w:t xml:space="preserve">(63 of 300 crude signals lost, 73 gained) but did not</w:t>
      </w:r>
      <w:r>
        <w:t xml:space="preserve"> </w:t>
      </w:r>
      <w:r>
        <w:t xml:space="preserve">improve agreement with labels. Second, replication in an independent national database behaved as a validation test should</w:t>
      </w:r>
      <w:r>
        <w:t xml:space="preserve"> </w:t>
      </w:r>
      <w:r>
        <w:t xml:space="preserve">for labelled hearing-loss associations—they replicated about as often as their strength predicted—whereas unlabelled</w:t>
      </w:r>
      <w:r>
        <w:t xml:space="preserve"> </w:t>
      </w:r>
      <w:r>
        <w:t xml:space="preserve">signals replicated less than half as often, a contrast that held within strata of consumer reporting and whose pooled</w:t>
      </w:r>
      <w:r>
        <w:t xml:space="preserve"> </w:t>
      </w:r>
      <w:r>
        <w:t xml:space="preserve">Canadian estimate (attenuated, not absent) was close to that of signals for drugs whose labels are silent on hearing. Third,</w:t>
      </w:r>
      <w:r>
        <w:t xml:space="preserve"> </w:t>
      </w:r>
      <w:r>
        <w:t xml:space="preserve">replication is not a clean validator on its own: solicited patient-support-programme reports and report clusters produced</w:t>
      </w:r>
      <w:r>
        <w:t xml:space="preserve"> </w:t>
      </w:r>
      <w:r>
        <w:t xml:space="preserve">“replications”</w:t>
      </w:r>
      <w:r>
        <w:t xml:space="preserve"> </w:t>
      </w:r>
      <w:r>
        <w:t xml:space="preserve">for drugs with no known association, and co-medication bias can replicate when crude estimates are compared.</w:t>
      </w:r>
      <w:r>
        <w:t xml:space="preserve"> </w:t>
      </w:r>
      <w:r>
        <w:t xml:space="preserve">For regulators and signal-management teams, the practical consequence is that replication in a second database does not</w:t>
      </w:r>
      <w:r>
        <w:t xml:space="preserve"> </w:t>
      </w:r>
      <w:r>
        <w:t xml:space="preserve">strengthen a signal unless reporting artefacts are explicitly addressed.</w:t>
      </w:r>
      <w:r>
        <w:t xml:space="preserve"> </w:t>
      </w:r>
      <w:r>
        <w:t xml:space="preserve">After adjusted replication, a review of report provenance and an active-comparator check, 7 of 22 robust unlabelled</w:t>
      </w:r>
      <w:r>
        <w:t xml:space="preserve"> </w:t>
      </w:r>
      <w:r>
        <w:t xml:space="preserve">signals remained (2 to 9 under alternative post-hoc choices and assessors). For tinnitus the same pattern held,</w:t>
      </w:r>
      <w:r>
        <w:t xml:space="preserve"> </w:t>
      </w:r>
      <w:r>
        <w:t xml:space="preserve">but labelled signals also replicated less fully once both databases were adjusted, so the evidence there is weaker.</w:t>
      </w:r>
    </w:p>
    <w:p>
      <w:pPr>
        <w:pStyle w:val="BodyText"/>
      </w:pPr>
      <w:r>
        <w:t xml:space="preserve">These results qualify the previous all-drug screens</w:t>
      </w:r>
      <w:r>
        <w:t xml:space="preserve"> </w:t>
      </w:r>
      <w:r>
        <w:t xml:space="preserve">[2–4]</w:t>
      </w:r>
      <w:r>
        <w:t xml:space="preserve"> </w:t>
      </w:r>
      <w:r>
        <w:t xml:space="preserve">rather than contradict them. Their</w:t>
      </w:r>
      <w:r>
        <w:t xml:space="preserve"> </w:t>
      </w:r>
      <w:r>
        <w:t xml:space="preserve">labelled signals largely held; their unlabelled signals mostly did not, and several of the strongest are consistent with how</w:t>
      </w:r>
      <w:r>
        <w:t xml:space="preserve"> </w:t>
      </w:r>
      <w:r>
        <w:t xml:space="preserve">reports were collected rather than with pharmacology. Tafamidis and sacubitril/valsartan are examples: hundreds to thousands</w:t>
      </w:r>
      <w:r>
        <w:t xml:space="preserve"> </w:t>
      </w:r>
      <w:r>
        <w:t xml:space="preserve">of FAERS hearing-loss reports, mostly from US consumers and consistent with manufacturer programmes, and none in Canada. The same mechanism</w:t>
      </w:r>
      <w:r>
        <w:t xml:space="preserve"> </w:t>
      </w:r>
      <w:r>
        <w:t xml:space="preserve">produced spurious Canadian</w:t>
      </w:r>
      <w:r>
        <w:t xml:space="preserve"> </w:t>
      </w:r>
      <w:r>
        <w:t xml:space="preserve">“replications”</w:t>
      </w:r>
      <w:r>
        <w:t xml:space="preserve"> </w:t>
      </w:r>
      <w:r>
        <w:t xml:space="preserve">for biologics. Solicited reports are known to distort disproportionality</w:t>
      </w:r>
      <w:r>
        <w:t xml:space="preserve"> </w:t>
      </w:r>
      <w:r>
        <w:t xml:space="preserve">[20]</w:t>
      </w:r>
      <w:r>
        <w:t xml:space="preserve">, and their share differs between databases, so report provenance can manufacture both a signal and its</w:t>
      </w:r>
      <w:r>
        <w:t xml:space="preserve"> </w:t>
      </w:r>
      <w:r>
        <w:t xml:space="preserve">replication.</w:t>
      </w:r>
    </w:p>
    <w:p>
      <w:pPr>
        <w:pStyle w:val="BodyText"/>
      </w:pPr>
      <w:r>
        <w:t xml:space="preserve">In this study three steps did most of the work: comparing</w:t>
      </w:r>
      <w:r>
        <w:t xml:space="preserve"> </w:t>
      </w:r>
      <w:r>
        <w:rPr>
          <w:i/>
          <w:iCs/>
        </w:rPr>
        <w:t xml:space="preserve">adjusted</w:t>
      </w:r>
      <w:r>
        <w:t xml:space="preserve"> </w:t>
      </w:r>
      <w:r>
        <w:t xml:space="preserve">estimates in both databases;</w:t>
      </w:r>
      <w:r>
        <w:t xml:space="preserve"> </w:t>
      </w:r>
      <w:r>
        <w:t xml:space="preserve">profiling each case series for concentration—solicited or consumer reports, a single country or year, very drug-dense</w:t>
      </w:r>
      <w:r>
        <w:t xml:space="preserve"> </w:t>
      </w:r>
      <w:r>
        <w:t xml:space="preserve">reports; and comparing the drug with others used for the same indication. The power-calibrated comparison is simple and avoids</w:t>
      </w:r>
      <w:r>
        <w:t xml:space="preserve"> </w:t>
      </w:r>
      <w:r>
        <w:t xml:space="preserve">the outcome-dependent testability of rules based on observed counts; it remains sensitive to overdispersion, and empirical</w:t>
      </w:r>
      <w:r>
        <w:t xml:space="preserve"> </w:t>
      </w:r>
      <w:r>
        <w:t xml:space="preserve">calibration against negative controls</w:t>
      </w:r>
      <w:r>
        <w:t xml:space="preserve"> </w:t>
      </w:r>
      <w:r>
        <w:t xml:space="preserve">[21]</w:t>
      </w:r>
      <w:r>
        <w:t xml:space="preserve"> </w:t>
      </w:r>
      <w:r>
        <w:t xml:space="preserve">or regression-based adjustment for co-reported drugs</w:t>
      </w:r>
      <w:r>
        <w:t xml:space="preserve"> </w:t>
      </w:r>
      <w:r>
        <w:t xml:space="preserve">[22]</w:t>
      </w:r>
      <w:r>
        <w:t xml:space="preserve"> </w:t>
      </w:r>
      <w:r>
        <w:t xml:space="preserve">would be natural extensions. We suggest that screens for hearing outcomes report these provenance</w:t>
      </w:r>
      <w:r>
        <w:t xml:space="preserve"> </w:t>
      </w:r>
      <w:r>
        <w:t xml:space="preserve">indicators for every signal, in line with the case-by-case item of READUS-PV</w:t>
      </w:r>
      <w:r>
        <w:t xml:space="preserve"> </w:t>
      </w:r>
      <w:r>
        <w:t xml:space="preserve">[12,13]</w:t>
      </w:r>
      <w:r>
        <w:t xml:space="preserve">.</w:t>
      </w:r>
    </w:p>
    <w:p>
      <w:pPr>
        <w:pStyle w:val="BodyText"/>
      </w:pPr>
      <w:r>
        <w:t xml:space="preserve">The remaining candidates are hypotheses. Pregabalin, an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δ</m:t>
        </m:r>
      </m:oMath>
      <w:r>
        <w:t xml:space="preserve"> </w:t>
      </w:r>
      <w:r>
        <w:t xml:space="preserve">ligand, had 1</w:t>
      </w:r>
      <w:r>
        <w:t xml:space="preserve">,</w:t>
      </w:r>
      <w:r>
        <w:t xml:space="preserve">703</w:t>
      </w:r>
      <w:r>
        <w:t xml:space="preserve"> </w:t>
      </w:r>
      <w:r>
        <w:t xml:space="preserve">FAERS hearing-loss reports (adjusted OR</w:t>
      </w:r>
      <w:r>
        <w:t xml:space="preserve"> </w:t>
      </w:r>
      <w:r>
        <w:t xml:space="preserve">3.25 (3.09–3.43))</w:t>
      </w:r>
      <w:r>
        <w:t xml:space="preserve"> </w:t>
      </w:r>
      <w:r>
        <w:t xml:space="preserve">that replicated in Canada and persisted against other drugs for pain and neuropathy; a case of reversible, dose-related hearing</w:t>
      </w:r>
      <w:r>
        <w:t xml:space="preserve"> </w:t>
      </w:r>
      <w:r>
        <w:t xml:space="preserve">loss has been described</w:t>
      </w:r>
      <w:r>
        <w:t xml:space="preserve"> </w:t>
      </w:r>
      <w:r>
        <w:t xml:space="preserve">[23]</w:t>
      </w:r>
      <w:r>
        <w:t xml:space="preserve">, but age and diabetes confound</w:t>
      </w:r>
      <w:r>
        <w:t xml:space="preserve"> </w:t>
      </w:r>
      <w:r>
        <w:t xml:space="preserve">[24]</w:t>
      </w:r>
      <w:r>
        <w:t xml:space="preserve">, and its labels list</w:t>
      </w:r>
      <w:r>
        <w:t xml:space="preserve"> </w:t>
      </w:r>
      <w:r>
        <w:t xml:space="preserve">tinnitus and hyperacusis. For amlodipine, hypertension is associated with hearing loss</w:t>
      </w:r>
      <w:r>
        <w:t xml:space="preserve"> </w:t>
      </w:r>
      <w:r>
        <w:t xml:space="preserve">[25]</w:t>
      </w:r>
      <w:r>
        <w:t xml:space="preserve">, yet the signal</w:t>
      </w:r>
      <w:r>
        <w:t xml:space="preserve"> </w:t>
      </w:r>
      <w:r>
        <w:t xml:space="preserve">persisted against other antihypertensives, while a large cohort found a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risk of sensorineural hearing loss with</w:t>
      </w:r>
      <w:r>
        <w:t xml:space="preserve"> </w:t>
      </w:r>
      <w:r>
        <w:t xml:space="preserve">calcium-channel blockers</w:t>
      </w:r>
      <w:r>
        <w:t xml:space="preserve"> </w:t>
      </w:r>
      <w:r>
        <w:t xml:space="preserve">[26]</w:t>
      </w:r>
      <w:r>
        <w:t xml:space="preserve">, which argues against a causal effect. Tofacitinib, travoprost and glycopyrrolate</w:t>
      </w:r>
      <w:r>
        <w:t xml:space="preserve"> </w:t>
      </w:r>
      <w:r>
        <w:t xml:space="preserve">persisted within rheumatoid arthritis, glaucoma and COPD, diseases themselves linked to hearing loss</w:t>
      </w:r>
      <w:r>
        <w:t xml:space="preserve"> </w:t>
      </w:r>
      <w:r>
        <w:t xml:space="preserve">[27–29]</w:t>
      </w:r>
      <w:r>
        <w:t xml:space="preserve">, so residual confounding by disease severity remains possible. Doxycycline</w:t>
      </w:r>
      <w:r>
        <w:t xml:space="preserve"> </w:t>
      </w:r>
      <w:r>
        <w:t xml:space="preserve">can cause intracranial hypertension, of which pulsatile tinnitus is a symptom</w:t>
      </w:r>
      <w:r>
        <w:t xml:space="preserve"> </w:t>
      </w:r>
      <w:r>
        <w:t xml:space="preserve">[30]</w:t>
      </w:r>
      <w:r>
        <w:t xml:space="preserve">, although few cases reported</w:t>
      </w:r>
      <w:r>
        <w:t xml:space="preserve"> </w:t>
      </w:r>
      <w:r>
        <w:t xml:space="preserve">it. None of these should change practice without studies that have exposure data.</w:t>
      </w:r>
    </w:p>
    <w:p>
      <w:pPr>
        <w:pStyle w:val="Heading4"/>
      </w:pPr>
      <w:bookmarkStart w:id="47" w:name="_72424125f1c747d5dc92a896a97d43a10aedd6b"/>
      <w:r>
        <w:t xml:space="preserve">Limitations.</w:t>
      </w:r>
      <w:bookmarkEnd w:id="47"/>
    </w:p>
    <w:p>
      <w:pPr>
        <w:pStyle w:val="FirstParagraph"/>
      </w:pPr>
      <w:r>
        <w:t xml:space="preserve">Spontaneous reports lack exposure denominators, and disproportionality measures reporting, not risk</w:t>
      </w:r>
      <w:r>
        <w:t xml:space="preserve"> </w:t>
      </w:r>
      <w:r>
        <w:t xml:space="preserve">or incidence. The label reference set is imperfect: labels are partly informed by spontaneous reports, list rare events</w:t>
      </w:r>
      <w:r>
        <w:t xml:space="preserve"> </w:t>
      </w:r>
      <w:r>
        <w:t xml:space="preserve">without causal assessment, and route-specific labels (for example topical gentamicin) blur ingredient-level status; we used it</w:t>
      </w:r>
      <w:r>
        <w:t xml:space="preserve"> </w:t>
      </w:r>
      <w:r>
        <w:t xml:space="preserve">only to compare methods. Excluding reports with an ototoxic co-medication conditions on a variable that reporters may add</w:t>
      </w:r>
      <w:r>
        <w:t xml:space="preserve"> </w:t>
      </w:r>
      <w:r>
        <w:t xml:space="preserve">after observing the event, which pushed some label-positive drugs below 1; stratifying instead removed that artefact but left</w:t>
      </w:r>
      <w:r>
        <w:t xml:space="preserve"> </w:t>
      </w:r>
      <w:r>
        <w:t xml:space="preserve">residual co-medication bias, and both gave the same replication contrast. Indications are often missing; unreported</w:t>
      </w:r>
      <w:r>
        <w:t xml:space="preserve"> </w:t>
      </w:r>
      <w:r>
        <w:t xml:space="preserve">co-treatment (for example aminoglycosides in mycobacterial disease) remains; content deduplication was not applied to Canada</w:t>
      </w:r>
      <w:r>
        <w:t xml:space="preserve"> </w:t>
      </w:r>
      <w:r>
        <w:t xml:space="preserve">Vigilance and cannot catch near-duplicate series, which the report-cluster indicator only partly addresses; and combination</w:t>
      </w:r>
      <w:r>
        <w:t xml:space="preserve"> </w:t>
      </w:r>
      <w:r>
        <w:t xml:space="preserve">products contribute to each ingredient (valsartan inherits sacubitril/valsartan reports). Canadian reports were removed from</w:t>
      </w:r>
      <w:r>
        <w:t xml:space="preserve"> </w:t>
      </w:r>
      <w:r>
        <w:t xml:space="preserve">FAERS by occurrence country, or reporter country when missing. The Canada Vigilance documentation does not state that the</w:t>
      </w:r>
      <w:r>
        <w:t xml:space="preserve"> </w:t>
      </w:r>
      <w:r>
        <w:t xml:space="preserve">extract is domestic; restricting it to reports sent directly to Health Canada gave similar results</w:t>
      </w:r>
      <w:r>
        <w:t xml:space="preserve"> </w:t>
      </w:r>
      <w:r>
        <w:t xml:space="preserve">(39/72 (54%) of adjusted signals replicated, background</w:t>
      </w:r>
      <w:r>
        <w:t xml:space="preserve"> </w:t>
      </w:r>
      <w:r>
        <w:t xml:space="preserve">12/58 (21%)). About 8</w:t>
      </w:r>
      <w:r>
        <w:t xml:space="preserve">,</w:t>
      </w:r>
      <w:r>
        <w:t xml:space="preserve">100 ingredients were screened without</w:t>
      </w:r>
      <w:r>
        <w:t xml:space="preserve"> </w:t>
      </w:r>
      <w:r>
        <w:t xml:space="preserve">multiplicity correction; the replication and calibration analyses, rather than individual</w:t>
      </w:r>
      <w:r>
        <w:t xml:space="preserve"> </w:t>
      </w:r>
      <m:oMath>
        <m:r>
          <m:t>p</m:t>
        </m:r>
      </m:oMath>
      <w:r>
        <w:t xml:space="preserve">-values, carry the conclusions,</w:t>
      </w:r>
      <w:r>
        <w:t xml:space="preserve"> </w:t>
      </w:r>
      <w:r>
        <w:t xml:space="preserve">and the calibration’s expected counts depend on Poisson assumptions that the background shows to be optimistic. Corrections</w:t>
      </w:r>
      <w:r>
        <w:t xml:space="preserve"> </w:t>
      </w:r>
      <w:r>
        <w:t xml:space="preserve">made after the first results (ingredient synonyms, comparator handling for listed drugs, label sections) changed the primary</w:t>
      </w:r>
      <w:r>
        <w:t xml:space="preserve"> </w:t>
      </w:r>
      <w:r>
        <w:t xml:space="preserve">numbers slightly; they are listed in the protocol file. The solicited-report exclusion, the extended indication filter,</w:t>
      </w:r>
      <w:r>
        <w:t xml:space="preserve"> </w:t>
      </w:r>
      <w:r>
        <w:t xml:space="preserve">adjusted-to-adjusted and calibrated replication, the co-medication variants, the active-comparator check and the case-level</w:t>
      </w:r>
      <w:r>
        <w:t xml:space="preserve"> </w:t>
      </w:r>
      <w:r>
        <w:t xml:space="preserve">review were added after the primary results were seen, partly in response to internal review, and are labelled post hoc. The</w:t>
      </w:r>
      <w:r>
        <w:t xml:space="preserve"> </w:t>
      </w:r>
      <w:r>
        <w:t xml:space="preserve">case-level review was applied by the author and by an AI assessor that used the same profiles and search tools, not by</w:t>
      </w:r>
      <w:r>
        <w:t xml:space="preserve"> </w:t>
      </w:r>
      <w:r>
        <w:t xml:space="preserve">independent clinicians; the two assessments are therefore not fully independent, and the agreement statistic should be read</w:t>
      </w:r>
      <w:r>
        <w:t xml:space="preserve"> </w:t>
      </w:r>
      <w:r>
        <w:t xml:space="preserve">in that light. Within-indication comparisons can be affected by channelling (for example tofacitinib as a second-line drug).</w:t>
      </w:r>
      <w:r>
        <w:t xml:space="preserve"> </w:t>
      </w:r>
      <w:r>
        <w:t xml:space="preserve">FAERS report-source codes that would identify solicited reports directly were not used.</w:t>
      </w:r>
    </w:p>
    <w:p>
      <w:pPr>
        <w:pStyle w:val="Heading4"/>
      </w:pPr>
      <w:bookmarkStart w:id="48" w:name="_2fee5c028dc7c352c541238a75e372b3a85d4c6"/>
      <w:r>
        <w:t xml:space="preserve">Conclusions.</w:t>
      </w:r>
      <w:bookmarkEnd w:id="48"/>
    </w:p>
    <w:p>
      <w:pPr>
        <w:pStyle w:val="FirstParagraph"/>
      </w:pPr>
      <w:r>
        <w:t xml:space="preserve">In FAERS, most drug–hearing-loss signals that are not already on a label do not survive adjusted</w:t>
      </w:r>
      <w:r>
        <w:t xml:space="preserve"> </w:t>
      </w:r>
      <w:r>
        <w:t xml:space="preserve">replication in Canada Vigilance and a review of report provenance; disproportionality analysis remains a</w:t>
      </w:r>
      <w:r>
        <w:t xml:space="preserve"> </w:t>
      </w:r>
      <w:r>
        <w:t xml:space="preserve">hypothesis-generating tool. Replication in a second spontaneous-reporting database is informative only when both estimates are</w:t>
      </w:r>
      <w:r>
        <w:t xml:space="preserve"> </w:t>
      </w:r>
      <w:r>
        <w:t xml:space="preserve">adjusted and solicited reports and report clusters are handled explicitly. The few remaining candidates, with pregabalin the</w:t>
      </w:r>
      <w:r>
        <w:t xml:space="preserve"> </w:t>
      </w:r>
      <w:r>
        <w:t xml:space="preserve">strongest, are hypotheses that merit study with exposure-based designs, not established adverse effects.</w:t>
      </w:r>
    </w:p>
    <w:p>
      <w:pPr>
        <w:pStyle w:val="Heading1"/>
      </w:pPr>
      <w:bookmarkStart w:id="49" w:name="_ad61382512a69fb2431cb9ccd9664860b940cd1"/>
      <w:r>
        <w:t xml:space="preserve">Statements and declarations</w:t>
      </w:r>
      <w:bookmarkEnd w:id="49"/>
    </w:p>
    <w:p>
      <w:pPr>
        <w:pStyle w:val="FirstParagraph"/>
      </w:pPr>
      <w:r>
        <w:rPr>
          <w:b/>
          <w:bCs/>
        </w:rPr>
        <w:t xml:space="preserve">Funding:</w:t>
      </w:r>
      <w:r>
        <w:t xml:space="preserve"> </w:t>
      </w:r>
      <w:r>
        <w:t xml:space="preserve">no funding was received for this study.</w:t>
      </w:r>
      <w:r>
        <w:t xml:space="preserve"> </w:t>
      </w:r>
      <w:r>
        <w:rPr>
          <w:b/>
          <w:bCs/>
        </w:rPr>
        <w:t xml:space="preserve">Competing interests:</w:t>
      </w:r>
      <w:r>
        <w:t xml:space="preserve"> </w:t>
      </w:r>
      <w:r>
        <w:t xml:space="preserve">until October 2026 the author was employed as a software engineer at Suno, a company that develops practice-management software for hearing clinics; the company had no role in the design, analysis or reporting of this study, and the author has no financial relationship with manufacturers of the drugs studied.</w:t>
      </w:r>
      <w:r>
        <w:t xml:space="preserve"> </w:t>
      </w:r>
      <w:r>
        <w:rPr>
          <w:b/>
          <w:bCs/>
        </w:rPr>
        <w:t xml:space="preserve">Ethics approval:</w:t>
      </w:r>
      <w:r>
        <w:t xml:space="preserve"> </w:t>
      </w:r>
      <w:r>
        <w:t xml:space="preserve">not applicable; the study used public, de-identified data.</w:t>
      </w:r>
      <w:r>
        <w:t xml:space="preserve"> </w:t>
      </w:r>
      <w:r>
        <w:rPr>
          <w:b/>
          <w:bCs/>
        </w:rPr>
        <w:t xml:space="preserve">Consent to participate and for publication:</w:t>
      </w:r>
      <w:r>
        <w:t xml:space="preserve"> </w:t>
      </w:r>
      <w:r>
        <w:t xml:space="preserve">not applicable.</w:t>
      </w:r>
      <w:r>
        <w:t xml:space="preserve"> </w:t>
      </w:r>
      <w:r>
        <w:rPr>
          <w:b/>
          <w:bCs/>
        </w:rPr>
        <w:t xml:space="preserve">Data availability:</w:t>
      </w:r>
      <w:r>
        <w:t xml:space="preserve"> </w:t>
      </w:r>
      <w:r>
        <w:t xml:space="preserve">FAERS and Canada Vigilance data are publicly available from the FDA and Health Canada; result</w:t>
      </w:r>
      <w:r>
        <w:t xml:space="preserve"> </w:t>
      </w:r>
      <w:r>
        <w:t xml:space="preserve">tables are in the repository below.</w:t>
      </w:r>
      <w:r>
        <w:t xml:space="preserve"> </w:t>
      </w:r>
      <w:r>
        <w:rPr>
          <w:b/>
          <w:bCs/>
        </w:rPr>
        <w:t xml:space="preserve">Code availability:</w:t>
      </w:r>
      <w:r>
        <w:t xml:space="preserve"> </w:t>
      </w:r>
      <w:r>
        <w:t xml:space="preserve">code, protocol (</w:t>
      </w:r>
      <w:r>
        <w:rPr>
          <w:rStyle w:val="VerbatimChar"/>
        </w:rPr>
        <w:t xml:space="preserve">PROTOCOL.md</w:t>
      </w:r>
      <w:r>
        <w:t xml:space="preserve">, with commit history) and results: https://github.com/olegtropinin/faers-ototoxicity, archived at Zenodo,</w:t>
      </w:r>
      <w:r>
        <w:t xml:space="preserve"> </w:t>
      </w:r>
      <w:hyperlink r:id="rId50">
        <w:r>
          <w:rPr>
            <w:rStyle w:val="Hyperlink"/>
          </w:rPr>
          <w:t xml:space="preserve">doi:10.5281/zenodo.23659658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Author contributions:</w:t>
      </w:r>
      <w:r>
        <w:t xml:space="preserve"> </w:t>
      </w:r>
      <w:r>
        <w:t xml:space="preserve">OT conceived and designed the study, directed and checked the analysis, and wrote and approved</w:t>
      </w:r>
      <w:r>
        <w:t xml:space="preserve"> </w:t>
      </w:r>
      <w:r>
        <w:t xml:space="preserve">the manuscript.</w:t>
      </w:r>
    </w:p>
    <w:bookmarkStart w:id="111" w:name="_refs"/>
    <w:bookmarkStart w:id="52" w:name="_84053f0725d171dd2bc6aa3b5185bf9f8bf2c68"/>
    <w:p>
      <w:pPr>
        <w:pStyle w:val="Bibliography"/>
      </w:pPr>
      <w:r>
        <w:t xml:space="preserve">1. Lanvers-Kaminsky C, Zehnhoff-Dinnesen AG am, Parfitt R, Ciarimboli G. Drug-induced ototoxicity: Mechanisms, pharmacogenetics, and protective strategies. Clinical Pharmacology &amp; Therapeutics. 2017;101:491–500.</w:t>
      </w:r>
      <w:r>
        <w:t xml:space="preserve"> </w:t>
      </w:r>
      <w:hyperlink r:id="rId51">
        <w:r>
          <w:rPr>
            <w:rStyle w:val="Hyperlink"/>
          </w:rPr>
          <w:t xml:space="preserve">https://doi.org/10.1002/cpt.603</w:t>
        </w:r>
      </w:hyperlink>
    </w:p>
    <w:bookmarkEnd w:id="52"/>
    <w:bookmarkStart w:id="54" w:name="_f2412834f251eb0b10932731b4312628329fafd"/>
    <w:p>
      <w:pPr>
        <w:pStyle w:val="Bibliography"/>
      </w:pPr>
      <w:r>
        <w:t xml:space="preserve">2. Li B, Hu X, Yue Z. Drug-induced hearing disorders: A disproportionality analysis of the</w:t>
      </w:r>
      <w:r>
        <w:t xml:space="preserve"> </w:t>
      </w:r>
      <w:r>
        <w:t xml:space="preserve">FAERS</w:t>
      </w:r>
      <w:r>
        <w:t xml:space="preserve"> </w:t>
      </w:r>
      <w:r>
        <w:t xml:space="preserve">database. Frontiers in Pharmacology. 2024;15:1480994.</w:t>
      </w:r>
      <w:r>
        <w:t xml:space="preserve"> </w:t>
      </w:r>
      <w:hyperlink r:id="rId53">
        <w:r>
          <w:rPr>
            <w:rStyle w:val="Hyperlink"/>
          </w:rPr>
          <w:t xml:space="preserve">https://doi.org/10.3389/fphar.2024.1480994</w:t>
        </w:r>
      </w:hyperlink>
    </w:p>
    <w:bookmarkEnd w:id="54"/>
    <w:bookmarkStart w:id="56" w:name="_3eb866cd3c340b8a7cc3047c7dc913646a996ac"/>
    <w:p>
      <w:pPr>
        <w:pStyle w:val="Bibliography"/>
      </w:pPr>
      <w:r>
        <w:t xml:space="preserve">3. Wu T, Zhao Z, Wang P, Du Q, Shi Y, Zhu B, et al. Drug-induced hearing loss: A real-world pharmacovigilance study using the</w:t>
      </w:r>
      <w:r>
        <w:t xml:space="preserve"> </w:t>
      </w:r>
      <w:r>
        <w:t xml:space="preserve">FDA</w:t>
      </w:r>
      <w:r>
        <w:t xml:space="preserve"> </w:t>
      </w:r>
      <w:r>
        <w:t xml:space="preserve">adverse event reporting system database. Hearing Research. 2025;461:109262.</w:t>
      </w:r>
      <w:r>
        <w:t xml:space="preserve"> </w:t>
      </w:r>
      <w:hyperlink r:id="rId55">
        <w:r>
          <w:rPr>
            <w:rStyle w:val="Hyperlink"/>
          </w:rPr>
          <w:t xml:space="preserve">https://doi.org/10.1016/j.heares.2025.109262</w:t>
        </w:r>
      </w:hyperlink>
    </w:p>
    <w:bookmarkEnd w:id="56"/>
    <w:bookmarkStart w:id="58" w:name="_e2e05a58396f1267f3a8bb361b05839586b2d9d"/>
    <w:p>
      <w:pPr>
        <w:pStyle w:val="Bibliography"/>
      </w:pPr>
      <w:r>
        <w:t xml:space="preserve">4. Liu J, Tan J, Xiao Q, Bai Y, Chang E, Su C, et al. Drug-associated hearing impairment in children: A disproportionality analysis of the</w:t>
      </w:r>
      <w:r>
        <w:t xml:space="preserve"> </w:t>
      </w:r>
      <w:r>
        <w:t xml:space="preserve">FDA</w:t>
      </w:r>
      <w:r>
        <w:t xml:space="preserve"> </w:t>
      </w:r>
      <w:r>
        <w:t xml:space="preserve">adverse event reporting system. Frontiers in Pharmacology. 2025;16:1532461.</w:t>
      </w:r>
      <w:r>
        <w:t xml:space="preserve"> </w:t>
      </w:r>
      <w:hyperlink r:id="rId57">
        <w:r>
          <w:rPr>
            <w:rStyle w:val="Hyperlink"/>
          </w:rPr>
          <w:t xml:space="preserve">https://doi.org/10.3389/fphar.2025.1532461</w:t>
        </w:r>
      </w:hyperlink>
    </w:p>
    <w:bookmarkEnd w:id="58"/>
    <w:bookmarkStart w:id="60" w:name="_88f7dc7fc14cc2a7b84eb40d084bccb766b7bc4"/>
    <w:p>
      <w:pPr>
        <w:pStyle w:val="Bibliography"/>
      </w:pPr>
      <w:r>
        <w:t xml:space="preserve">5. Narasimhaswamy N, Ganesan S, Poojar B. Disproportionality analysis of drug-associated tinnitus safety signals: A 43-year pharmacovigilance study. Naunyn-Schmiedeberg’s Archives of Pharmacology. 2026;399:19173–86.</w:t>
      </w:r>
      <w:r>
        <w:t xml:space="preserve"> </w:t>
      </w:r>
      <w:hyperlink r:id="rId59">
        <w:r>
          <w:rPr>
            <w:rStyle w:val="Hyperlink"/>
          </w:rPr>
          <w:t xml:space="preserve">https://doi.org/10.1007/s00210-026-05556-7</w:t>
        </w:r>
      </w:hyperlink>
    </w:p>
    <w:bookmarkEnd w:id="60"/>
    <w:bookmarkStart w:id="62" w:name="_8ec3fe18376330511ec4a1748c7d82a65e4d7cd"/>
    <w:p>
      <w:pPr>
        <w:pStyle w:val="Bibliography"/>
      </w:pPr>
      <w:r>
        <w:t xml:space="preserve">6. Wang L, Tang Y, Zhuge P. Analysis of drug-related tinnitus based on the</w:t>
      </w:r>
      <w:r>
        <w:t xml:space="preserve"> </w:t>
      </w:r>
      <w:r>
        <w:t xml:space="preserve">FDA</w:t>
      </w:r>
      <w:r>
        <w:t xml:space="preserve"> </w:t>
      </w:r>
      <w:r>
        <w:t xml:space="preserve">adverse event reporting system database. British Journal of Hospital Medicine. 2024;85:1–12.</w:t>
      </w:r>
      <w:r>
        <w:t xml:space="preserve"> </w:t>
      </w:r>
      <w:hyperlink r:id="rId61">
        <w:r>
          <w:rPr>
            <w:rStyle w:val="Hyperlink"/>
          </w:rPr>
          <w:t xml:space="preserve">https://doi.org/10.12968/hmed.2024.0380</w:t>
        </w:r>
      </w:hyperlink>
    </w:p>
    <w:bookmarkEnd w:id="62"/>
    <w:bookmarkStart w:id="64" w:name="_0a60b1061f8d153449c03a179ab59c7d23acda7"/>
    <w:p>
      <w:pPr>
        <w:pStyle w:val="Bibliography"/>
      </w:pPr>
      <w:r>
        <w:t xml:space="preserve">7. Tanaka M, Hasegawa S, Nakao S, Shimada K, Mukai R, Matsumoto K, et al. Analysis of drug-induced hearing loss by using a spontaneous reporting system database. PLoS ONE. 2019;14:e0217951.</w:t>
      </w:r>
      <w:r>
        <w:t xml:space="preserve"> </w:t>
      </w:r>
      <w:hyperlink r:id="rId63">
        <w:r>
          <w:rPr>
            <w:rStyle w:val="Hyperlink"/>
          </w:rPr>
          <w:t xml:space="preserve">https://doi.org/10.1371/journal.pone.0217951</w:t>
        </w:r>
      </w:hyperlink>
    </w:p>
    <w:bookmarkEnd w:id="64"/>
    <w:bookmarkStart w:id="66" w:name="_69fa3dc26f2fdd40a036509209653835fb61d11"/>
    <w:p>
      <w:pPr>
        <w:pStyle w:val="Bibliography"/>
      </w:pPr>
      <w:r>
        <w:t xml:space="preserve">8. Favrelière S, Delaunay P, Lebreton JP, Rouby F, Atzenhoffer M, Lafay-Chebassier C, et al. Drug-induced hearing loss: A case/non-case study in the</w:t>
      </w:r>
      <w:r>
        <w:t xml:space="preserve"> </w:t>
      </w:r>
      <w:r>
        <w:t xml:space="preserve">French</w:t>
      </w:r>
      <w:r>
        <w:t xml:space="preserve"> </w:t>
      </w:r>
      <w:r>
        <w:t xml:space="preserve">pharmacovigilance database. Fundamental &amp; Clinical Pharmacology. 2020;34:397–407.</w:t>
      </w:r>
      <w:r>
        <w:t xml:space="preserve"> </w:t>
      </w:r>
      <w:hyperlink r:id="rId65">
        <w:r>
          <w:rPr>
            <w:rStyle w:val="Hyperlink"/>
          </w:rPr>
          <w:t xml:space="preserve">https://doi.org/10.1111/fcp.12533</w:t>
        </w:r>
      </w:hyperlink>
    </w:p>
    <w:bookmarkEnd w:id="66"/>
    <w:bookmarkStart w:id="68" w:name="_664899e492519927cc0d763fbc72de5b92fe8d8"/>
    <w:p>
      <w:pPr>
        <w:pStyle w:val="Bibliography"/>
      </w:pPr>
      <w:r>
        <w:t xml:space="preserve">9. Pariente A, Gregoire F, Fourrier-Reglat A, Haramburu F, Moore N. Impact of safety alerts on measures of disproportionality in spontaneous reporting databases: The notoriety bias. Drug Safety. 2007;30:891–8.</w:t>
      </w:r>
      <w:r>
        <w:t xml:space="preserve"> </w:t>
      </w:r>
      <w:hyperlink r:id="rId67">
        <w:r>
          <w:rPr>
            <w:rStyle w:val="Hyperlink"/>
          </w:rPr>
          <w:t xml:space="preserve">https://doi.org/10.2165/00002018-200730100-00007</w:t>
        </w:r>
      </w:hyperlink>
    </w:p>
    <w:bookmarkEnd w:id="68"/>
    <w:bookmarkStart w:id="70" w:name="_8d81a666dfc299bd8bc423508f420ac56bdaf57"/>
    <w:p>
      <w:pPr>
        <w:pStyle w:val="Bibliography"/>
      </w:pPr>
      <w:r>
        <w:t xml:space="preserve">10. Ramessur R, Gelfand JM. Facing our</w:t>
      </w:r>
      <w:r>
        <w:t xml:space="preserve"> </w:t>
      </w:r>
      <w:r>
        <w:t xml:space="preserve">FAERS</w:t>
      </w:r>
      <w:r>
        <w:t xml:space="preserve">: Disproportionality analyses, signal detection, and interpretation. Journal of Investigative Dermatology. 2025;145:2115–7.</w:t>
      </w:r>
      <w:r>
        <w:t xml:space="preserve"> </w:t>
      </w:r>
      <w:hyperlink r:id="rId69">
        <w:r>
          <w:rPr>
            <w:rStyle w:val="Hyperlink"/>
          </w:rPr>
          <w:t xml:space="preserve">https://doi.org/10.1016/j.jid.2025.06.1579</w:t>
        </w:r>
      </w:hyperlink>
    </w:p>
    <w:bookmarkEnd w:id="70"/>
    <w:bookmarkStart w:id="72" w:name="_e7aa4f7e3356611d3b2d5bfbd0b5df916e0cc07"/>
    <w:p>
      <w:pPr>
        <w:pStyle w:val="Bibliography"/>
      </w:pPr>
      <w:r>
        <w:t xml:space="preserve">11. Harpaz R, DuMouchel W, LePendu P, Bauer-Mehren A, Ryan P, Shah NH. Performance of pharmacovigilance signal-detection algorithms for the</w:t>
      </w:r>
      <w:r>
        <w:t xml:space="preserve"> </w:t>
      </w:r>
      <w:r>
        <w:t xml:space="preserve">FDA</w:t>
      </w:r>
      <w:r>
        <w:t xml:space="preserve"> </w:t>
      </w:r>
      <w:r>
        <w:t xml:space="preserve">adverse event reporting system. Clinical Pharmacology &amp; Therapeutics. 2013;93:539–46.</w:t>
      </w:r>
      <w:r>
        <w:t xml:space="preserve"> </w:t>
      </w:r>
      <w:hyperlink r:id="rId71">
        <w:r>
          <w:rPr>
            <w:rStyle w:val="Hyperlink"/>
          </w:rPr>
          <w:t xml:space="preserve">https://doi.org/10.1038/clpt.2013.24</w:t>
        </w:r>
      </w:hyperlink>
    </w:p>
    <w:bookmarkEnd w:id="72"/>
    <w:bookmarkStart w:id="74" w:name="_1ba1f77df109cdb4592a0c39a707f0ba8ca6100"/>
    <w:p>
      <w:pPr>
        <w:pStyle w:val="Bibliography"/>
      </w:pPr>
      <w:r>
        <w:t xml:space="preserve">12. Fusaroli M, Salvo F, Begaud B, AlShammari TM, Bate A, Battini V, et al. The reporting of a disproportionality analysis for drug safety signal detection using individual case safety reports in PharmacoVigilance (</w:t>
      </w:r>
      <w:r>
        <w:t xml:space="preserve">READUS-PV</w:t>
      </w:r>
      <w:r>
        <w:t xml:space="preserve">): Development and statement. Drug Safety. 2024;47:575–84.</w:t>
      </w:r>
      <w:r>
        <w:t xml:space="preserve"> </w:t>
      </w:r>
      <w:hyperlink r:id="rId73">
        <w:r>
          <w:rPr>
            <w:rStyle w:val="Hyperlink"/>
          </w:rPr>
          <w:t xml:space="preserve">https://doi.org/10.1007/s40264-024-01421-9</w:t>
        </w:r>
      </w:hyperlink>
    </w:p>
    <w:bookmarkEnd w:id="74"/>
    <w:bookmarkStart w:id="76" w:name="_03b309150ebc524c2a2aa50e5a68757073c3c32"/>
    <w:p>
      <w:pPr>
        <w:pStyle w:val="Bibliography"/>
      </w:pPr>
      <w:r>
        <w:t xml:space="preserve">13. Fusaroli M, Salvo F, Begaud B, AlShammari TM, Bate A, Battini V, et al. The</w:t>
      </w:r>
      <w:r>
        <w:t xml:space="preserve"> </w:t>
      </w:r>
      <w:r>
        <w:t xml:space="preserve">RE</w:t>
      </w:r>
      <w:r>
        <w:t xml:space="preserve">porting of</w:t>
      </w:r>
      <w:r>
        <w:t xml:space="preserve"> </w:t>
      </w:r>
      <w:r>
        <w:t xml:space="preserve">A</w:t>
      </w:r>
      <w:r>
        <w:t xml:space="preserve"> </w:t>
      </w:r>
      <w:r>
        <w:t xml:space="preserve">disproportionality analysis for</w:t>
      </w:r>
      <w:r>
        <w:t xml:space="preserve"> </w:t>
      </w:r>
      <w:r>
        <w:t xml:space="preserve">DrU</w:t>
      </w:r>
      <w:r>
        <w:t xml:space="preserve">g safety signal detection using individual case safety reports in</w:t>
      </w:r>
      <w:r>
        <w:t xml:space="preserve"> </w:t>
      </w:r>
      <w:r>
        <w:t xml:space="preserve">PharmacoVigilance</w:t>
      </w:r>
      <w:r>
        <w:t xml:space="preserve"> </w:t>
      </w:r>
      <w:r>
        <w:t xml:space="preserve">(</w:t>
      </w:r>
      <w:r>
        <w:t xml:space="preserve">READUS-PV</w:t>
      </w:r>
      <w:r>
        <w:t xml:space="preserve">): Explanation and elaboration. Drug Safety. 2024;47:585–99.</w:t>
      </w:r>
      <w:r>
        <w:t xml:space="preserve"> </w:t>
      </w:r>
      <w:hyperlink r:id="rId75">
        <w:r>
          <w:rPr>
            <w:rStyle w:val="Hyperlink"/>
          </w:rPr>
          <w:t xml:space="preserve">https://doi.org/10.1007/s40264-024-01423-7</w:t>
        </w:r>
      </w:hyperlink>
    </w:p>
    <w:bookmarkEnd w:id="76"/>
    <w:bookmarkStart w:id="78" w:name="_a1e57bb27bf8d4e7b732f7b1344e148cb46eaa9"/>
    <w:p>
      <w:pPr>
        <w:pStyle w:val="Bibliography"/>
      </w:pPr>
      <w:r>
        <w:t xml:space="preserve">14. Kass-Hout TA, Xu Z, Mohebbi M, Nelsen H, Baker A, Levine J, et al.</w:t>
      </w:r>
      <w:r>
        <w:t xml:space="preserve"> </w:t>
      </w:r>
      <w:r>
        <w:t xml:space="preserve">OpenFDA</w:t>
      </w:r>
      <w:r>
        <w:t xml:space="preserve">: An innovative platform providing access to a wealth of</w:t>
      </w:r>
      <w:r>
        <w:t xml:space="preserve"> </w:t>
      </w:r>
      <w:r>
        <w:t xml:space="preserve">FDA</w:t>
      </w:r>
      <w:r>
        <w:t xml:space="preserve">’s publicly available data. Journal of the American Medical Informatics Association. 2016;23:596–600.</w:t>
      </w:r>
      <w:r>
        <w:t xml:space="preserve"> </w:t>
      </w:r>
      <w:hyperlink r:id="rId77">
        <w:r>
          <w:rPr>
            <w:rStyle w:val="Hyperlink"/>
          </w:rPr>
          <w:t xml:space="preserve">https://doi.org/10.1093/jamia/ocv153</w:t>
        </w:r>
      </w:hyperlink>
    </w:p>
    <w:bookmarkEnd w:id="78"/>
    <w:bookmarkStart w:id="80" w:name="_cae824e968acfc38e5471fd41568740ceded7c7"/>
    <w:p>
      <w:pPr>
        <w:pStyle w:val="Bibliography"/>
      </w:pPr>
      <w:r>
        <w:t xml:space="preserve">15. Woolf B. On estimating the relation between blood group and disease. Annals of Human Genetics. 1955;19:251–3.</w:t>
      </w:r>
      <w:r>
        <w:t xml:space="preserve"> </w:t>
      </w:r>
      <w:hyperlink r:id="rId79">
        <w:r>
          <w:rPr>
            <w:rStyle w:val="Hyperlink"/>
          </w:rPr>
          <w:t xml:space="preserve">https://doi.org/10.1111/j.1469-1809.1955.tb01348.x</w:t>
        </w:r>
      </w:hyperlink>
    </w:p>
    <w:bookmarkEnd w:id="80"/>
    <w:bookmarkStart w:id="82" w:name="_9bed9da9f5b8220827df58fa5bf65f545c7cff3"/>
    <w:p>
      <w:pPr>
        <w:pStyle w:val="Bibliography"/>
      </w:pPr>
      <w:r>
        <w:t xml:space="preserve">16. Rothman KJ, Lanes S, Sacks ST. The reporting odds ratio and its advantages over the proportional reporting ratio. Pharmacoepidemiology and Drug Safety. 2004;13:519–23.</w:t>
      </w:r>
      <w:r>
        <w:t xml:space="preserve"> </w:t>
      </w:r>
      <w:hyperlink r:id="rId81">
        <w:r>
          <w:rPr>
            <w:rStyle w:val="Hyperlink"/>
          </w:rPr>
          <w:t xml:space="preserve">https://doi.org/10.1002/pds.1001</w:t>
        </w:r>
      </w:hyperlink>
    </w:p>
    <w:bookmarkEnd w:id="82"/>
    <w:bookmarkStart w:id="84" w:name="_d84d6fe33642d5bd1a08514c14a1f98951f6a3d"/>
    <w:p>
      <w:pPr>
        <w:pStyle w:val="Bibliography"/>
      </w:pPr>
      <w:r>
        <w:t xml:space="preserve">17. Norén GN, Bate A, Orre R, Edwards IR. Extending the methods used to screen the</w:t>
      </w:r>
      <w:r>
        <w:t xml:space="preserve"> </w:t>
      </w:r>
      <w:r>
        <w:t xml:space="preserve">WHO</w:t>
      </w:r>
      <w:r>
        <w:t xml:space="preserve"> </w:t>
      </w:r>
      <w:r>
        <w:t xml:space="preserve">drug safety database towards analysis of complex associations and improved accuracy for rare events. Statistics in Medicine. 2006;25:3740–57.</w:t>
      </w:r>
      <w:r>
        <w:t xml:space="preserve"> </w:t>
      </w:r>
      <w:hyperlink r:id="rId83">
        <w:r>
          <w:rPr>
            <w:rStyle w:val="Hyperlink"/>
          </w:rPr>
          <w:t xml:space="preserve">https://doi.org/10.1002/sim.2473</w:t>
        </w:r>
      </w:hyperlink>
    </w:p>
    <w:bookmarkEnd w:id="84"/>
    <w:bookmarkStart w:id="86" w:name="_691b3d7ec207e6f1ffe01af53ad3661a36dd4eb"/>
    <w:p>
      <w:pPr>
        <w:pStyle w:val="Bibliography"/>
      </w:pPr>
      <w:r>
        <w:t xml:space="preserve">18. Mantel N, Haenszel W. Statistical aspects of the analysis of data from retrospective studies of disease. Journal of the National Cancer Institute. 1959;22:719–48.</w:t>
      </w:r>
      <w:r>
        <w:t xml:space="preserve"> </w:t>
      </w:r>
      <w:hyperlink r:id="rId85">
        <w:r>
          <w:rPr>
            <w:rStyle w:val="Hyperlink"/>
          </w:rPr>
          <w:t xml:space="preserve">https://doi.org/10.1093/jnci/22.4.719</w:t>
        </w:r>
      </w:hyperlink>
    </w:p>
    <w:bookmarkEnd w:id="86"/>
    <w:bookmarkStart w:id="88" w:name="_fc93fbc434fdbfcd6db9f2578266aa3fe63fa92"/>
    <w:p>
      <w:pPr>
        <w:pStyle w:val="Bibliography"/>
      </w:pPr>
      <w:r>
        <w:t xml:space="preserve">19. Robins J, Breslow N, Greenland S. Estimators of the</w:t>
      </w:r>
      <w:r>
        <w:t xml:space="preserve"> </w:t>
      </w:r>
      <w:r>
        <w:t xml:space="preserve">Mantel-Haenszel</w:t>
      </w:r>
      <w:r>
        <w:t xml:space="preserve"> </w:t>
      </w:r>
      <w:r>
        <w:t xml:space="preserve">variance consistent in both sparse data and large-strata limiting models. Biometrics. 1986;42:311–23.</w:t>
      </w:r>
      <w:r>
        <w:t xml:space="preserve"> </w:t>
      </w:r>
      <w:hyperlink r:id="rId87">
        <w:r>
          <w:rPr>
            <w:rStyle w:val="Hyperlink"/>
          </w:rPr>
          <w:t xml:space="preserve">https://doi.org/10.2307/2531052</w:t>
        </w:r>
      </w:hyperlink>
    </w:p>
    <w:bookmarkEnd w:id="88"/>
    <w:bookmarkStart w:id="90" w:name="_df40665c7477147b950e0d0518f5ab718df28b8"/>
    <w:p>
      <w:pPr>
        <w:pStyle w:val="Bibliography"/>
      </w:pPr>
      <w:r>
        <w:t xml:space="preserve">20. Jokinen JD, Walley RJ, Colopy MW, Hilzinger TS, Verdru P. Pooling different safety data sources: Impact of combining solicited and spontaneous reports on signal detection in pharmacovigilance. Drug Safety. 2019;42:1191–8.</w:t>
      </w:r>
      <w:r>
        <w:t xml:space="preserve"> </w:t>
      </w:r>
      <w:hyperlink r:id="rId89">
        <w:r>
          <w:rPr>
            <w:rStyle w:val="Hyperlink"/>
          </w:rPr>
          <w:t xml:space="preserve">https://doi.org/10.1007/s40264-019-00843-0</w:t>
        </w:r>
      </w:hyperlink>
    </w:p>
    <w:bookmarkEnd w:id="90"/>
    <w:bookmarkStart w:id="92" w:name="_d594fe5367581dab5c74dfb3d0f9bf83a5cc680"/>
    <w:p>
      <w:pPr>
        <w:pStyle w:val="Bibliography"/>
      </w:pPr>
      <w:r>
        <w:t xml:space="preserve">21. Schuemie MJ, Ryan PB, DuMouchel W, Suchard MA, Madigan D. Interpreting observational studies: Why empirical calibration is needed to correct p-values. Statistics in Medicine. 2014;33:209–18.</w:t>
      </w:r>
      <w:r>
        <w:t xml:space="preserve"> </w:t>
      </w:r>
      <w:hyperlink r:id="rId91">
        <w:r>
          <w:rPr>
            <w:rStyle w:val="Hyperlink"/>
          </w:rPr>
          <w:t xml:space="preserve">https://doi.org/10.1002/sim.5925</w:t>
        </w:r>
      </w:hyperlink>
    </w:p>
    <w:bookmarkEnd w:id="92"/>
    <w:bookmarkStart w:id="94" w:name="_3c93df4fc630a9aa327393a0beb1f343989d0b0"/>
    <w:p>
      <w:pPr>
        <w:pStyle w:val="Bibliography"/>
      </w:pPr>
      <w:r>
        <w:t xml:space="preserve">22. Caster O, Norén GN, Madigan D, Bate A. Large-scale regression-based pattern discovery: The example of screening the</w:t>
      </w:r>
      <w:r>
        <w:t xml:space="preserve"> </w:t>
      </w:r>
      <w:r>
        <w:t xml:space="preserve">WHO</w:t>
      </w:r>
      <w:r>
        <w:t xml:space="preserve"> </w:t>
      </w:r>
      <w:r>
        <w:t xml:space="preserve">global drug safety database. Statistical Analysis and Data Mining. 2010;3:197–208.</w:t>
      </w:r>
      <w:r>
        <w:t xml:space="preserve"> </w:t>
      </w:r>
      <w:hyperlink r:id="rId93">
        <w:r>
          <w:rPr>
            <w:rStyle w:val="Hyperlink"/>
          </w:rPr>
          <w:t xml:space="preserve">https://doi.org/10.1002/sam.10078</w:t>
        </w:r>
      </w:hyperlink>
    </w:p>
    <w:bookmarkEnd w:id="94"/>
    <w:bookmarkStart w:id="96" w:name="_001e733a8805c7c6795b5be30f8bf7a29c73565"/>
    <w:p>
      <w:pPr>
        <w:pStyle w:val="Bibliography"/>
      </w:pPr>
      <w:r>
        <w:t xml:space="preserve">23. Yılmaz R, Türk Ş, Reisli R, Tuncer Uzun S. A probable case of pregabalin-related reversible hearing loss. A</w:t>
      </w:r>
      <w:r>
        <w:t xml:space="preserve">ğ</w:t>
      </w:r>
      <w:r>
        <w:t xml:space="preserve">r</w:t>
      </w:r>
      <w:r>
        <w:t xml:space="preserve">ı</w:t>
      </w:r>
      <w:r>
        <w:t xml:space="preserve">. 2020;32:103–5.</w:t>
      </w:r>
      <w:r>
        <w:t xml:space="preserve"> </w:t>
      </w:r>
      <w:hyperlink r:id="rId95">
        <w:r>
          <w:rPr>
            <w:rStyle w:val="Hyperlink"/>
          </w:rPr>
          <w:t xml:space="preserve">https://doi.org/10.5505/agri.2018.48753</w:t>
        </w:r>
      </w:hyperlink>
    </w:p>
    <w:bookmarkEnd w:id="96"/>
    <w:bookmarkStart w:id="98" w:name="_95a7f6a093e38266fec8ea1947aabbcb850bd47"/>
    <w:p>
      <w:pPr>
        <w:pStyle w:val="Bibliography"/>
      </w:pPr>
      <w:r>
        <w:t xml:space="preserve">24.</w:t>
      </w:r>
      <w:r>
        <w:t xml:space="preserve"> </w:t>
      </w:r>
      <w:r>
        <w:t xml:space="preserve">Horikawa C, Kodama S, Tanaka S, Fujihara K, Hirasawa R, Yachi Y, et al.</w:t>
      </w:r>
      <w:r>
        <w:t xml:space="preserve"> </w:t>
      </w:r>
      <w:r>
        <w:t xml:space="preserve">Diabetes and risk of hearing impairment in adults: A meta-analysis. The Journal of clinical endocrinology and metabolism. 2013;98:51–8.</w:t>
      </w:r>
      <w:r>
        <w:t xml:space="preserve"> </w:t>
      </w:r>
      <w:hyperlink r:id="rId97">
        <w:r>
          <w:rPr>
            <w:rStyle w:val="Hyperlink"/>
          </w:rPr>
          <w:t xml:space="preserve">https://doi.org/10.1210/jc.2012-2119</w:t>
        </w:r>
      </w:hyperlink>
    </w:p>
    <w:bookmarkEnd w:id="98"/>
    <w:bookmarkStart w:id="100" w:name="_90035051e9cb6e0d4a9b4d996a14af53650eae4"/>
    <w:p>
      <w:pPr>
        <w:pStyle w:val="Bibliography"/>
      </w:pPr>
      <w:r>
        <w:t xml:space="preserve">25. Jin X, Xu X, Wang J, Liu X, Deng X, Xie H. Association between hypertension and hearing loss: A systemic review and meta-analysis. Frontiers in neurology. 2024;15:1470997.</w:t>
      </w:r>
      <w:r>
        <w:t xml:space="preserve"> </w:t>
      </w:r>
      <w:hyperlink r:id="rId99">
        <w:r>
          <w:rPr>
            <w:rStyle w:val="Hyperlink"/>
          </w:rPr>
          <w:t xml:space="preserve">https://doi.org/10.3389/fneur.2024.1470997</w:t>
        </w:r>
      </w:hyperlink>
    </w:p>
    <w:bookmarkEnd w:id="100"/>
    <w:bookmarkStart w:id="102" w:name="_22b8669257583e60fc4613cd9bf0682ec3fbb25"/>
    <w:p>
      <w:pPr>
        <w:pStyle w:val="Bibliography"/>
      </w:pPr>
      <w:r>
        <w:t xml:space="preserve">26. Sutton SS, Magagnoli J, Cummings TH, Hardin JW. Calcium channel blockers and the risk of sensorineural hearing loss. Otology &amp; Neurotology. 2022;43:e140–7.</w:t>
      </w:r>
      <w:r>
        <w:t xml:space="preserve"> </w:t>
      </w:r>
      <w:hyperlink r:id="rId101">
        <w:r>
          <w:rPr>
            <w:rStyle w:val="Hyperlink"/>
          </w:rPr>
          <w:t xml:space="preserve">https://doi.org/10.1097/MAO.0000000000003419</w:t>
        </w:r>
      </w:hyperlink>
    </w:p>
    <w:bookmarkEnd w:id="102"/>
    <w:bookmarkStart w:id="104" w:name="_a75653ffaf987313fa99474d7ab4895d708e5a4"/>
    <w:p>
      <w:pPr>
        <w:pStyle w:val="Bibliography"/>
      </w:pPr>
      <w:r>
        <w:t xml:space="preserve">27. Chaitidis N, Theocharis P, Festas C, Aritzi I. Association of rheumatoid arthritis with hearing loss: A systematic review and meta-analysis. Rheumatology International. 2020;40:1771–9.</w:t>
      </w:r>
      <w:r>
        <w:t xml:space="preserve"> </w:t>
      </w:r>
      <w:hyperlink r:id="rId103">
        <w:r>
          <w:rPr>
            <w:rStyle w:val="Hyperlink"/>
          </w:rPr>
          <w:t xml:space="preserve">https://doi.org/10.1007/s00296-020-04609-1</w:t>
        </w:r>
      </w:hyperlink>
    </w:p>
    <w:bookmarkEnd w:id="104"/>
    <w:bookmarkStart w:id="106" w:name="_11593371a69f66357e86220b227297cc20dc733"/>
    <w:p>
      <w:pPr>
        <w:pStyle w:val="Bibliography"/>
      </w:pPr>
      <w:r>
        <w:t xml:space="preserve">28. Kim JM, Lee MY, Kim JW, Lee J, Kim HJ, Cha SC, et al. Open-angle glaucoma and sensorineural hearing impairment in the</w:t>
      </w:r>
      <w:r>
        <w:t xml:space="preserve"> </w:t>
      </w:r>
      <w:r>
        <w:t xml:space="preserve">Korean</w:t>
      </w:r>
      <w:r>
        <w:t xml:space="preserve"> </w:t>
      </w:r>
      <w:r>
        <w:t xml:space="preserve">population. Current Eye Research. 2020;45:992–9.</w:t>
      </w:r>
      <w:r>
        <w:t xml:space="preserve"> </w:t>
      </w:r>
      <w:hyperlink r:id="rId105">
        <w:r>
          <w:rPr>
            <w:rStyle w:val="Hyperlink"/>
          </w:rPr>
          <w:t xml:space="preserve">https://doi.org/10.1080/02713683.2020.1712424</w:t>
        </w:r>
      </w:hyperlink>
    </w:p>
    <w:bookmarkEnd w:id="106"/>
    <w:bookmarkStart w:id="108" w:name="_1994c31b65db315423021af066b563f5c10707d"/>
    <w:p>
      <w:pPr>
        <w:pStyle w:val="Bibliography"/>
      </w:pPr>
      <w:r>
        <w:t xml:space="preserve">29. Choi HG, Kwon MJ, Kim JH, Kim J-H, Kim Y, Kim SY. Association between</w:t>
      </w:r>
      <w:r>
        <w:t xml:space="preserve"> </w:t>
      </w:r>
      <w:r>
        <w:t xml:space="preserve">COPD</w:t>
      </w:r>
      <w:r>
        <w:t xml:space="preserve"> </w:t>
      </w:r>
      <w:r>
        <w:t xml:space="preserve">and hearing loss. The Laryngoscope. 2024;134:4716–22.</w:t>
      </w:r>
      <w:r>
        <w:t xml:space="preserve"> </w:t>
      </w:r>
      <w:hyperlink r:id="rId107">
        <w:r>
          <w:rPr>
            <w:rStyle w:val="Hyperlink"/>
          </w:rPr>
          <w:t xml:space="preserve">https://doi.org/10.1002/lary.31548</w:t>
        </w:r>
      </w:hyperlink>
    </w:p>
    <w:bookmarkEnd w:id="108"/>
    <w:bookmarkStart w:id="110" w:name="_816983a1b4f88f3b0231ac3f28316885953f087"/>
    <w:p>
      <w:pPr>
        <w:pStyle w:val="Bibliography"/>
      </w:pPr>
      <w:r>
        <w:t xml:space="preserve">30. Ali NS, Long BD, Manzoor NF, Sismanis A, Coelho DH. Doxycycline-induced intracranial hypertension presenting as unilateral pulsatile tinnitus. Otology &amp; neurotology open. 2023;3:e043.</w:t>
      </w:r>
      <w:r>
        <w:t xml:space="preserve"> </w:t>
      </w:r>
      <w:hyperlink r:id="rId109">
        <w:r>
          <w:rPr>
            <w:rStyle w:val="Hyperlink"/>
          </w:rPr>
          <w:t xml:space="preserve">https://doi.org/10.1097/ONO.0000000000000043</w:t>
        </w:r>
      </w:hyperlink>
    </w:p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8" Target="media/rId38.png" /><Relationship Type="http://schemas.openxmlformats.org/officeDocument/2006/relationships/image" Id="rId14" Target="media/rId14.png" /><Relationship Type="http://schemas.openxmlformats.org/officeDocument/2006/relationships/hyperlink" Id="rId51" Target="https://doi.org/10.1002/cpt.603" TargetMode="External" /><Relationship Type="http://schemas.openxmlformats.org/officeDocument/2006/relationships/hyperlink" Id="rId107" Target="https://doi.org/10.1002/lary.31548" TargetMode="External" /><Relationship Type="http://schemas.openxmlformats.org/officeDocument/2006/relationships/hyperlink" Id="rId81" Target="https://doi.org/10.1002/pds.1001" TargetMode="External" /><Relationship Type="http://schemas.openxmlformats.org/officeDocument/2006/relationships/hyperlink" Id="rId93" Target="https://doi.org/10.1002/sam.10078" TargetMode="External" /><Relationship Type="http://schemas.openxmlformats.org/officeDocument/2006/relationships/hyperlink" Id="rId83" Target="https://doi.org/10.1002/sim.2473" TargetMode="External" /><Relationship Type="http://schemas.openxmlformats.org/officeDocument/2006/relationships/hyperlink" Id="rId91" Target="https://doi.org/10.1002/sim.5925" TargetMode="External" /><Relationship Type="http://schemas.openxmlformats.org/officeDocument/2006/relationships/hyperlink" Id="rId59" Target="https://doi.org/10.1007/s00210-026-05556-7" TargetMode="External" /><Relationship Type="http://schemas.openxmlformats.org/officeDocument/2006/relationships/hyperlink" Id="rId103" Target="https://doi.org/10.1007/s00296-020-04609-1" TargetMode="External" /><Relationship Type="http://schemas.openxmlformats.org/officeDocument/2006/relationships/hyperlink" Id="rId89" Target="https://doi.org/10.1007/s40264-019-00843-0" TargetMode="External" /><Relationship Type="http://schemas.openxmlformats.org/officeDocument/2006/relationships/hyperlink" Id="rId73" Target="https://doi.org/10.1007/s40264-024-01421-9" TargetMode="External" /><Relationship Type="http://schemas.openxmlformats.org/officeDocument/2006/relationships/hyperlink" Id="rId75" Target="https://doi.org/10.1007/s40264-024-01423-7" TargetMode="External" /><Relationship Type="http://schemas.openxmlformats.org/officeDocument/2006/relationships/hyperlink" Id="rId55" Target="https://doi.org/10.1016/j.heares.2025.109262" TargetMode="External" /><Relationship Type="http://schemas.openxmlformats.org/officeDocument/2006/relationships/hyperlink" Id="rId69" Target="https://doi.org/10.1016/j.jid.2025.06.1579" TargetMode="External" /><Relationship Type="http://schemas.openxmlformats.org/officeDocument/2006/relationships/hyperlink" Id="rId71" Target="https://doi.org/10.1038/clpt.2013.24" TargetMode="External" /><Relationship Type="http://schemas.openxmlformats.org/officeDocument/2006/relationships/hyperlink" Id="rId105" Target="https://doi.org/10.1080/02713683.2020.1712424" TargetMode="External" /><Relationship Type="http://schemas.openxmlformats.org/officeDocument/2006/relationships/hyperlink" Id="rId77" Target="https://doi.org/10.1093/jamia/ocv153" TargetMode="External" /><Relationship Type="http://schemas.openxmlformats.org/officeDocument/2006/relationships/hyperlink" Id="rId85" Target="https://doi.org/10.1093/jnci/22.4.719" TargetMode="External" /><Relationship Type="http://schemas.openxmlformats.org/officeDocument/2006/relationships/hyperlink" Id="rId101" Target="https://doi.org/10.1097/MAO.0000000000003419" TargetMode="External" /><Relationship Type="http://schemas.openxmlformats.org/officeDocument/2006/relationships/hyperlink" Id="rId109" Target="https://doi.org/10.1097/ONO.0000000000000043" TargetMode="External" /><Relationship Type="http://schemas.openxmlformats.org/officeDocument/2006/relationships/hyperlink" Id="rId65" Target="https://doi.org/10.1111/fcp.12533" TargetMode="External" /><Relationship Type="http://schemas.openxmlformats.org/officeDocument/2006/relationships/hyperlink" Id="rId79" Target="https://doi.org/10.1111/j.1469-1809.1955.tb01348.x" TargetMode="External" /><Relationship Type="http://schemas.openxmlformats.org/officeDocument/2006/relationships/hyperlink" Id="rId97" Target="https://doi.org/10.1210/jc.2012-2119" TargetMode="External" /><Relationship Type="http://schemas.openxmlformats.org/officeDocument/2006/relationships/hyperlink" Id="rId61" Target="https://doi.org/10.12968/hmed.2024.0380" TargetMode="External" /><Relationship Type="http://schemas.openxmlformats.org/officeDocument/2006/relationships/hyperlink" Id="rId63" Target="https://doi.org/10.1371/journal.pone.0217951" TargetMode="External" /><Relationship Type="http://schemas.openxmlformats.org/officeDocument/2006/relationships/hyperlink" Id="rId67" Target="https://doi.org/10.2165/00002018-200730100-00007" TargetMode="External" /><Relationship Type="http://schemas.openxmlformats.org/officeDocument/2006/relationships/hyperlink" Id="rId87" Target="https://doi.org/10.2307/2531052" TargetMode="External" /><Relationship Type="http://schemas.openxmlformats.org/officeDocument/2006/relationships/hyperlink" Id="rId99" Target="https://doi.org/10.3389/fneur.2024.1470997" TargetMode="External" /><Relationship Type="http://schemas.openxmlformats.org/officeDocument/2006/relationships/hyperlink" Id="rId53" Target="https://doi.org/10.3389/fphar.2024.1480994" TargetMode="External" /><Relationship Type="http://schemas.openxmlformats.org/officeDocument/2006/relationships/hyperlink" Id="rId57" Target="https://doi.org/10.3389/fphar.2025.1532461" TargetMode="External" /><Relationship Type="http://schemas.openxmlformats.org/officeDocument/2006/relationships/hyperlink" Id="rId50" Target="https://doi.org/10.5281/zenodo.23659658" TargetMode="External" /><Relationship Type="http://schemas.openxmlformats.org/officeDocument/2006/relationships/hyperlink" Id="rId95" Target="https://doi.org/10.5505/agri.2018.48753" TargetMode="External" /><Relationship Type="http://schemas.openxmlformats.org/officeDocument/2006/relationships/hyperlink" Id="rId9" Target="https://orcid.org/0009-0006-5431-428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02/cpt.603" TargetMode="External" /><Relationship Type="http://schemas.openxmlformats.org/officeDocument/2006/relationships/hyperlink" Id="rId107" Target="https://doi.org/10.1002/lary.31548" TargetMode="External" /><Relationship Type="http://schemas.openxmlformats.org/officeDocument/2006/relationships/hyperlink" Id="rId81" Target="https://doi.org/10.1002/pds.1001" TargetMode="External" /><Relationship Type="http://schemas.openxmlformats.org/officeDocument/2006/relationships/hyperlink" Id="rId93" Target="https://doi.org/10.1002/sam.10078" TargetMode="External" /><Relationship Type="http://schemas.openxmlformats.org/officeDocument/2006/relationships/hyperlink" Id="rId83" Target="https://doi.org/10.1002/sim.2473" TargetMode="External" /><Relationship Type="http://schemas.openxmlformats.org/officeDocument/2006/relationships/hyperlink" Id="rId91" Target="https://doi.org/10.1002/sim.5925" TargetMode="External" /><Relationship Type="http://schemas.openxmlformats.org/officeDocument/2006/relationships/hyperlink" Id="rId59" Target="https://doi.org/10.1007/s00210-026-05556-7" TargetMode="External" /><Relationship Type="http://schemas.openxmlformats.org/officeDocument/2006/relationships/hyperlink" Id="rId103" Target="https://doi.org/10.1007/s00296-020-04609-1" TargetMode="External" /><Relationship Type="http://schemas.openxmlformats.org/officeDocument/2006/relationships/hyperlink" Id="rId89" Target="https://doi.org/10.1007/s40264-019-00843-0" TargetMode="External" /><Relationship Type="http://schemas.openxmlformats.org/officeDocument/2006/relationships/hyperlink" Id="rId73" Target="https://doi.org/10.1007/s40264-024-01421-9" TargetMode="External" /><Relationship Type="http://schemas.openxmlformats.org/officeDocument/2006/relationships/hyperlink" Id="rId75" Target="https://doi.org/10.1007/s40264-024-01423-7" TargetMode="External" /><Relationship Type="http://schemas.openxmlformats.org/officeDocument/2006/relationships/hyperlink" Id="rId55" Target="https://doi.org/10.1016/j.heares.2025.109262" TargetMode="External" /><Relationship Type="http://schemas.openxmlformats.org/officeDocument/2006/relationships/hyperlink" Id="rId69" Target="https://doi.org/10.1016/j.jid.2025.06.1579" TargetMode="External" /><Relationship Type="http://schemas.openxmlformats.org/officeDocument/2006/relationships/hyperlink" Id="rId71" Target="https://doi.org/10.1038/clpt.2013.24" TargetMode="External" /><Relationship Type="http://schemas.openxmlformats.org/officeDocument/2006/relationships/hyperlink" Id="rId105" Target="https://doi.org/10.1080/02713683.2020.1712424" TargetMode="External" /><Relationship Type="http://schemas.openxmlformats.org/officeDocument/2006/relationships/hyperlink" Id="rId77" Target="https://doi.org/10.1093/jamia/ocv153" TargetMode="External" /><Relationship Type="http://schemas.openxmlformats.org/officeDocument/2006/relationships/hyperlink" Id="rId85" Target="https://doi.org/10.1093/jnci/22.4.719" TargetMode="External" /><Relationship Type="http://schemas.openxmlformats.org/officeDocument/2006/relationships/hyperlink" Id="rId101" Target="https://doi.org/10.1097/MAO.0000000000003419" TargetMode="External" /><Relationship Type="http://schemas.openxmlformats.org/officeDocument/2006/relationships/hyperlink" Id="rId109" Target="https://doi.org/10.1097/ONO.0000000000000043" TargetMode="External" /><Relationship Type="http://schemas.openxmlformats.org/officeDocument/2006/relationships/hyperlink" Id="rId65" Target="https://doi.org/10.1111/fcp.12533" TargetMode="External" /><Relationship Type="http://schemas.openxmlformats.org/officeDocument/2006/relationships/hyperlink" Id="rId79" Target="https://doi.org/10.1111/j.1469-1809.1955.tb01348.x" TargetMode="External" /><Relationship Type="http://schemas.openxmlformats.org/officeDocument/2006/relationships/hyperlink" Id="rId97" Target="https://doi.org/10.1210/jc.2012-2119" TargetMode="External" /><Relationship Type="http://schemas.openxmlformats.org/officeDocument/2006/relationships/hyperlink" Id="rId61" Target="https://doi.org/10.12968/hmed.2024.0380" TargetMode="External" /><Relationship Type="http://schemas.openxmlformats.org/officeDocument/2006/relationships/hyperlink" Id="rId63" Target="https://doi.org/10.1371/journal.pone.0217951" TargetMode="External" /><Relationship Type="http://schemas.openxmlformats.org/officeDocument/2006/relationships/hyperlink" Id="rId67" Target="https://doi.org/10.2165/00002018-200730100-00007" TargetMode="External" /><Relationship Type="http://schemas.openxmlformats.org/officeDocument/2006/relationships/hyperlink" Id="rId87" Target="https://doi.org/10.2307/2531052" TargetMode="External" /><Relationship Type="http://schemas.openxmlformats.org/officeDocument/2006/relationships/hyperlink" Id="rId99" Target="https://doi.org/10.3389/fneur.2024.1470997" TargetMode="External" /><Relationship Type="http://schemas.openxmlformats.org/officeDocument/2006/relationships/hyperlink" Id="rId53" Target="https://doi.org/10.3389/fphar.2024.1480994" TargetMode="External" /><Relationship Type="http://schemas.openxmlformats.org/officeDocument/2006/relationships/hyperlink" Id="rId57" Target="https://doi.org/10.3389/fphar.2025.1532461" TargetMode="External" /><Relationship Type="http://schemas.openxmlformats.org/officeDocument/2006/relationships/hyperlink" Id="rId50" Target="https://doi.org/10.5281/zenodo.23659658" TargetMode="External" /><Relationship Type="http://schemas.openxmlformats.org/officeDocument/2006/relationships/hyperlink" Id="rId95" Target="https://doi.org/10.5505/agri.2018.48753" TargetMode="External" /><Relationship Type="http://schemas.openxmlformats.org/officeDocument/2006/relationships/hyperlink" Id="rId9" Target="https://orcid.org/0009-0006-5431-428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Adjustment and external replication of drug–hearing-loss signals: a disproportionality analysis of FAERS and Canada Vigilance</dc:title>
  <dc:creator>Oleg Tropynin Independent researcher, Karaganda, Kazakhstan tropininoleg@gmail.com ORCID: 0009-0006-5431-4285</dc:creator>
  <cp:keywords/>
  <dcterms:created xsi:type="dcterms:W3CDTF">2026-10-28T10:22:37Z</dcterms:created>
  <dcterms:modified xsi:type="dcterms:W3CDTF">2026-10-28T10:22:37Z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Aim: Recent analyses of the US Food and Drug Administration Adverse Event Reporting System (FAERS) reported many drug–hearing-loss signals absent from labels. We assessed which survive adjustment for hearing-specific biases and external replication.Methods: Disproportionality analysis of 19.9 million deduplicated FAERS reports (2004–2026) and 1.2 million Canada Vigilance reports, following a protocol committed before analysis. For hearing loss and tinnitus, crude reporting odds ratios (signal: lower 95% bound &gt;1, \geq3 cases) were compared with Mantel–Haenszel estimates stratified by age, sex and period after excluding ear-related indications, reports naming established ototoxic drugs and lawyer reports. Methods were compared on a label-derived reference set (area under the receiver operating characteristic curve, AUC) and by replication in Canada; robust unlabelled signals underwent case-by-case review.Results: Adjustment substantially changed the hearing-loss signal list (63 of 300 crude signals lost, 73 gained) but not agreement with labels (AUC, crude vs adjusted lower bound: 0.718 vs 0.723). Unlabelled signals replicated in Canada more than background, less than labelled ones; power-calibrated (post hoc), labelled signals replicated as predicted (observed/expected 1.02, 95% CI 0.77–1.32) and unlabelled ones did not (0.44, 0.29–0.62), even within consumer-reporting strata. Solicited reports, report clusters and shared co-medication produced spurious replications. Of 22 robust unlabelled signals (post hoc), 15 had artefactual or known explanations; 7 remained (2–9 under alternative choices).Conclusion: Most unlabelled FAERS hearing-loss signals do not survive adjusted replication and provenance review. Findings are hypothesis-generating; cross-database replication needs adjusted estimates and explicit handling of solicited reports.</vt:lpwstr>
  </property>
  <property fmtid="{D5CDD505-2E9C-101B-9397-08002B2CF9AE}" pid="3" name="bibliography">
    <vt:lpwstr/>
  </property>
  <property fmtid="{D5CDD505-2E9C-101B-9397-08002B2CF9AE}" pid="4" name="csl">
    <vt:lpwstr>springer-vancouver-brackets.csl</vt:lpwstr>
  </property>
  <property fmtid="{D5CDD505-2E9C-101B-9397-08002B2CF9AE}" pid="5" name="date">
    <vt:lpwstr/>
  </property>
</Properties>
</file>