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0009-0006-5431-4285</w:t>
        </w:r>
      </w:hyperlink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substantially changed the hearing-loss signal list</w:t>
      </w:r>
      <w:r>
        <w:t xml:space="preserve"> </w:t>
      </w:r>
      <w:r>
        <w:t xml:space="preserve">(63 of 300 crude signals lost, 73 gained) but not agreement</w:t>
      </w:r>
      <w:r>
        <w:t xml:space="preserve"> </w:t>
      </w:r>
      <w:r>
        <w:t xml:space="preserve">with labels (AUC, crude vs adjusted lower bound: 0.718 vs</w:t>
      </w:r>
      <w:r>
        <w:t xml:space="preserve"> </w:t>
      </w:r>
      <w:r>
        <w:t xml:space="preserve">0.723). Unlabelled signals replicated in Canada more than background but less than labelled ones; power-calibrated (post hoc), labelled signals replicated as predicted (observed/expected</w:t>
      </w:r>
      <w:r>
        <w:t xml:space="preserve"> </w:t>
      </w:r>
      <w:r>
        <w:t xml:space="preserve">1.02, 95% CI 0.77–1.32)</w:t>
      </w:r>
      <w:r>
        <w:t xml:space="preserve"> </w:t>
      </w:r>
      <w:r>
        <w:t xml:space="preserve">and unlabelled ones did not (0.44, 0.29–0.62),</w:t>
      </w:r>
      <w:r>
        <w:t xml:space="preserve"> </w:t>
      </w:r>
      <w:r>
        <w:t xml:space="preserve">also within strata of consumer reporting. Solicited reports, report clusters and shared</w:t>
      </w:r>
      <w:r>
        <w:t xml:space="preserve"> </w:t>
      </w:r>
      <w:r>
        <w:t xml:space="preserve">co-medication produced spurious replications. Of 22 robust unlabelled signals (post hoc), 15 had artefactual or known</w:t>
      </w:r>
      <w:r>
        <w:t xml:space="preserve"> </w:t>
      </w:r>
      <w:r>
        <w:t xml:space="preserve">explanations; 7 remained (2–9 under</w:t>
      </w:r>
      <w:r>
        <w:t xml:space="preserve"> </w:t>
      </w:r>
      <w:r>
        <w:t xml:space="preserve">alternative choices).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adjusted replication and provenance</w:t>
      </w:r>
      <w:r>
        <w:t xml:space="preserve"> </w:t>
      </w:r>
      <w:r>
        <w:t xml:space="preserve">review.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10" w:name="_b8fab73fd7f041a99c440207f79453682339a71"/>
      <w:r>
        <w:t xml:space="preserve">Key points</w:t>
      </w:r>
      <w:bookmarkEnd w:id="10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 and unlabelled ones less than half</w:t>
      </w:r>
      <w:r>
        <w:t xml:space="preserve"> </w:t>
      </w:r>
      <w:r>
        <w:t xml:space="preserve">as often, also among drugs with similar consumer reporting; solicited reports and shared co-medication produced spurious</w:t>
      </w:r>
      <w:r>
        <w:t xml:space="preserve"> </w:t>
      </w:r>
      <w:r>
        <w:t xml:space="preserve">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remained; they are hypotheses for exposure-based studies, not established adverse effects.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The classical ototoxic drugs—aminoglycosides, platinum agents, loop diuretics, quinine, salicylates—were identified</w:t>
      </w:r>
      <w:r>
        <w:t xml:space="preserve"> </w:t>
      </w:r>
      <w:r>
        <w:t xml:space="preserve">mainly through clinical observation and case series</w:t>
      </w:r>
      <w:r>
        <w:t xml:space="preserve"> </w:t>
      </w:r>
      <w:r>
        <w:t xml:space="preserve">[1]</w:t>
      </w:r>
      <w:r>
        <w:t xml:space="preserve">. For newer drugs, spontaneous reports are often the</w:t>
      </w:r>
      <w:r>
        <w:t xml:space="preserve"> </w:t>
      </w:r>
      <w:r>
        <w:t xml:space="preserve">first evidence, and recent studies have screened the FDA Adverse Event Reporting System (FAERS) across all drugs for</w:t>
      </w:r>
      <w:r>
        <w:t xml:space="preserve"> </w:t>
      </w:r>
      <w:r>
        <w:t xml:space="preserve">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, as have national</w:t>
      </w:r>
      <w:r>
        <w:t xml:space="preserve"> </w:t>
      </w:r>
      <w:r>
        <w:t xml:space="preserve">databases in Japan and France</w:t>
      </w:r>
      <w:r>
        <w:t xml:space="preserve"> </w:t>
      </w:r>
      <w:r>
        <w:t xml:space="preserve">[7,8]</w:t>
      </w:r>
      <w:r>
        <w:t xml:space="preserve">. These screens identify many unlabelled signals, but few</w:t>
      </w:r>
      <w:r>
        <w:t xml:space="preserve"> </w:t>
      </w:r>
      <w:r>
        <w:t xml:space="preserve">evaluate whether those signals survive adjustment and independent replication.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This design is open to biases specific to hearing outcomes. Corticosteroids, vasodilators and antivirals are</w:t>
      </w:r>
      <w:r>
        <w:t xml:space="preserve"> </w:t>
      </w:r>
      <w:r>
        <w:t xml:space="preserve">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 loss themselves (confounding by</w:t>
      </w:r>
      <w:r>
        <w:t xml:space="preserve"> </w:t>
      </w:r>
      <w:r>
        <w:t xml:space="preserve">indication). A drug routinely given with a strongly ototoxic one—an antiemetic with cisplatin, an antibiotic with an</w:t>
      </w:r>
      <w:r>
        <w:t xml:space="preserve"> </w:t>
      </w:r>
      <w:r>
        <w:t xml:space="preserve">aminoglycoside—inherits part of the association (co-medication bias). Reporting can be stimulated by safety</w:t>
      </w:r>
      <w:r>
        <w:t xml:space="preserve"> </w:t>
      </w:r>
      <w:r>
        <w:t xml:space="preserve">communications, litigation or media attention</w:t>
      </w:r>
      <w:r>
        <w:t xml:space="preserve"> </w:t>
      </w:r>
      <w:r>
        <w:t xml:space="preserve">[9]</w:t>
      </w:r>
      <w:r>
        <w:t xml:space="preserve">. Editorials have questioned disproportionality analyses</w:t>
      </w:r>
      <w:r>
        <w:t xml:space="preserve"> </w:t>
      </w:r>
      <w:r>
        <w:t xml:space="preserve">that ignore such biases</w:t>
      </w:r>
      <w:r>
        <w:t xml:space="preserve"> </w:t>
      </w:r>
      <w:r>
        <w:t xml:space="preserve">[10]</w:t>
      </w:r>
      <w:r>
        <w:t xml:space="preserve">, and signal lists are rarely tested against an independent data source or a</w:t>
      </w:r>
      <w:r>
        <w:t xml:space="preserve"> </w:t>
      </w:r>
      <w:r>
        <w:t xml:space="preserve">reference set, as is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Primary analysis decisions were committed before the first result was computed; all later analyses</w:t>
      </w:r>
      <w:r>
        <w:t xml:space="preserve"> </w:t>
      </w:r>
      <w:r>
        <w:t xml:space="preserve">are labelled post hoc. The protocol, with all definitions and thresholds of the primary analysis, was committed to a</w:t>
      </w:r>
      <w:r>
        <w:t xml:space="preserve"> </w:t>
      </w:r>
      <w:r>
        <w:t xml:space="preserve">version-controlled repository at 02:05 UTC+5 on 26 October 2026 (git commit ff77c40). The first disproportionality estimates</w:t>
      </w:r>
      <w:r>
        <w:t xml:space="preserve"> </w:t>
      </w:r>
      <w:r>
        <w:t xml:space="preserve">were produced at 02:47–02:49 the same night; before that, only data preparation, the label reference set and tests on</w:t>
      </w:r>
      <w:r>
        <w:t xml:space="preserve"> </w:t>
      </w:r>
      <w:r>
        <w:t xml:space="preserve">simulated data had been run. The repository is controlled by the author and the protocol was not registered with a third</w:t>
      </w:r>
      <w:r>
        <w:t xml:space="preserve"> </w:t>
      </w:r>
      <w:r>
        <w:t xml:space="preserve">party. Every later change is dated and labelled in the protocol file (</w:t>
      </w:r>
      <w:r>
        <w:rPr>
          <w:rStyle w:val="VerbatimChar"/>
        </w:rPr>
        <w:t xml:space="preserve">PROTOCOL.md</w:t>
      </w:r>
      <w:r>
        <w:t xml:space="preserve">). Figure </w:t>
      </w:r>
      <w:hyperlink w:anchor="_553a5bb8a650859a35268e72a6a3c6ec4ce77a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separates the pre-specified analyses from those added after the primary results were seen.</w:t>
      </w:r>
    </w:p>
    <w:bookmarkStart w:id="16" w:name="_553a5bb8a650859a35268e72a6a3c6ec4ce77a8"/>
    <w:p>
      <w:pPr>
        <w:pStyle w:val="CaptionedFigure"/>
      </w:pPr>
      <w:r>
        <w:drawing>
          <wp:inline>
            <wp:extent cx="3840479" cy="348451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3484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workflow. Blue: pre-specified analyses (protocol committed before the first result). Orange: analyses added</w:t>
      </w:r>
      <w:r>
        <w:t xml:space="preserve"> </w:t>
      </w:r>
      <w:r>
        <w:t xml:space="preserve">after the primary results were seen (post hoc). The remaining signals are hypotheses, not evidence of causation.</w:t>
      </w:r>
    </w:p>
    <w:bookmarkEnd w:id="16"/>
    <w:p>
      <w:pPr>
        <w:pStyle w:val="Heading2"/>
      </w:pPr>
      <w:bookmarkStart w:id="17" w:name="_60ab88ea7c784c0820fe7a63c9fb74c6302d3a0"/>
      <w:r>
        <w:t xml:space="preserve">Data sources</w:t>
      </w:r>
      <w:bookmarkEnd w:id="17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Vigilance); outcome terms were matched by preferred-term name, which</w:t>
      </w:r>
      <w:r>
        <w:t xml:space="preserve"> </w:t>
      </w:r>
      <w:r>
        <w:t xml:space="preserve">is stable across these versions for the terms used. All data are public and de-identified.</w:t>
      </w:r>
    </w:p>
    <w:p>
      <w:pPr>
        <w:pStyle w:val="Heading2"/>
      </w:pPr>
      <w:bookmarkStart w:id="18" w:name="_c751b153c47986e3244e5a761476196ea4a5ffc"/>
      <w:r>
        <w:t xml:space="preserve">Pre-processing and deduplication</w:t>
      </w:r>
      <w:bookmarkEnd w:id="18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9" w:name="_41a40ce5571f028458004e399e8bf88c95f8185"/>
      <w:r>
        <w:t xml:space="preserve">Outcomes, exposure and comparator</w:t>
      </w:r>
      <w:bookmarkEnd w:id="19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20" w:name="_disproportionality"/>
      <w:r>
        <w:t xml:space="preserve">Disproportionality</w:t>
      </w:r>
      <w:bookmarkEnd w:id="20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periods of report receipt: before 2004, 2004–2012, 2013–2018, 2019–2026)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21" w:name="_142cd368ea85e8fddc952a4320432a4163793ac"/>
      <w:r>
        <w:t xml:space="preserve">Reference set</w:t>
      </w:r>
      <w:bookmarkEnd w:id="21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pair; the protocol pre-specified the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, which is also reported) 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22" w:name="_replication"/>
      <w:r>
        <w:t xml:space="preserve">Replication</w:t>
      </w:r>
      <w:bookmarkEnd w:id="22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23" w:name="_e4620e00135245931b16a0788d572999fd386c0"/>
      <w:r>
        <w:t xml:space="preserve">Post-hoc and sensitivity analyses</w:t>
      </w:r>
      <w:bookmarkEnd w:id="23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24" w:name="_4fbb619f4cb7014e603bc4722c15e1d3db783b4"/>
      <w:r>
        <w:t xml:space="preserve">Robust signals and case-level review</w:t>
      </w:r>
      <w:bookmarkEnd w:id="24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Throughout, a signal is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when the event is mentioned in any safety section of any US label of a product</w:t>
      </w:r>
      <w:r>
        <w:t xml:space="preserve"> </w:t>
      </w:r>
      <w:r>
        <w:t xml:space="preserve">containing the drug (single-ingredient or combination) and</w:t>
      </w:r>
      <w:r>
        <w:t xml:space="preserve"> </w:t>
      </w:r>
      <w:r>
        <w:rPr>
          <w:i/>
          <w:iCs/>
        </w:rPr>
        <w:t xml:space="preserve">unlabelled</w:t>
      </w:r>
      <w:r>
        <w:t xml:space="preserve"> </w:t>
      </w:r>
      <w:r>
        <w:t xml:space="preserve">otherwise, including drugs with no US label in the</w:t>
      </w:r>
      <w:r>
        <w:t xml:space="preserve"> </w:t>
      </w:r>
      <w:r>
        <w:t xml:space="preserve">export;</w:t>
      </w:r>
      <w:r>
        <w:t xml:space="preserve"> </w:t>
      </w:r>
      <w:r>
        <w:rPr>
          <w:i/>
          <w:iCs/>
        </w:rPr>
        <w:t xml:space="preserve">label-positive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label-negative</w:t>
      </w:r>
      <w:r>
        <w:t xml:space="preserve"> </w:t>
      </w:r>
      <w:r>
        <w:t xml:space="preserve">refer to the stricter reference-set classes. Robust unlabelled signals</w:t>
      </w:r>
      <w:r>
        <w:t xml:space="preserve"> </w:t>
      </w:r>
      <w:r>
        <w:t xml:space="preserve">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Because</w:t>
      </w:r>
      <w:r>
        <w:t xml:space="preserve"> </w:t>
      </w:r>
      <w:r>
        <w:t xml:space="preserve">confounding by indication remained plausible after the indication exclusions (reported indications are often missing or</w:t>
      </w:r>
      <w:r>
        <w:t xml:space="preserve"> </w:t>
      </w:r>
      <w:r>
        <w:t xml:space="preserve">non-specific), for 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5" w:name="_60422f0ac97f34e860c6d6c8d42a63ef1fce636"/>
      <w:r>
        <w:t xml:space="preserve">Software and use of AI tools</w:t>
      </w:r>
      <w:bookmarkEnd w:id="25"/>
    </w:p>
    <w:p>
      <w:pPr>
        <w:pStyle w:val="FirstParagraph"/>
      </w:pPr>
      <w:r>
        <w:t xml:space="preserve">Analyses used Python 3.10 (numpy 2.2.6, pandas 2.3.3, scipy 1.15.3, statsmodels 0.15.0, matplotlib 3.10.9). An AI</w:t>
      </w:r>
      <w:r>
        <w:t xml:space="preserve"> </w:t>
      </w:r>
      <w:r>
        <w:t xml:space="preserve">assistant (Claude, Anthropic) wrote the code and the first draft of the manuscript under the author’s direction, and AI</w:t>
      </w:r>
      <w:r>
        <w:t xml:space="preserve"> </w:t>
      </w:r>
      <w:r>
        <w:t xml:space="preserve">reviewers critiqued the methods, clinical interpretation and text; changes made in response are recorded in the protocol</w:t>
      </w:r>
      <w:r>
        <w:t xml:space="preserve"> </w:t>
      </w:r>
      <w:r>
        <w:t xml:space="preserve">file. The second assessor of the case-level review was also AI-based. The author reviewed the code, results and text and is</w:t>
      </w:r>
      <w:r>
        <w:t xml:space="preserve"> </w:t>
      </w:r>
      <w:r>
        <w:t xml:space="preserve">responsible for them.</w:t>
      </w:r>
    </w:p>
    <w:p>
      <w:pPr>
        <w:pStyle w:val="Heading1"/>
      </w:pPr>
      <w:bookmarkStart w:id="26" w:name="_results"/>
      <w:r>
        <w:t xml:space="preserve">Results</w:t>
      </w:r>
      <w:bookmarkEnd w:id="26"/>
    </w:p>
    <w:p>
      <w:pPr>
        <w:pStyle w:val="Heading2"/>
      </w:pPr>
      <w:bookmarkStart w:id="27" w:name="_data"/>
      <w:r>
        <w:t xml:space="preserve">Data</w:t>
      </w:r>
      <w:bookmarkEnd w:id="27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8" w:name="_107f3c85ced1315e9f212c36f210ded9bb333bb"/>
      <w:r>
        <w:t xml:space="preserve">Adjustment changes the signal list but not its agreement with labels</w:t>
      </w:r>
      <w:bookmarkEnd w:id="28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identical. For the</w:t>
      </w:r>
      <w:r>
        <w:t xml:space="preserve"> </w:t>
      </w:r>
      <w:r>
        <w:t xml:space="preserve">like-for-like pair, crude versus adjusted lower bound, the AUC was 0.718 vs</w:t>
      </w:r>
      <w:r>
        <w:t xml:space="preserve"> </w:t>
      </w:r>
      <w:r>
        <w:t xml:space="preserve">0.723 (difference 0.005, 95% CI -0.023 to</w:t>
      </w:r>
      <w:r>
        <w:t xml:space="preserve"> </w:t>
      </w:r>
      <w:r>
        <w:t xml:space="preserve">0.030); for the pre-specified pair,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versus adjusted lower bound, it was</w:t>
      </w:r>
      <w:r>
        <w:t xml:space="preserve"> </w:t>
      </w:r>
      <w:r>
        <w:t xml:space="preserve">0.720 vs 0.723. Adjustment thus changed which drugs were flagged</w:t>
      </w:r>
      <w:r>
        <w:t xml:space="preserve"> </w:t>
      </w:r>
      <w:r>
        <w:t xml:space="preserve">but brought almost no improvement in agreement with labels. The same held for point estimates (0.700 vs</w:t>
      </w:r>
      <w:r>
        <w:t xml:space="preserve"> </w:t>
      </w:r>
      <w:r>
        <w:t xml:space="preserve">0.705),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9" w:name="_2ba7c5a9bf848498b9a7ba8a5df5dde68d81479"/>
      <w:r>
        <w:t xml:space="preserve">Replication in Canada Vigilance</w:t>
      </w:r>
      <w:bookmarkEnd w:id="29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 and unlabelled adjusted signals in 31/76 (41%) 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Label-negative adjusted signals replicated in 21/54 (39%) and crude-only signals in</w:t>
      </w:r>
      <w:r>
        <w:t xml:space="preserve"> </w:t>
      </w:r>
      <w:r>
        <w:t xml:space="preserve">9/21 (43%). The background—label-negative ingredients that were neither crude nor adjusted signals—replicated</w:t>
      </w:r>
      <w:r>
        <w:t xml:space="preserve"> </w:t>
      </w:r>
      <w:r>
        <w:t xml:space="preserve">in 43/214 (20%) (all label-negative ingredients, as literally specified in the protocol:</w:t>
      </w:r>
      <w:r>
        <w:t xml:space="preserve"> </w:t>
      </w:r>
      <w:r>
        <w:t xml:space="preserve">68/281 (24%)). In this pre-specified comparison unlabelled signals replicated more</w:t>
      </w:r>
      <w:r>
        <w:t xml:space="preserve"> </w:t>
      </w:r>
      <w:r>
        <w:t xml:space="preserve">often than the background (odds ratio 2.74,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but less</w:t>
      </w:r>
      <w:r>
        <w:t xml:space="preserve"> </w:t>
      </w:r>
      <w:r>
        <w:t xml:space="preserve">often than labelled signals.</w:t>
      </w:r>
    </w:p>
    <w:p>
      <w:pPr>
        <w:pStyle w:val="BodyText"/>
      </w:pPr>
      <w:r>
        <w:t xml:space="preserve">The power-calibrated comparison (post hoc) placed this contrast on a common scale (Figure </w:t>
      </w:r>
      <w:hyperlink w:anchor="_576b9bd78d0890981a1f156b59228419fd8f27c">
        <w:r>
          <w:rPr>
            <w:rStyle w:val="Hyperlink"/>
          </w:rPr>
          <w:t xml:space="preserve">2</w:t>
        </w:r>
      </w:hyperlink>
      <w:r>
        <w:t xml:space="preserve">). Labelled signals</w:t>
      </w:r>
      <w:r>
        <w:t xml:space="preserve"> </w:t>
      </w:r>
      <w:r>
        <w:t xml:space="preserve">(n=70 ingredients) replicated about as often as their shrunken FAERS estimates predicted</w:t>
      </w:r>
      <w:r>
        <w:t xml:space="preserve"> </w:t>
      </w:r>
      <w:r>
        <w:t xml:space="preserve">(31 observed vs 30.5 expected; O/E 1.02, 95% CI 0.77–1.32). Unlabelled signals (n=201) replicated less than half as often</w:t>
      </w:r>
      <w:r>
        <w:t xml:space="preserve"> </w:t>
      </w:r>
      <w:r>
        <w:t xml:space="preserve">(25 observed vs 56.8 expected; O/E 0.44, 95% CI 0.29–0.62); the ratio of the two was 0.43</w:t>
      </w:r>
      <w:r>
        <w:t xml:space="preserve"> </w:t>
      </w:r>
      <w:r>
        <w:t xml:space="preserve">(95% CI 0.26–0.66). The</w:t>
      </w:r>
      <w:r>
        <w:t xml:space="preserve"> </w:t>
      </w:r>
      <w:r>
        <w:t xml:space="preserve">label-negative signals, a subset of the unlabelled group, behaved alike (18 observed vs 37.5 expected; O/E 0.48, 95% CI 0.27–0.72). Results were the</w:t>
      </w:r>
      <w:r>
        <w:t xml:space="preserve"> </w:t>
      </w:r>
      <w:r>
        <w:t xml:space="preserve">same with unshrunken estimates, with the pre-specified label definition, and for tinnitus (60 observed vs 63.2 expected; O/E 0.95, 95% CI 0.79–1.14 for</w:t>
      </w:r>
      <w:r>
        <w:t xml:space="preserve"> </w:t>
      </w:r>
      <w:r>
        <w:t xml:space="preserve">labelled and 22 observed vs 46.4 expected; O/E 0.47, 95% CI 0.29–0.66 for unlabelled signals).</w:t>
      </w:r>
    </w:p>
    <w:p>
      <w:pPr>
        <w:pStyle w:val="BodyText"/>
      </w:pPr>
      <w:r>
        <w:t xml:space="preserve">Unlabelled signals were more often reported by consumers (median share of FAERS cases</w:t>
      </w:r>
      <w:r>
        <w:t xml:space="preserve"> </w:t>
      </w:r>
      <w:r>
        <w:t xml:space="preserve">58% vs 39% for labelled signals) and</w:t>
      </w:r>
      <w:r>
        <w:t xml:space="preserve"> </w:t>
      </w:r>
      <w:r>
        <w:t xml:space="preserve">more often from the United States (67% vs 50%), so</w:t>
      </w:r>
      <w:r>
        <w:t xml:space="preserve"> </w:t>
      </w:r>
      <w:r>
        <w:t xml:space="preserve">provenance could explain the contrast. It did not: among signals with a consumer share at or below the median, O/E was</w:t>
      </w:r>
      <w:r>
        <w:t xml:space="preserve"> </w:t>
      </w:r>
      <w:r>
        <w:t xml:space="preserve">1.01 for labelled and</w:t>
      </w:r>
      <w:r>
        <w:t xml:space="preserve"> </w:t>
      </w:r>
      <w:r>
        <w:t xml:space="preserve">0.57 (95% CI</w:t>
      </w:r>
      <w:r>
        <w:t xml:space="preserve"> </w:t>
      </w:r>
      <w:r>
        <w:t xml:space="preserve">0.27–0.93) for</w:t>
      </w:r>
      <w:r>
        <w:t xml:space="preserve"> </w:t>
      </w:r>
      <w:r>
        <w:t xml:space="preserve">unlabelled signals, and above the median 1.04 and</w:t>
      </w:r>
      <w:r>
        <w:t xml:space="preserve"> </w:t>
      </w:r>
      <w:r>
        <w:t xml:space="preserve">0.36. Pooled across ingredients (random effects), the Canadian ROR</w:t>
      </w:r>
      <w:r>
        <w:t xml:space="preserve"> </w:t>
      </w:r>
      <w:r>
        <w:t xml:space="preserve">was 3.60 (2.47–5.26)</w:t>
      </w:r>
      <w:r>
        <w:t xml:space="preserve"> </w:t>
      </w:r>
      <w:r>
        <w:t xml:space="preserve">for labelled and 1.59 (1.28–1.96)</w:t>
      </w:r>
      <w:r>
        <w:t xml:space="preserve"> </w:t>
      </w:r>
      <w:r>
        <w:t xml:space="preserve">for unlabelled signals: as a group, unlabelled signals were attenuated rather than absent.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(86% from consumers,</w:t>
      </w:r>
      <w:r>
        <w:t xml:space="preserve"> </w:t>
      </w:r>
      <w:r>
        <w:t xml:space="preserve">97% from the United States)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hearing-loss reports; 88% from consumers) none against</w:t>
      </w:r>
      <w:r>
        <w:t xml:space="preserve"> </w:t>
      </w:r>
      <w:r>
        <w:t xml:space="preserve">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favour adjustment for hearing loss: early crude-only signals recurred after 2014 at least as often</w:t>
      </w:r>
      <w:r>
        <w:t xml:space="preserve"> </w:t>
      </w:r>
      <w:r>
        <w:t xml:space="preserve">(18/28 (64%)) as early adjusted signals (81/155 (52%); background 137/938 (15%)),</w:t>
      </w:r>
      <w:r>
        <w:t xml:space="preserve"> </w:t>
      </w:r>
      <w:r>
        <w:t xml:space="preserve">consistent with biases that persist within one database; for tinnitus adjusted signals recurred more often</w:t>
      </w:r>
      <w:r>
        <w:t xml:space="preserve"> </w:t>
      </w:r>
      <w:r>
        <w:t xml:space="preserve">(100/121 (83%) vs 9/15 (60%)).</w:t>
      </w:r>
    </w:p>
    <w:p>
      <w:pPr>
        <w:pStyle w:val="Heading2"/>
      </w:pPr>
      <w:bookmarkStart w:id="30" w:name="_be549a4ec8708f84b63e1dc0d4821bd33780b5c"/>
      <w:r>
        <w:t xml:space="preserve">Post-hoc analyses</w:t>
      </w:r>
      <w:bookmarkEnd w:id="30"/>
    </w:p>
    <w:p>
      <w:pPr>
        <w:pStyle w:val="FirstParagraph"/>
      </w:pPr>
      <w:r>
        <w:t xml:space="preserve">The post-hoc framework combined the extended indication filter, Canada Vigilance restricted to unsolicited reports and</w:t>
      </w:r>
      <w:r>
        <w:t xml:space="preserve"> </w:t>
      </w:r>
      <w:r>
        <w:t xml:space="preserve">adjusted estimates in both databases 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). In it, labelled hearing-loss signals replicated in</w:t>
      </w:r>
      <w:r>
        <w:t xml:space="preserve"> </w:t>
      </w:r>
      <w:r>
        <w:t xml:space="preserve">26/44 (59%), unlabelled signals in 10/51 (20%) and the background in 19/158 (12%)</w:t>
      </w:r>
      <w:r>
        <w:t xml:space="preserve"> </w:t>
      </w:r>
      <w:r>
        <w:t xml:space="preserve">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). Calibrated on adjusted Canadian counts, O/E was 1.10 (95% CI</w:t>
      </w:r>
      <w:r>
        <w:t xml:space="preserve"> </w:t>
      </w:r>
      <w:r>
        <w:t xml:space="preserve">0.79–1.48)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 (ratio 0.24, 95% CI</w:t>
      </w:r>
      <w:r>
        <w:t xml:space="preserve"> </w:t>
      </w:r>
      <w:r>
        <w:t xml:space="preserve">0.09–0.44); the pooled</w:t>
      </w:r>
      <w:r>
        <w:t xml:space="preserve"> </w:t>
      </w:r>
      <w:r>
        <w:t xml:space="preserve">Canadian adjusted OR was 4.25 (2.73–6.64)</w:t>
      </w:r>
      <w:r>
        <w:t xml:space="preserve"> </w:t>
      </w:r>
      <w:r>
        <w:t xml:space="preserve">for labelled, 1.37 (1.03–1.83)</w:t>
      </w:r>
      <w:r>
        <w:t xml:space="preserve"> </w:t>
      </w:r>
      <w:r>
        <w:t xml:space="preserve">for unlabelled and 1.29 (1.00–1.66)</w:t>
      </w:r>
      <w:r>
        <w:t xml:space="preserve"> </w:t>
      </w:r>
      <w:r>
        <w:t xml:space="preserve">for label-negative signals. For tinnitus, labelled signals replicated less fully in this framework (O/E</w:t>
      </w:r>
      <w:r>
        <w:t xml:space="preserve"> </w:t>
      </w:r>
      <w:r>
        <w:t xml:space="preserve">0.70, 95% CI 0.54–0.88),</w:t>
      </w:r>
      <w:r>
        <w:t xml:space="preserve"> </w:t>
      </w:r>
      <w:r>
        <w:t xml:space="preserve">with unlabelled signals lower still (0.21).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31" w:name="_42e042e6440987e2814ddf706c2a7b829123a6f"/>
      <w:r>
        <w:t xml:space="preserve">Signals from previous screens</w:t>
      </w:r>
      <w:bookmarkEnd w:id="31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32" w:name="_79ce093ef77156c196cf1ee4b9b58429eba3dcd"/>
      <w:r>
        <w:t xml:space="preserve">Case-level review</w:t>
      </w:r>
      <w:bookmarkEnd w:id="32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3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indication, with an</w:t>
      </w:r>
      <w:r>
        <w:t xml:space="preserve"> </w:t>
      </w:r>
      <w:r>
        <w:t xml:space="preserve">active-comparator estimate consistent with it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and chlorthalidone within hypertension, 1.04 (0.43–2.51), which is indeterminate with</w:t>
      </w:r>
      <w:r>
        <w:t xml:space="preserve"> </w:t>
      </w:r>
      <w:r>
        <w:t xml:space="preserve">5 cases).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 Before the post-hoc active-comparator rule, only two (pregabalin and doxycycline)</w:t>
      </w:r>
      <w:r>
        <w:t xml:space="preserve"> </w:t>
      </w:r>
      <w:r>
        <w:t xml:space="preserve">were unexplained; the residual count therefore ranges from 2 to 9 depending on post-hoc choices and assessor.</w:t>
      </w:r>
    </w:p>
    <w:bookmarkStart w:id="33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(0.29–0.66)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(0.27–0.72)</w:t>
            </w:r>
          </w:p>
        </w:tc>
      </w:tr>
    </w:tbl>
    <w:bookmarkEnd w:id="33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34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34"/>
    <w:p/>
    <w:bookmarkStart w:id="35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5"/>
    <w:p/>
    <w:bookmarkStart w:id="36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6"/>
    <w:bookmarkStart w:id="40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replic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40"/>
    <w:bookmarkStart w:id="44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figures/candidat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44"/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hearing-loss associations—they replicated about as often as their strength predicted—whereas unlabelled</w:t>
      </w:r>
      <w:r>
        <w:t xml:space="preserve"> </w:t>
      </w:r>
      <w:r>
        <w:t xml:space="preserve">signals replicated less than half as often, a contrast that held within strata of consumer reporting and whose pooled</w:t>
      </w:r>
      <w:r>
        <w:t xml:space="preserve"> </w:t>
      </w:r>
      <w:r>
        <w:t xml:space="preserve">Canadian estimate (attenuated, not absent) was close to that of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For regulators and signal-management teams, the practical consequence is that replication in a second database does not</w:t>
      </w:r>
      <w:r>
        <w:t xml:space="preserve"> </w:t>
      </w:r>
      <w:r>
        <w:t xml:space="preserve">strengthen a signal unless reporting artefacts are explicitly addressed.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 (2 to 9 under alternative post-hoc choices and assessors). For tinnitus the same pattern held,</w:t>
      </w:r>
      <w:r>
        <w:t xml:space="preserve"> </w:t>
      </w:r>
      <w:r>
        <w:t xml:space="preserve">but labelled signals also replicated less fully once both databases were adjusted, so the evidence there is weaker.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hearing-loss reports, mostly from US consumers and consistent with manufacturer programmes,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In this study three steps did most of the work: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6" w:name="_72424125f1c747d5dc92a896a97d43a10aedd6b"/>
      <w:r>
        <w:t xml:space="preserve">Limitations.</w:t>
      </w:r>
      <w:bookmarkEnd w:id="46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independent, and the agreement statistic should be read</w:t>
      </w:r>
      <w:r>
        <w:t xml:space="preserve"> </w:t>
      </w:r>
      <w:r>
        <w:t xml:space="preserve">in that light. Within-indication comparisons can be affected by channelling (for example tofacitinib as a second-line drug).</w:t>
      </w:r>
      <w:r>
        <w:t xml:space="preserve"> </w:t>
      </w:r>
      <w:r>
        <w:t xml:space="preserve">FAERS report-source codes that would identify solicited reports directly were not used.</w:t>
      </w:r>
    </w:p>
    <w:p>
      <w:pPr>
        <w:pStyle w:val="Heading4"/>
      </w:pPr>
      <w:bookmarkStart w:id="47" w:name="_2fee5c028dc7c352c541238a75e372b3a85d4c6"/>
      <w:r>
        <w:t xml:space="preserve">Conclusions.</w:t>
      </w:r>
      <w:bookmarkEnd w:id="47"/>
    </w:p>
    <w:p>
      <w:pPr>
        <w:pStyle w:val="FirstParagraph"/>
      </w:pPr>
      <w:r>
        <w:t xml:space="preserve">In FAERS, most drug–hearing-loss signals that are not already on a label do not survive adjusted</w:t>
      </w:r>
      <w:r>
        <w:t xml:space="preserve"> </w:t>
      </w:r>
      <w:r>
        <w:t xml:space="preserve">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with pregabalin the</w:t>
      </w:r>
      <w:r>
        <w:t xml:space="preserve"> </w:t>
      </w:r>
      <w:r>
        <w:t xml:space="preserve">strongest, are hypotheses that merit study with exposure-based designs, not established adverse effects.</w:t>
      </w:r>
    </w:p>
    <w:p>
      <w:pPr>
        <w:pStyle w:val="Heading1"/>
      </w:pPr>
      <w:bookmarkStart w:id="48" w:name="_ad61382512a69fb2431cb9ccd9664860b940cd1"/>
      <w:r>
        <w:t xml:space="preserve">Statements and declarations</w:t>
      </w:r>
      <w:bookmarkEnd w:id="48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until October 2026 the author was employed as a software engineer at Suno, a company that develops practice-management software for hearing clinics; the company had no role in the design, analysis or reporting of this study, and the author has no financial relationship with manufacturers of the drugs studied.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 https://github.com/olegtropinin/faers-ototoxicity, archived at Zenodo,</w:t>
      </w:r>
      <w:r>
        <w:t xml:space="preserve"> </w:t>
      </w:r>
      <w:hyperlink r:id="rId49">
        <w:r>
          <w:rPr>
            <w:rStyle w:val="Hyperlink"/>
          </w:rPr>
          <w:t xml:space="preserve">doi:10.5281/zenodo.23659658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10" w:name="_refs"/>
    <w:bookmarkStart w:id="51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50">
        <w:r>
          <w:rPr>
            <w:rStyle w:val="Hyperlink"/>
          </w:rPr>
          <w:t xml:space="preserve">https://doi.org/10.1002/cpt.603</w:t>
        </w:r>
      </w:hyperlink>
    </w:p>
    <w:bookmarkEnd w:id="51"/>
    <w:bookmarkStart w:id="53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52">
        <w:r>
          <w:rPr>
            <w:rStyle w:val="Hyperlink"/>
          </w:rPr>
          <w:t xml:space="preserve">https://doi.org/10.3389/fphar.2024.1480994</w:t>
        </w:r>
      </w:hyperlink>
    </w:p>
    <w:bookmarkEnd w:id="53"/>
    <w:bookmarkStart w:id="55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54">
        <w:r>
          <w:rPr>
            <w:rStyle w:val="Hyperlink"/>
          </w:rPr>
          <w:t xml:space="preserve">https://doi.org/10.1016/j.heares.2025.109262</w:t>
        </w:r>
      </w:hyperlink>
    </w:p>
    <w:bookmarkEnd w:id="55"/>
    <w:bookmarkStart w:id="57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6">
        <w:r>
          <w:rPr>
            <w:rStyle w:val="Hyperlink"/>
          </w:rPr>
          <w:t xml:space="preserve">https://doi.org/10.3389/fphar.2025.1532461</w:t>
        </w:r>
      </w:hyperlink>
    </w:p>
    <w:bookmarkEnd w:id="57"/>
    <w:bookmarkStart w:id="59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8">
        <w:r>
          <w:rPr>
            <w:rStyle w:val="Hyperlink"/>
          </w:rPr>
          <w:t xml:space="preserve">https://doi.org/10.1007/s00210-026-05556-7</w:t>
        </w:r>
      </w:hyperlink>
    </w:p>
    <w:bookmarkEnd w:id="59"/>
    <w:bookmarkStart w:id="61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60">
        <w:r>
          <w:rPr>
            <w:rStyle w:val="Hyperlink"/>
          </w:rPr>
          <w:t xml:space="preserve">https://doi.org/10.12968/hmed.2024.0380</w:t>
        </w:r>
      </w:hyperlink>
    </w:p>
    <w:bookmarkEnd w:id="61"/>
    <w:bookmarkStart w:id="63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https://doi.org/10.1371/journal.pone.0217951</w:t>
        </w:r>
      </w:hyperlink>
    </w:p>
    <w:bookmarkEnd w:id="63"/>
    <w:bookmarkStart w:id="65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64">
        <w:r>
          <w:rPr>
            <w:rStyle w:val="Hyperlink"/>
          </w:rPr>
          <w:t xml:space="preserve">https://doi.org/10.1111/fcp.12533</w:t>
        </w:r>
      </w:hyperlink>
    </w:p>
    <w:bookmarkEnd w:id="65"/>
    <w:bookmarkStart w:id="67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6">
        <w:r>
          <w:rPr>
            <w:rStyle w:val="Hyperlink"/>
          </w:rPr>
          <w:t xml:space="preserve">https://doi.org/10.2165/00002018-200730100-00007</w:t>
        </w:r>
      </w:hyperlink>
    </w:p>
    <w:bookmarkEnd w:id="67"/>
    <w:bookmarkStart w:id="69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8">
        <w:r>
          <w:rPr>
            <w:rStyle w:val="Hyperlink"/>
          </w:rPr>
          <w:t xml:space="preserve">https://doi.org/10.1016/j.jid.2025.06.1579</w:t>
        </w:r>
      </w:hyperlink>
    </w:p>
    <w:bookmarkEnd w:id="69"/>
    <w:bookmarkStart w:id="71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70">
        <w:r>
          <w:rPr>
            <w:rStyle w:val="Hyperlink"/>
          </w:rPr>
          <w:t xml:space="preserve">https://doi.org/10.1038/clpt.2013.24</w:t>
        </w:r>
      </w:hyperlink>
    </w:p>
    <w:bookmarkEnd w:id="71"/>
    <w:bookmarkStart w:id="73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72">
        <w:r>
          <w:rPr>
            <w:rStyle w:val="Hyperlink"/>
          </w:rPr>
          <w:t xml:space="preserve">https://doi.org/10.1007/s40264-024-01421-9</w:t>
        </w:r>
      </w:hyperlink>
    </w:p>
    <w:bookmarkEnd w:id="73"/>
    <w:bookmarkStart w:id="75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74">
        <w:r>
          <w:rPr>
            <w:rStyle w:val="Hyperlink"/>
          </w:rPr>
          <w:t xml:space="preserve">https://doi.org/10.1007/s40264-024-01423-7</w:t>
        </w:r>
      </w:hyperlink>
    </w:p>
    <w:bookmarkEnd w:id="75"/>
    <w:bookmarkStart w:id="77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6">
        <w:r>
          <w:rPr>
            <w:rStyle w:val="Hyperlink"/>
          </w:rPr>
          <w:t xml:space="preserve">https://doi.org/10.1093/jamia/ocv153</w:t>
        </w:r>
      </w:hyperlink>
    </w:p>
    <w:bookmarkEnd w:id="77"/>
    <w:bookmarkStart w:id="79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8">
        <w:r>
          <w:rPr>
            <w:rStyle w:val="Hyperlink"/>
          </w:rPr>
          <w:t xml:space="preserve">https://doi.org/10.1111/j.1469-1809.1955.tb01348.x</w:t>
        </w:r>
      </w:hyperlink>
    </w:p>
    <w:bookmarkEnd w:id="79"/>
    <w:bookmarkStart w:id="81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80">
        <w:r>
          <w:rPr>
            <w:rStyle w:val="Hyperlink"/>
          </w:rPr>
          <w:t xml:space="preserve">https://doi.org/10.1002/pds.1001</w:t>
        </w:r>
      </w:hyperlink>
    </w:p>
    <w:bookmarkEnd w:id="81"/>
    <w:bookmarkStart w:id="83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82">
        <w:r>
          <w:rPr>
            <w:rStyle w:val="Hyperlink"/>
          </w:rPr>
          <w:t xml:space="preserve">https://doi.org/10.1002/sim.2473</w:t>
        </w:r>
      </w:hyperlink>
    </w:p>
    <w:bookmarkEnd w:id="83"/>
    <w:bookmarkStart w:id="85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84">
        <w:r>
          <w:rPr>
            <w:rStyle w:val="Hyperlink"/>
          </w:rPr>
          <w:t xml:space="preserve">https://doi.org/10.1093/jnci/22.4.719</w:t>
        </w:r>
      </w:hyperlink>
    </w:p>
    <w:bookmarkEnd w:id="85"/>
    <w:bookmarkStart w:id="87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6">
        <w:r>
          <w:rPr>
            <w:rStyle w:val="Hyperlink"/>
          </w:rPr>
          <w:t xml:space="preserve">https://doi.org/10.2307/2531052</w:t>
        </w:r>
      </w:hyperlink>
    </w:p>
    <w:bookmarkEnd w:id="87"/>
    <w:bookmarkStart w:id="89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8">
        <w:r>
          <w:rPr>
            <w:rStyle w:val="Hyperlink"/>
          </w:rPr>
          <w:t xml:space="preserve">https://doi.org/10.1007/s40264-019-00843-0</w:t>
        </w:r>
      </w:hyperlink>
    </w:p>
    <w:bookmarkEnd w:id="89"/>
    <w:bookmarkStart w:id="91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90">
        <w:r>
          <w:rPr>
            <w:rStyle w:val="Hyperlink"/>
          </w:rPr>
          <w:t xml:space="preserve">https://doi.org/10.1002/sim.5925</w:t>
        </w:r>
      </w:hyperlink>
    </w:p>
    <w:bookmarkEnd w:id="91"/>
    <w:bookmarkStart w:id="93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92">
        <w:r>
          <w:rPr>
            <w:rStyle w:val="Hyperlink"/>
          </w:rPr>
          <w:t xml:space="preserve">https://doi.org/10.1002/sam.10078</w:t>
        </w:r>
      </w:hyperlink>
    </w:p>
    <w:bookmarkEnd w:id="93"/>
    <w:bookmarkStart w:id="95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94">
        <w:r>
          <w:rPr>
            <w:rStyle w:val="Hyperlink"/>
          </w:rPr>
          <w:t xml:space="preserve">https://doi.org/10.5505/agri.2018.48753</w:t>
        </w:r>
      </w:hyperlink>
    </w:p>
    <w:bookmarkEnd w:id="95"/>
    <w:bookmarkStart w:id="97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6">
        <w:r>
          <w:rPr>
            <w:rStyle w:val="Hyperlink"/>
          </w:rPr>
          <w:t xml:space="preserve">https://doi.org/10.1210/jc.2012-2119</w:t>
        </w:r>
      </w:hyperlink>
    </w:p>
    <w:bookmarkEnd w:id="97"/>
    <w:bookmarkStart w:id="99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8">
        <w:r>
          <w:rPr>
            <w:rStyle w:val="Hyperlink"/>
          </w:rPr>
          <w:t xml:space="preserve">https://doi.org/10.3389/fneur.2024.1470997</w:t>
        </w:r>
      </w:hyperlink>
    </w:p>
    <w:bookmarkEnd w:id="99"/>
    <w:bookmarkStart w:id="101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100">
        <w:r>
          <w:rPr>
            <w:rStyle w:val="Hyperlink"/>
          </w:rPr>
          <w:t xml:space="preserve">https://doi.org/10.1097/MAO.0000000000003419</w:t>
        </w:r>
      </w:hyperlink>
    </w:p>
    <w:bookmarkEnd w:id="101"/>
    <w:bookmarkStart w:id="103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102">
        <w:r>
          <w:rPr>
            <w:rStyle w:val="Hyperlink"/>
          </w:rPr>
          <w:t xml:space="preserve">https://doi.org/10.1007/s00296-020-04609-1</w:t>
        </w:r>
      </w:hyperlink>
    </w:p>
    <w:bookmarkEnd w:id="103"/>
    <w:bookmarkStart w:id="105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104">
        <w:r>
          <w:rPr>
            <w:rStyle w:val="Hyperlink"/>
          </w:rPr>
          <w:t xml:space="preserve">https://doi.org/10.1080/02713683.2020.1712424</w:t>
        </w:r>
      </w:hyperlink>
    </w:p>
    <w:bookmarkEnd w:id="105"/>
    <w:bookmarkStart w:id="107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6">
        <w:r>
          <w:rPr>
            <w:rStyle w:val="Hyperlink"/>
          </w:rPr>
          <w:t xml:space="preserve">https://doi.org/10.1002/lary.31548</w:t>
        </w:r>
      </w:hyperlink>
    </w:p>
    <w:bookmarkEnd w:id="107"/>
    <w:bookmarkStart w:id="109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8">
        <w:r>
          <w:rPr>
            <w:rStyle w:val="Hyperlink"/>
          </w:rPr>
          <w:t xml:space="preserve">https://doi.org/10.1097/ONO.0000000000000043</w:t>
        </w:r>
      </w:hyperlink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 ORCID: 0009-0006-5431-4285</dc:creator>
  <cp:keywords/>
  <dcterms:created xsi:type="dcterms:W3CDTF">2026-10-28T09:55:36Z</dcterms:created>
  <dcterms:modified xsi:type="dcterms:W3CDTF">2026-10-28T09:55:36Z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Vigilance; robust unlabelled signals underwent case-by-case review.Results: Adjustment substantially changed the hearing-loss signal list (63 of 300 crude signals lost, 73 gained) but not agreement with labels (AUC, crude vs adjusted lower bound: 0.718 vs 0.723). Unlabelled signals replicated in Canada more than background but less than labelled ones; power-calibrated (post hoc), labelled signals replicated as predicted (observed/expected 1.02, 95% CI 0.77–1.32) and unlabelled ones did not (0.44, 0.29–0.62), also within strata of consumer reporting. Solicited reports, report clusters and shared co-medication produced spurious replications. Of 22 robust unlabelled signals (post hoc), 15 had artefactual or known explanations; 7 remained (2–9 under alternative choices).Conclusions: Most unlabelled FAERS hearing-loss signals do not survive adjusted replication and provenance review.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